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遂宁市安居区梧桐路排水防涝能力提升项目(一标段)/遂宁市安居区梧桐路片区城市污水管网整治及附属设施提升项目(二标段)劳务分包报价比选邀请函（第二次）</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遂宁市安居区梧桐路排水防涝能力提升项目(一标段)/遂宁市安居区梧桐路片区城市污水管网整治及附属设施提升项目(二标段)</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7FDB0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b w:val="0"/>
          <w:bCs w:val="0"/>
          <w:color w:val="auto"/>
          <w:kern w:val="0"/>
          <w:sz w:val="24"/>
          <w:szCs w:val="20"/>
          <w:highlight w:val="none"/>
          <w:lang w:val="en-US" w:eastAsia="zh-CN" w:bidi="ar-SA"/>
        </w:rPr>
      </w:pPr>
      <w:r>
        <w:rPr>
          <w:rFonts w:hint="eastAsia" w:ascii="Times New Roman" w:hAnsi="Times New Roman" w:eastAsia="宋体" w:cs="Times New Roman"/>
          <w:b w:val="0"/>
          <w:bCs w:val="0"/>
          <w:color w:val="auto"/>
          <w:kern w:val="0"/>
          <w:sz w:val="24"/>
          <w:szCs w:val="20"/>
          <w:highlight w:val="none"/>
          <w:lang w:val="en-US" w:eastAsia="zh-CN" w:bidi="ar-SA"/>
        </w:rPr>
        <w:t>工程概况：</w:t>
      </w:r>
      <w:r>
        <w:rPr>
          <w:rFonts w:hint="eastAsia" w:eastAsia="宋体" w:cs="Times New Roman"/>
          <w:b w:val="0"/>
          <w:bCs w:val="0"/>
          <w:color w:val="auto"/>
          <w:kern w:val="0"/>
          <w:sz w:val="24"/>
          <w:szCs w:val="20"/>
          <w:highlight w:val="none"/>
          <w:lang w:val="en-US" w:eastAsia="zh-CN" w:bidi="ar-SA"/>
        </w:rPr>
        <w:t>（1）</w:t>
      </w:r>
      <w:r>
        <w:rPr>
          <w:rFonts w:hint="eastAsia" w:ascii="Times New Roman" w:hAnsi="Times New Roman" w:eastAsia="宋体" w:cs="Times New Roman"/>
          <w:b w:val="0"/>
          <w:bCs w:val="0"/>
          <w:color w:val="auto"/>
          <w:kern w:val="0"/>
          <w:sz w:val="24"/>
          <w:szCs w:val="20"/>
          <w:highlight w:val="none"/>
          <w:lang w:val="en-US" w:eastAsia="zh-CN" w:bidi="ar-SA"/>
        </w:rPr>
        <w:t>遂宁市安居区梧桐路排水防涝能力提升项目(一标段)：改建排水管网约4.2公里(管径DN500-DN1400)，新建强弱电排管和箱变(强电排管约3.5公里，弱电排管约3.5公里)及道路沿线配套附属设施恢复提升。</w:t>
      </w:r>
    </w:p>
    <w:p w14:paraId="59CECA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Times New Roman" w:hAnsi="Times New Roman" w:eastAsia="宋体" w:cs="Times New Roman"/>
          <w:b w:val="0"/>
          <w:bCs w:val="0"/>
          <w:color w:val="auto"/>
          <w:kern w:val="0"/>
          <w:sz w:val="24"/>
          <w:szCs w:val="20"/>
          <w:highlight w:val="none"/>
          <w:lang w:val="en-US" w:eastAsia="zh-CN" w:bidi="ar-SA"/>
        </w:rPr>
      </w:pPr>
      <w:r>
        <w:rPr>
          <w:rFonts w:hint="eastAsia" w:ascii="Times New Roman" w:hAnsi="Times New Roman" w:eastAsia="宋体" w:cs="Times New Roman"/>
          <w:b w:val="0"/>
          <w:bCs w:val="0"/>
          <w:color w:val="auto"/>
          <w:kern w:val="0"/>
          <w:sz w:val="24"/>
          <w:szCs w:val="20"/>
          <w:highlight w:val="none"/>
          <w:lang w:val="en-US" w:eastAsia="zh-CN" w:bidi="ar-SA"/>
        </w:rPr>
        <w:t>（2）遂宁市安居区梧桐路片区城市污水管网整治及附属设施提升项目(二标段)：对约3.3公里道路沿线交安设施、附属设施进行恢复提升及沿线的行道树进行处理和恢复。明珠街车行道宽8米，长330米；无名路车行道宽8米，长380米，人行道宽6米；滨江南路车行道宽14米，场3700米；乌木厅街车行道宽8米，长1100米，人行道宽6米；延长线车行道宽14米，长210米，人行道宽6米。对开挖的路面，人行道，标线，路缘石，沿线标志标牌等附属设施进行恢复</w:t>
      </w:r>
      <w:r>
        <w:rPr>
          <w:rFonts w:hint="eastAsia" w:eastAsia="宋体"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劳务分包</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7）。</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365</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10998631.85元</w:t>
      </w:r>
      <w:r>
        <w:rPr>
          <w:rFonts w:hint="eastAsia" w:ascii="宋体" w:hAnsi="宋体" w:cs="Times New Roman" w:eastAsiaTheme="minorEastAsia"/>
          <w:b/>
          <w:bCs/>
          <w:kern w:val="0"/>
          <w:sz w:val="24"/>
          <w:szCs w:val="24"/>
          <w:highlight w:val="none"/>
          <w:lang w:val="en-US" w:eastAsia="zh-CN"/>
        </w:rPr>
        <w:t>(大写：壹仟零玖拾玖万捌仟陆佰叁拾壹元捌角伍分）</w:t>
      </w:r>
      <w:r>
        <w:rPr>
          <w:rFonts w:hint="eastAsia" w:ascii="宋体" w:hAnsi="宋体" w:cs="Times New Roman" w:eastAsiaTheme="minorEastAsia"/>
          <w:b w:val="0"/>
          <w:bCs/>
          <w:kern w:val="0"/>
          <w:sz w:val="24"/>
          <w:szCs w:val="24"/>
          <w:highlight w:val="none"/>
          <w:lang w:val="en-US" w:eastAsia="zh-CN"/>
        </w:rPr>
        <w:t>，</w:t>
      </w:r>
      <w:r>
        <w:rPr>
          <w:rFonts w:ascii="Times New Roman" w:hAnsi="Times New Roman" w:cs="Times New Roman"/>
          <w:b/>
          <w:bCs/>
          <w:color w:val="auto"/>
          <w:highlight w:val="none"/>
          <w:u w:val="none"/>
        </w:rPr>
        <w:t>以清单总价报下浮比例</w:t>
      </w:r>
      <w:r>
        <w:rPr>
          <w:rFonts w:hint="eastAsia" w:ascii="宋体" w:hAnsi="宋体" w:cs="Times New Roman" w:eastAsiaTheme="minorEastAsia"/>
          <w:b w:val="0"/>
          <w:bCs/>
          <w:kern w:val="0"/>
          <w:sz w:val="24"/>
          <w:szCs w:val="24"/>
          <w:highlight w:val="none"/>
          <w:lang w:val="en-US" w:eastAsia="zh-CN"/>
        </w:rPr>
        <w:t>，</w:t>
      </w:r>
      <w:r>
        <w:rPr>
          <w:rFonts w:hint="default" w:eastAsia="宋体"/>
          <w:color w:val="auto"/>
          <w:highlight w:val="none"/>
          <w:lang w:val="en-US" w:eastAsia="zh-CN"/>
        </w:rPr>
        <w:t>总价下浮</w:t>
      </w:r>
      <w:r>
        <w:rPr>
          <w:rFonts w:hint="eastAsia"/>
          <w:color w:val="auto"/>
          <w:highlight w:val="none"/>
          <w:lang w:val="en-US" w:eastAsia="zh-CN"/>
        </w:rPr>
        <w:t>12</w:t>
      </w:r>
      <w:r>
        <w:rPr>
          <w:rFonts w:hint="eastAsia" w:eastAsia="宋体"/>
          <w:color w:val="auto"/>
          <w:highlight w:val="none"/>
          <w:lang w:val="en-US" w:eastAsia="zh-CN"/>
        </w:rPr>
        <w:t>%作为最高限价，投标下浮率小于或等于</w:t>
      </w:r>
      <w:r>
        <w:rPr>
          <w:rFonts w:hint="eastAsia"/>
          <w:color w:val="auto"/>
          <w:highlight w:val="none"/>
          <w:lang w:val="en-US" w:eastAsia="zh-CN"/>
        </w:rPr>
        <w:t>12</w:t>
      </w:r>
      <w:r>
        <w:rPr>
          <w:rFonts w:hint="eastAsia" w:eastAsia="宋体"/>
          <w:color w:val="auto"/>
          <w:highlight w:val="none"/>
          <w:lang w:val="en-US" w:eastAsia="zh-CN"/>
        </w:rPr>
        <w:t>%视为废标</w:t>
      </w:r>
      <w:r>
        <w:rPr>
          <w:rFonts w:hint="eastAsia" w:ascii="宋体" w:hAnsi="宋体" w:cs="Times New Roman" w:eastAsiaTheme="minorEastAsia"/>
          <w:b w:val="0"/>
          <w:bCs/>
          <w:kern w:val="0"/>
          <w:sz w:val="24"/>
          <w:szCs w:val="24"/>
          <w:highlight w:val="none"/>
          <w:lang w:val="en-US" w:eastAsia="zh-CN"/>
        </w:rPr>
        <w:t>。</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最终结算以竣工验收合格后业主认可的工程造价、及</w:t>
      </w:r>
      <w:r>
        <w:rPr>
          <w:rFonts w:hint="eastAsia" w:ascii="宋体" w:hAnsi="宋体" w:cs="宋体"/>
          <w:sz w:val="24"/>
          <w:szCs w:val="24"/>
          <w:highlight w:val="none"/>
          <w:lang w:val="en-US" w:eastAsia="zh-CN"/>
        </w:rPr>
        <w:t>我单位</w:t>
      </w:r>
      <w:r>
        <w:rPr>
          <w:rFonts w:hint="eastAsia" w:ascii="宋体" w:hAnsi="宋体" w:eastAsia="宋体" w:cs="宋体"/>
          <w:sz w:val="24"/>
          <w:szCs w:val="24"/>
          <w:highlight w:val="none"/>
        </w:rPr>
        <w:t>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p>
    <w:p w14:paraId="7D28C8E0">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竣工验收后支付至已完成工程量的90%；竣工结算审计结束后一个月内付余款（3%的质保金除外）（未支付部分不计息）。</w:t>
      </w:r>
      <w:r>
        <w:rPr>
          <w:rFonts w:hint="eastAsia"/>
          <w:b/>
          <w:bCs/>
          <w:color w:val="auto"/>
          <w:highlight w:val="none"/>
        </w:rPr>
        <w:t>施工过程中新增、变更工程按业主或鹏安公司审定的已完成工程产值，再按中标单位中标下浮率后的50%计入进度，随进度支付条款进行拨付，</w:t>
      </w:r>
      <w:r>
        <w:rPr>
          <w:b/>
          <w:bCs/>
          <w:color w:val="auto"/>
          <w:highlight w:val="none"/>
        </w:rPr>
        <w:t>剩余部分待审计结束后支付至结算总价的 97%，留 3%作工程质量保修金</w:t>
      </w:r>
      <w:r>
        <w:rPr>
          <w:rFonts w:hint="eastAsia"/>
          <w:b/>
          <w:bCs/>
          <w:color w:val="auto"/>
          <w:highlight w:val="none"/>
          <w:lang w:eastAsia="zh-CN"/>
        </w:rPr>
        <w:t>（</w:t>
      </w:r>
      <w:r>
        <w:rPr>
          <w:rFonts w:hint="eastAsia"/>
          <w:b/>
          <w:bCs/>
          <w:color w:val="auto"/>
          <w:highlight w:val="none"/>
          <w:lang w:val="en-US" w:eastAsia="zh-CN"/>
        </w:rPr>
        <w:t>质保期为两年）</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38C904D3">
      <w:pPr>
        <w:widowControl/>
        <w:spacing w:line="360" w:lineRule="auto"/>
        <w:ind w:firstLine="482" w:firstLineChars="200"/>
        <w:jc w:val="left"/>
        <w:rPr>
          <w:rFonts w:hint="eastAsia" w:ascii="宋体" w:hAnsi="宋体" w:cs="Times New Roman" w:eastAsiaTheme="minorEastAsia"/>
          <w:b/>
          <w:bCs w:val="0"/>
          <w:kern w:val="0"/>
          <w:sz w:val="24"/>
          <w:szCs w:val="24"/>
          <w:highlight w:val="yellow"/>
          <w:lang w:val="en-US" w:eastAsia="zh-CN"/>
        </w:rPr>
      </w:pPr>
      <w:r>
        <w:rPr>
          <w:rFonts w:hint="eastAsia" w:ascii="宋体" w:hAnsi="宋体" w:cs="Times New Roman" w:eastAsiaTheme="minorEastAsia"/>
          <w:b/>
          <w:bCs w:val="0"/>
          <w:kern w:val="0"/>
          <w:sz w:val="24"/>
          <w:szCs w:val="24"/>
          <w:highlight w:val="yellow"/>
          <w:lang w:val="en-US" w:eastAsia="zh-CN"/>
        </w:rPr>
        <w:t xml:space="preserve">若投标单位报价低于所有有效报价算术平均值的92%视为无效标。 </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中标单位需在中标公示期后5个工作日内缴纳中标金额的3%作为履约保证金（不接受保函）。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1D8CA0A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①工程费用按中标单价计算，最终结算以竣工验收合格后业主认可的工程造价、及我单位的招标控制价进行下浮（下浮比例与中标单位中标下浮率一致）</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工程费用包含人工费、材料费、机械费、措施费、劳保费、管理费、利润、辅材费、用工人员保险费、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、安全文明施工费、规费等一切费用。</w:t>
      </w:r>
    </w:p>
    <w:p w14:paraId="13CE308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施工过程中新增、变更工程按业主或鹏安公司审定的已完成工程产值，再按中标单位中标下浮率后的50%计入进度，随进度支付条款进行拨付。结算价格中含人工费、机械费、措施费（含安全文明施工费）、劳保费、管理费、利润、辅材费用、用工人员保险费、规费、</w:t>
      </w:r>
      <w:r>
        <w:rPr>
          <w:rFonts w:hint="eastAsia" w:ascii="宋体" w:hAnsi="宋体" w:cs="Times New Roman" w:eastAsiaTheme="minorEastAsia"/>
          <w:b/>
          <w:bCs w:val="0"/>
          <w:kern w:val="0"/>
          <w:sz w:val="24"/>
          <w:szCs w:val="24"/>
          <w:highlight w:val="none"/>
          <w:lang w:val="en-US" w:eastAsia="zh-CN"/>
        </w:rPr>
        <w:t>税金（3%增值税专用发票）</w:t>
      </w:r>
      <w:r>
        <w:rPr>
          <w:rFonts w:hint="eastAsia" w:ascii="宋体" w:hAnsi="宋体" w:cs="Times New Roman" w:eastAsiaTheme="minorEastAsia"/>
          <w:b w:val="0"/>
          <w:bCs/>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13</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上午10</w:t>
      </w:r>
      <w:r>
        <w:rPr>
          <w:rFonts w:hint="eastAsia" w:ascii="宋体" w:hAnsi="宋体" w:eastAsia="宋体" w:cs="宋体"/>
          <w:b/>
          <w:bCs/>
          <w:color w:val="auto"/>
          <w:sz w:val="24"/>
          <w:szCs w:val="24"/>
          <w:highlight w:val="none"/>
        </w:rPr>
        <w:t>点</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上午10点</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keepNext w:val="0"/>
        <w:keepLines w:val="0"/>
        <w:pageBreakBefore w:val="0"/>
        <w:widowControl w:val="0"/>
        <w:kinsoku/>
        <w:wordWrap/>
        <w:overflowPunct/>
        <w:topLinePunct w:val="0"/>
        <w:autoSpaceDE/>
        <w:autoSpaceDN/>
        <w:bidi w:val="0"/>
        <w:adjustRightInd/>
        <w:snapToGrid/>
        <w:spacing w:after="0" w:afterLines="0" w:line="360" w:lineRule="auto"/>
        <w:ind w:left="1140" w:leftChars="0" w:firstLine="480" w:firstLineChars="200"/>
        <w:textAlignment w:val="auto"/>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after="0" w:afterLines="0" w:line="360" w:lineRule="auto"/>
        <w:ind w:left="0" w:leftChars="0" w:firstLine="480" w:firstLineChars="20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bookmarkStart w:id="0" w:name="_GoBack"/>
      <w:bookmarkEnd w:id="0"/>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7</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9</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5.附市政二级建造师或市政施工员与安全员证书以及各人员劳动合同。</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center"/>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遂宁市安居区梧桐路排水防涝能力提升项目(一标段)/遂宁市安居区梧桐路片区城市污水管网整治及附属设施提升项目(二标段)（第二次）</w:t>
      </w:r>
    </w:p>
    <w:p w14:paraId="70214CC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tbl>
      <w:tblPr>
        <w:tblStyle w:val="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3266"/>
        <w:gridCol w:w="3173"/>
        <w:gridCol w:w="4983"/>
        <w:gridCol w:w="2272"/>
      </w:tblGrid>
      <w:tr w14:paraId="186D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398" w:type="pct"/>
            <w:noWrap w:val="0"/>
            <w:vAlign w:val="center"/>
          </w:tcPr>
          <w:p w14:paraId="4021FC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序号</w:t>
            </w:r>
          </w:p>
        </w:tc>
        <w:tc>
          <w:tcPr>
            <w:tcW w:w="1097" w:type="pct"/>
            <w:noWrap w:val="0"/>
            <w:vAlign w:val="center"/>
          </w:tcPr>
          <w:p w14:paraId="0C9FC1E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工程名称</w:t>
            </w:r>
          </w:p>
        </w:tc>
        <w:tc>
          <w:tcPr>
            <w:tcW w:w="1066" w:type="pct"/>
            <w:noWrap w:val="0"/>
            <w:vAlign w:val="center"/>
          </w:tcPr>
          <w:p w14:paraId="2F669A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工程规模</w:t>
            </w:r>
          </w:p>
        </w:tc>
        <w:tc>
          <w:tcPr>
            <w:tcW w:w="1674" w:type="pct"/>
            <w:noWrap w:val="0"/>
            <w:vAlign w:val="center"/>
          </w:tcPr>
          <w:p w14:paraId="2038722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0"/>
                <w:szCs w:val="30"/>
                <w:highlight w:val="none"/>
                <w:lang w:eastAsia="zh-CN"/>
              </w:rPr>
            </w:pPr>
            <w:r>
              <w:rPr>
                <w:rFonts w:hint="eastAsia" w:ascii="仿宋_GB2312" w:hAnsi="仿宋_GB2312" w:eastAsia="仿宋_GB2312" w:cs="仿宋_GB2312"/>
                <w:b/>
                <w:bCs/>
                <w:sz w:val="30"/>
                <w:szCs w:val="30"/>
                <w:highlight w:val="none"/>
                <w:lang w:val="en-US" w:eastAsia="zh-CN"/>
              </w:rPr>
              <w:t>控制价</w:t>
            </w:r>
          </w:p>
        </w:tc>
        <w:tc>
          <w:tcPr>
            <w:tcW w:w="763" w:type="pct"/>
            <w:noWrap w:val="0"/>
            <w:vAlign w:val="center"/>
          </w:tcPr>
          <w:p w14:paraId="5221EDD5">
            <w:pPr>
              <w:jc w:val="center"/>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下浮比例（%）</w:t>
            </w:r>
          </w:p>
        </w:tc>
      </w:tr>
      <w:tr w14:paraId="256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398" w:type="pct"/>
            <w:noWrap w:val="0"/>
            <w:vAlign w:val="center"/>
          </w:tcPr>
          <w:p w14:paraId="2DA108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p>
        </w:tc>
        <w:tc>
          <w:tcPr>
            <w:tcW w:w="1097" w:type="pct"/>
            <w:noWrap w:val="0"/>
            <w:vAlign w:val="center"/>
          </w:tcPr>
          <w:p w14:paraId="66FD96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劳务分包</w:t>
            </w:r>
          </w:p>
        </w:tc>
        <w:tc>
          <w:tcPr>
            <w:tcW w:w="1066" w:type="pct"/>
            <w:noWrap w:val="0"/>
            <w:vAlign w:val="center"/>
          </w:tcPr>
          <w:p w14:paraId="385067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1200" w:firstLineChars="4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iCs w:val="0"/>
                <w:color w:val="000000"/>
                <w:sz w:val="30"/>
                <w:szCs w:val="30"/>
                <w:highlight w:val="none"/>
                <w:u w:val="none"/>
                <w:lang w:val="en-US" w:eastAsia="zh-CN"/>
              </w:rPr>
              <w:t>详概况</w:t>
            </w:r>
          </w:p>
        </w:tc>
        <w:tc>
          <w:tcPr>
            <w:tcW w:w="1674" w:type="pct"/>
            <w:noWrap w:val="0"/>
            <w:vAlign w:val="center"/>
          </w:tcPr>
          <w:p w14:paraId="4ABB01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控制价为</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w:t>
            </w:r>
            <w:r>
              <w:rPr>
                <w:rFonts w:hint="eastAsia" w:ascii="仿宋_GB2312" w:hAnsi="仿宋_GB2312" w:eastAsia="仿宋_GB2312" w:cs="仿宋_GB2312"/>
                <w:sz w:val="30"/>
                <w:szCs w:val="30"/>
                <w:highlight w:val="none"/>
                <w:u w:val="single"/>
                <w:lang w:val="en-US" w:eastAsia="zh-CN"/>
              </w:rPr>
              <w:t>10998631.85元</w:t>
            </w:r>
            <w:r>
              <w:rPr>
                <w:rFonts w:hint="eastAsia" w:ascii="仿宋_GB2312" w:hAnsi="仿宋_GB2312" w:eastAsia="仿宋_GB2312" w:cs="仿宋_GB2312"/>
                <w:sz w:val="30"/>
                <w:szCs w:val="30"/>
                <w:highlight w:val="none"/>
                <w:u w:val="none"/>
                <w:lang w:val="en-US" w:eastAsia="zh-CN"/>
              </w:rPr>
              <w:t>，</w:t>
            </w:r>
          </w:p>
          <w:p w14:paraId="028465EF">
            <w:pPr>
              <w:pStyle w:val="8"/>
              <w:ind w:left="0" w:leftChars="0" w:firstLine="0" w:firstLineChars="0"/>
              <w:rPr>
                <w:rFonts w:hint="eastAsia"/>
                <w:highlight w:val="none"/>
                <w:lang w:val="en-US" w:eastAsia="zh-CN"/>
              </w:rPr>
            </w:pPr>
            <w:r>
              <w:rPr>
                <w:rFonts w:hint="default"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总价下浮</w:t>
            </w:r>
            <w:r>
              <w:rPr>
                <w:rFonts w:hint="eastAsia" w:ascii="仿宋_GB2312" w:hAnsi="仿宋_GB2312" w:eastAsia="仿宋_GB2312" w:cs="仿宋_GB2312"/>
                <w:color w:val="000000" w:themeColor="text1"/>
                <w:kern w:val="2"/>
                <w:sz w:val="30"/>
                <w:szCs w:val="30"/>
                <w:highlight w:val="none"/>
                <w:shd w:val="clear" w:color="auto" w:fill="auto"/>
                <w:lang w:val="en-US" w:eastAsia="zh-CN" w:bidi="ar-SA"/>
                <w14:textFill>
                  <w14:solidFill>
                    <w14:schemeClr w14:val="tx1"/>
                  </w14:solidFill>
                </w14:textFill>
              </w:rPr>
              <w:t>12%作为最高限价，投标下浮率小于或等于12%视为废标。</w:t>
            </w:r>
          </w:p>
        </w:tc>
        <w:tc>
          <w:tcPr>
            <w:tcW w:w="763" w:type="pct"/>
            <w:noWrap w:val="0"/>
            <w:vAlign w:val="center"/>
          </w:tcPr>
          <w:p w14:paraId="349BD7E3">
            <w:pPr>
              <w:jc w:val="center"/>
              <w:rPr>
                <w:rFonts w:hint="eastAsia" w:ascii="仿宋_GB2312" w:hAnsi="仿宋_GB2312" w:eastAsia="仿宋_GB2312" w:cs="仿宋_GB2312"/>
                <w:sz w:val="30"/>
                <w:szCs w:val="30"/>
                <w:highlight w:val="none"/>
              </w:rPr>
            </w:pP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B1CF7"/>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A73D7"/>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D96C64"/>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0B11"/>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2272C"/>
    <w:rsid w:val="094D257E"/>
    <w:rsid w:val="095A5B83"/>
    <w:rsid w:val="095C3A13"/>
    <w:rsid w:val="096B7D90"/>
    <w:rsid w:val="097C01EF"/>
    <w:rsid w:val="097E7AC3"/>
    <w:rsid w:val="098251BA"/>
    <w:rsid w:val="0988000E"/>
    <w:rsid w:val="09976DD7"/>
    <w:rsid w:val="09992B4F"/>
    <w:rsid w:val="099A2423"/>
    <w:rsid w:val="09A27829"/>
    <w:rsid w:val="09A3577C"/>
    <w:rsid w:val="09A45050"/>
    <w:rsid w:val="09C474A0"/>
    <w:rsid w:val="09CF6571"/>
    <w:rsid w:val="09DE4A06"/>
    <w:rsid w:val="09FE0C04"/>
    <w:rsid w:val="0A002BCE"/>
    <w:rsid w:val="0A03621B"/>
    <w:rsid w:val="0A200B7B"/>
    <w:rsid w:val="0A2C751F"/>
    <w:rsid w:val="0A382368"/>
    <w:rsid w:val="0A3B3C06"/>
    <w:rsid w:val="0A3C34DB"/>
    <w:rsid w:val="0A622F41"/>
    <w:rsid w:val="0A6A44EC"/>
    <w:rsid w:val="0A742C74"/>
    <w:rsid w:val="0AA01F20"/>
    <w:rsid w:val="0AAA2B3A"/>
    <w:rsid w:val="0AAC240E"/>
    <w:rsid w:val="0AAE6186"/>
    <w:rsid w:val="0AAF544B"/>
    <w:rsid w:val="0ABF0394"/>
    <w:rsid w:val="0AC0410C"/>
    <w:rsid w:val="0AC51722"/>
    <w:rsid w:val="0ACC485F"/>
    <w:rsid w:val="0AF261CB"/>
    <w:rsid w:val="0AF50259"/>
    <w:rsid w:val="0B1C3A38"/>
    <w:rsid w:val="0B24469B"/>
    <w:rsid w:val="0B2820BE"/>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34FF4"/>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1D75F3"/>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3661B"/>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E072B6"/>
    <w:rsid w:val="10F819E6"/>
    <w:rsid w:val="10FC5772"/>
    <w:rsid w:val="10FE598E"/>
    <w:rsid w:val="11005262"/>
    <w:rsid w:val="11160F29"/>
    <w:rsid w:val="11196324"/>
    <w:rsid w:val="111E1B8C"/>
    <w:rsid w:val="1122342A"/>
    <w:rsid w:val="11270A41"/>
    <w:rsid w:val="112847B9"/>
    <w:rsid w:val="11297E47"/>
    <w:rsid w:val="1142587A"/>
    <w:rsid w:val="11643A43"/>
    <w:rsid w:val="116E6670"/>
    <w:rsid w:val="117479FE"/>
    <w:rsid w:val="117A3266"/>
    <w:rsid w:val="117B0D8C"/>
    <w:rsid w:val="117B2B3A"/>
    <w:rsid w:val="117D68B3"/>
    <w:rsid w:val="11847C41"/>
    <w:rsid w:val="11881259"/>
    <w:rsid w:val="118C4D48"/>
    <w:rsid w:val="119F3395"/>
    <w:rsid w:val="11AA3420"/>
    <w:rsid w:val="11B12A00"/>
    <w:rsid w:val="11B147AE"/>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81CC1"/>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213E6D"/>
    <w:rsid w:val="14411E19"/>
    <w:rsid w:val="145204CA"/>
    <w:rsid w:val="145C6F17"/>
    <w:rsid w:val="145D29CB"/>
    <w:rsid w:val="146A5814"/>
    <w:rsid w:val="147057B9"/>
    <w:rsid w:val="14726477"/>
    <w:rsid w:val="147979C3"/>
    <w:rsid w:val="148443FC"/>
    <w:rsid w:val="148D6FE1"/>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AE34DE"/>
    <w:rsid w:val="15B11221"/>
    <w:rsid w:val="15B12FCF"/>
    <w:rsid w:val="15B139C8"/>
    <w:rsid w:val="15B17473"/>
    <w:rsid w:val="15B80AFE"/>
    <w:rsid w:val="15C07258"/>
    <w:rsid w:val="15CA4090"/>
    <w:rsid w:val="15CC1BB7"/>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5F059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0574B"/>
    <w:rsid w:val="17C81174"/>
    <w:rsid w:val="17D43762"/>
    <w:rsid w:val="17D47448"/>
    <w:rsid w:val="17D631C0"/>
    <w:rsid w:val="17DB2585"/>
    <w:rsid w:val="17E4768B"/>
    <w:rsid w:val="17F3167D"/>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1B5B"/>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E4E1F"/>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684130"/>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0574F"/>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2D5A"/>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6051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7A6B27"/>
    <w:rsid w:val="1F8D23B7"/>
    <w:rsid w:val="1F933745"/>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3942EC"/>
    <w:rsid w:val="20476A09"/>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15666"/>
    <w:rsid w:val="21555156"/>
    <w:rsid w:val="21584C46"/>
    <w:rsid w:val="216435EB"/>
    <w:rsid w:val="216B6728"/>
    <w:rsid w:val="21725D0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43889"/>
    <w:rsid w:val="220A4192"/>
    <w:rsid w:val="220A5F40"/>
    <w:rsid w:val="22155DA2"/>
    <w:rsid w:val="22192627"/>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337719"/>
    <w:rsid w:val="23411E36"/>
    <w:rsid w:val="23515DF1"/>
    <w:rsid w:val="23587183"/>
    <w:rsid w:val="23616034"/>
    <w:rsid w:val="236C6787"/>
    <w:rsid w:val="237D2742"/>
    <w:rsid w:val="238B1303"/>
    <w:rsid w:val="238C6E29"/>
    <w:rsid w:val="23A32F09"/>
    <w:rsid w:val="23A81EB5"/>
    <w:rsid w:val="23BC74F2"/>
    <w:rsid w:val="23C14D25"/>
    <w:rsid w:val="23C95987"/>
    <w:rsid w:val="23CE2F9E"/>
    <w:rsid w:val="23D86E95"/>
    <w:rsid w:val="23DE58D7"/>
    <w:rsid w:val="23E34C9B"/>
    <w:rsid w:val="23ED3D6C"/>
    <w:rsid w:val="23FC3FAF"/>
    <w:rsid w:val="241035B6"/>
    <w:rsid w:val="24172B97"/>
    <w:rsid w:val="241F1A4B"/>
    <w:rsid w:val="243674C1"/>
    <w:rsid w:val="24374FE7"/>
    <w:rsid w:val="243C25FD"/>
    <w:rsid w:val="243F3E9B"/>
    <w:rsid w:val="24457704"/>
    <w:rsid w:val="24472E84"/>
    <w:rsid w:val="244E7FBA"/>
    <w:rsid w:val="24523BCF"/>
    <w:rsid w:val="24613E12"/>
    <w:rsid w:val="246D6C5B"/>
    <w:rsid w:val="246F652F"/>
    <w:rsid w:val="24804FB8"/>
    <w:rsid w:val="24883585"/>
    <w:rsid w:val="249935AC"/>
    <w:rsid w:val="249D704F"/>
    <w:rsid w:val="24A0493A"/>
    <w:rsid w:val="24A106B2"/>
    <w:rsid w:val="24A7216D"/>
    <w:rsid w:val="24C22B02"/>
    <w:rsid w:val="24CD14A7"/>
    <w:rsid w:val="24CE0F21"/>
    <w:rsid w:val="24CF3471"/>
    <w:rsid w:val="24ED38F7"/>
    <w:rsid w:val="24EF141E"/>
    <w:rsid w:val="24F84776"/>
    <w:rsid w:val="24FB6014"/>
    <w:rsid w:val="25067240"/>
    <w:rsid w:val="250749B9"/>
    <w:rsid w:val="254774AC"/>
    <w:rsid w:val="25590B49"/>
    <w:rsid w:val="256E2C8A"/>
    <w:rsid w:val="2580476C"/>
    <w:rsid w:val="259F3E09"/>
    <w:rsid w:val="25AB7A3A"/>
    <w:rsid w:val="25AD4B37"/>
    <w:rsid w:val="25B6018D"/>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0E42"/>
    <w:rsid w:val="26571970"/>
    <w:rsid w:val="267442D0"/>
    <w:rsid w:val="26775B6F"/>
    <w:rsid w:val="26776CCF"/>
    <w:rsid w:val="2677791D"/>
    <w:rsid w:val="26793695"/>
    <w:rsid w:val="2684130D"/>
    <w:rsid w:val="268A7862"/>
    <w:rsid w:val="26997893"/>
    <w:rsid w:val="26A5092E"/>
    <w:rsid w:val="26A85D28"/>
    <w:rsid w:val="26C16DEA"/>
    <w:rsid w:val="26C37006"/>
    <w:rsid w:val="26D22DA5"/>
    <w:rsid w:val="26DB7EAB"/>
    <w:rsid w:val="26E054C2"/>
    <w:rsid w:val="26E50D2A"/>
    <w:rsid w:val="26F01555"/>
    <w:rsid w:val="26F251F5"/>
    <w:rsid w:val="27003DB6"/>
    <w:rsid w:val="27115CA6"/>
    <w:rsid w:val="27133AE9"/>
    <w:rsid w:val="27182EAE"/>
    <w:rsid w:val="27391076"/>
    <w:rsid w:val="274912B9"/>
    <w:rsid w:val="275F6D2E"/>
    <w:rsid w:val="27663AA7"/>
    <w:rsid w:val="276A7481"/>
    <w:rsid w:val="27787DF0"/>
    <w:rsid w:val="27826579"/>
    <w:rsid w:val="278774F8"/>
    <w:rsid w:val="27895B59"/>
    <w:rsid w:val="27910EB2"/>
    <w:rsid w:val="27912C60"/>
    <w:rsid w:val="279462D4"/>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81571"/>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27DD1"/>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74120"/>
    <w:rsid w:val="29DA269C"/>
    <w:rsid w:val="29DF4157"/>
    <w:rsid w:val="29E51041"/>
    <w:rsid w:val="29F64FFC"/>
    <w:rsid w:val="29FF0355"/>
    <w:rsid w:val="2A094D30"/>
    <w:rsid w:val="2A0E0598"/>
    <w:rsid w:val="2A224043"/>
    <w:rsid w:val="2A247DBB"/>
    <w:rsid w:val="2A41271B"/>
    <w:rsid w:val="2A4E130B"/>
    <w:rsid w:val="2A500BB0"/>
    <w:rsid w:val="2A50113D"/>
    <w:rsid w:val="2A557F75"/>
    <w:rsid w:val="2A6B7798"/>
    <w:rsid w:val="2A704DAF"/>
    <w:rsid w:val="2A7F6495"/>
    <w:rsid w:val="2A832D34"/>
    <w:rsid w:val="2A88659C"/>
    <w:rsid w:val="2A950CB9"/>
    <w:rsid w:val="2AB729DE"/>
    <w:rsid w:val="2AE17A5A"/>
    <w:rsid w:val="2AEE5B9E"/>
    <w:rsid w:val="2AF07C9E"/>
    <w:rsid w:val="2AF23A16"/>
    <w:rsid w:val="2B053749"/>
    <w:rsid w:val="2B065713"/>
    <w:rsid w:val="2B0B2D29"/>
    <w:rsid w:val="2B1122E5"/>
    <w:rsid w:val="2B1C3740"/>
    <w:rsid w:val="2B2C33CC"/>
    <w:rsid w:val="2B457FE9"/>
    <w:rsid w:val="2B4C581C"/>
    <w:rsid w:val="2B604E23"/>
    <w:rsid w:val="2B7C5A1B"/>
    <w:rsid w:val="2B7D534D"/>
    <w:rsid w:val="2B886128"/>
    <w:rsid w:val="2B8925CC"/>
    <w:rsid w:val="2BA54F2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02915"/>
    <w:rsid w:val="2C9A25B7"/>
    <w:rsid w:val="2CA156F3"/>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79041E"/>
    <w:rsid w:val="2D8172D3"/>
    <w:rsid w:val="2D870D8D"/>
    <w:rsid w:val="2D8A43D9"/>
    <w:rsid w:val="2D947006"/>
    <w:rsid w:val="2D984D48"/>
    <w:rsid w:val="2D9B65E7"/>
    <w:rsid w:val="2DA21723"/>
    <w:rsid w:val="2DA336ED"/>
    <w:rsid w:val="2DB12B6C"/>
    <w:rsid w:val="2DB80F46"/>
    <w:rsid w:val="2DC31699"/>
    <w:rsid w:val="2DEA131C"/>
    <w:rsid w:val="2E0777D8"/>
    <w:rsid w:val="2E255EB0"/>
    <w:rsid w:val="2E284025"/>
    <w:rsid w:val="2E2A34C6"/>
    <w:rsid w:val="2E2E745B"/>
    <w:rsid w:val="2E3C1B78"/>
    <w:rsid w:val="2E456552"/>
    <w:rsid w:val="2E586286"/>
    <w:rsid w:val="2E5A0250"/>
    <w:rsid w:val="2E620EB2"/>
    <w:rsid w:val="2E6A7D67"/>
    <w:rsid w:val="2E7B3CA3"/>
    <w:rsid w:val="2E913546"/>
    <w:rsid w:val="2EA27501"/>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4800A8"/>
    <w:rsid w:val="2F5B427F"/>
    <w:rsid w:val="2F5E78CC"/>
    <w:rsid w:val="2F6A022C"/>
    <w:rsid w:val="2F6F3887"/>
    <w:rsid w:val="2F706960"/>
    <w:rsid w:val="2F7075FF"/>
    <w:rsid w:val="2F7525D8"/>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C6A42"/>
    <w:rsid w:val="2FDE6C5E"/>
    <w:rsid w:val="300541EB"/>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05CC2"/>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736A5"/>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0530C"/>
    <w:rsid w:val="322A618B"/>
    <w:rsid w:val="32313075"/>
    <w:rsid w:val="323B2146"/>
    <w:rsid w:val="324059AE"/>
    <w:rsid w:val="32505AC0"/>
    <w:rsid w:val="32537490"/>
    <w:rsid w:val="32601BAD"/>
    <w:rsid w:val="326276D3"/>
    <w:rsid w:val="326A2A2B"/>
    <w:rsid w:val="326A5D92"/>
    <w:rsid w:val="326C2300"/>
    <w:rsid w:val="326E6078"/>
    <w:rsid w:val="3276317E"/>
    <w:rsid w:val="3286339B"/>
    <w:rsid w:val="328A5202"/>
    <w:rsid w:val="32931D93"/>
    <w:rsid w:val="3293788C"/>
    <w:rsid w:val="32987598"/>
    <w:rsid w:val="32A23F73"/>
    <w:rsid w:val="32A41A99"/>
    <w:rsid w:val="32A61CB5"/>
    <w:rsid w:val="32B617CD"/>
    <w:rsid w:val="32C55048"/>
    <w:rsid w:val="32C57C62"/>
    <w:rsid w:val="32CB34CA"/>
    <w:rsid w:val="32D06D32"/>
    <w:rsid w:val="32D22AAA"/>
    <w:rsid w:val="32D83E39"/>
    <w:rsid w:val="32DA1E8F"/>
    <w:rsid w:val="32E242A8"/>
    <w:rsid w:val="32EA4A62"/>
    <w:rsid w:val="33024A12"/>
    <w:rsid w:val="331A65F8"/>
    <w:rsid w:val="331A7FAD"/>
    <w:rsid w:val="3330157F"/>
    <w:rsid w:val="3330332D"/>
    <w:rsid w:val="334B63B9"/>
    <w:rsid w:val="334D3EDF"/>
    <w:rsid w:val="33552D94"/>
    <w:rsid w:val="335F00B6"/>
    <w:rsid w:val="33704071"/>
    <w:rsid w:val="337C57F1"/>
    <w:rsid w:val="33863895"/>
    <w:rsid w:val="339B7340"/>
    <w:rsid w:val="339C4E66"/>
    <w:rsid w:val="33A1422B"/>
    <w:rsid w:val="33C06DA7"/>
    <w:rsid w:val="33C543BD"/>
    <w:rsid w:val="33C70135"/>
    <w:rsid w:val="33CC4425"/>
    <w:rsid w:val="33D622E7"/>
    <w:rsid w:val="33E37C01"/>
    <w:rsid w:val="33E5680D"/>
    <w:rsid w:val="33F00D0E"/>
    <w:rsid w:val="33F20F2A"/>
    <w:rsid w:val="33FE3469"/>
    <w:rsid w:val="340547BA"/>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3D7F83"/>
    <w:rsid w:val="3546508A"/>
    <w:rsid w:val="35472BB0"/>
    <w:rsid w:val="354C0715"/>
    <w:rsid w:val="354D466A"/>
    <w:rsid w:val="354D61E7"/>
    <w:rsid w:val="35551771"/>
    <w:rsid w:val="35690D78"/>
    <w:rsid w:val="35696FCA"/>
    <w:rsid w:val="35697443"/>
    <w:rsid w:val="357065AB"/>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D6B2F"/>
    <w:rsid w:val="365E6403"/>
    <w:rsid w:val="3660217B"/>
    <w:rsid w:val="366652B8"/>
    <w:rsid w:val="366754AB"/>
    <w:rsid w:val="367F4CF7"/>
    <w:rsid w:val="368F480F"/>
    <w:rsid w:val="36A55DE0"/>
    <w:rsid w:val="36A650A3"/>
    <w:rsid w:val="36A96E75"/>
    <w:rsid w:val="36B20917"/>
    <w:rsid w:val="36B44275"/>
    <w:rsid w:val="36BF3106"/>
    <w:rsid w:val="36C00E6C"/>
    <w:rsid w:val="36C546D4"/>
    <w:rsid w:val="36C56180"/>
    <w:rsid w:val="36CE5337"/>
    <w:rsid w:val="36E52680"/>
    <w:rsid w:val="36E83F1F"/>
    <w:rsid w:val="36F56D67"/>
    <w:rsid w:val="36F90F52"/>
    <w:rsid w:val="3700570C"/>
    <w:rsid w:val="370E1BD7"/>
    <w:rsid w:val="37103BA1"/>
    <w:rsid w:val="3715740A"/>
    <w:rsid w:val="37184804"/>
    <w:rsid w:val="3720190B"/>
    <w:rsid w:val="373158C6"/>
    <w:rsid w:val="373A0C1E"/>
    <w:rsid w:val="373A6320"/>
    <w:rsid w:val="373D070E"/>
    <w:rsid w:val="37441A9D"/>
    <w:rsid w:val="374B2E2B"/>
    <w:rsid w:val="37503F9E"/>
    <w:rsid w:val="37557806"/>
    <w:rsid w:val="37585548"/>
    <w:rsid w:val="37824373"/>
    <w:rsid w:val="37B95FE7"/>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CC58A6"/>
    <w:rsid w:val="38D34E86"/>
    <w:rsid w:val="38D62BC9"/>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9A59A4"/>
    <w:rsid w:val="39AC1690"/>
    <w:rsid w:val="39B36A66"/>
    <w:rsid w:val="39B5458C"/>
    <w:rsid w:val="39BA6046"/>
    <w:rsid w:val="39BD78E5"/>
    <w:rsid w:val="39C46EC5"/>
    <w:rsid w:val="39D72754"/>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824942"/>
    <w:rsid w:val="3B984165"/>
    <w:rsid w:val="3BA725FA"/>
    <w:rsid w:val="3BDF7FE6"/>
    <w:rsid w:val="3BE64ED1"/>
    <w:rsid w:val="3BE86E9B"/>
    <w:rsid w:val="3BEE0229"/>
    <w:rsid w:val="3BF64ED3"/>
    <w:rsid w:val="3BFD046C"/>
    <w:rsid w:val="3BFD221A"/>
    <w:rsid w:val="3BFF2436"/>
    <w:rsid w:val="3C027068"/>
    <w:rsid w:val="3C153A0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7E738B"/>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56DB"/>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AA4D0D"/>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63680"/>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A645C"/>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543D6"/>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6F32B98"/>
    <w:rsid w:val="4707219F"/>
    <w:rsid w:val="471274C2"/>
    <w:rsid w:val="471A45C8"/>
    <w:rsid w:val="4732546E"/>
    <w:rsid w:val="47380BB4"/>
    <w:rsid w:val="474147FF"/>
    <w:rsid w:val="474E6020"/>
    <w:rsid w:val="478832E0"/>
    <w:rsid w:val="47947ED7"/>
    <w:rsid w:val="47973E16"/>
    <w:rsid w:val="47A619B8"/>
    <w:rsid w:val="47A868D9"/>
    <w:rsid w:val="47AB5220"/>
    <w:rsid w:val="47B57E4D"/>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B40105"/>
    <w:rsid w:val="48B85E47"/>
    <w:rsid w:val="48B87E46"/>
    <w:rsid w:val="48CA4797"/>
    <w:rsid w:val="48D03190"/>
    <w:rsid w:val="48D81B3F"/>
    <w:rsid w:val="48D82045"/>
    <w:rsid w:val="48DD3AFF"/>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0AD"/>
    <w:rsid w:val="4A1474F2"/>
    <w:rsid w:val="4A1D0657"/>
    <w:rsid w:val="4A1E617D"/>
    <w:rsid w:val="4A205A52"/>
    <w:rsid w:val="4A241BB8"/>
    <w:rsid w:val="4A2506E0"/>
    <w:rsid w:val="4A2C2648"/>
    <w:rsid w:val="4A370FED"/>
    <w:rsid w:val="4A595408"/>
    <w:rsid w:val="4A657908"/>
    <w:rsid w:val="4A6C0C97"/>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2C48CA"/>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691054"/>
    <w:rsid w:val="4C7E1155"/>
    <w:rsid w:val="4C8C3872"/>
    <w:rsid w:val="4C8D3147"/>
    <w:rsid w:val="4C9170DB"/>
    <w:rsid w:val="4C9B3AB5"/>
    <w:rsid w:val="4CA0731E"/>
    <w:rsid w:val="4CB37051"/>
    <w:rsid w:val="4CB933F8"/>
    <w:rsid w:val="4CBB5F06"/>
    <w:rsid w:val="4CC645C2"/>
    <w:rsid w:val="4CD45690"/>
    <w:rsid w:val="4CD62D3F"/>
    <w:rsid w:val="4CDC6EC9"/>
    <w:rsid w:val="4CEA67EB"/>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EF40B9"/>
    <w:rsid w:val="4DFC2754"/>
    <w:rsid w:val="4E031912"/>
    <w:rsid w:val="4E0336C0"/>
    <w:rsid w:val="4E064079"/>
    <w:rsid w:val="4E0B28D9"/>
    <w:rsid w:val="4E10402F"/>
    <w:rsid w:val="4E1458CD"/>
    <w:rsid w:val="4E231FB4"/>
    <w:rsid w:val="4E3E294A"/>
    <w:rsid w:val="4E473EF5"/>
    <w:rsid w:val="4E4D47C5"/>
    <w:rsid w:val="4E5C7274"/>
    <w:rsid w:val="4E676345"/>
    <w:rsid w:val="4E6F51FA"/>
    <w:rsid w:val="4E797E26"/>
    <w:rsid w:val="4E7B594C"/>
    <w:rsid w:val="4E881E17"/>
    <w:rsid w:val="4E8A3DE2"/>
    <w:rsid w:val="4E8D38D2"/>
    <w:rsid w:val="4E8D5680"/>
    <w:rsid w:val="4E8D742E"/>
    <w:rsid w:val="4E9C58C3"/>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252F29"/>
    <w:rsid w:val="5036195A"/>
    <w:rsid w:val="503A5393"/>
    <w:rsid w:val="503E6C32"/>
    <w:rsid w:val="50487AB0"/>
    <w:rsid w:val="504D50C7"/>
    <w:rsid w:val="50593A6B"/>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477D68"/>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3A1AA0"/>
    <w:rsid w:val="52432C25"/>
    <w:rsid w:val="5244074B"/>
    <w:rsid w:val="5245699D"/>
    <w:rsid w:val="52505342"/>
    <w:rsid w:val="52595FA5"/>
    <w:rsid w:val="525E35BB"/>
    <w:rsid w:val="526037D7"/>
    <w:rsid w:val="52636A33"/>
    <w:rsid w:val="527A416D"/>
    <w:rsid w:val="527B6D79"/>
    <w:rsid w:val="527F3531"/>
    <w:rsid w:val="528943B0"/>
    <w:rsid w:val="528A0854"/>
    <w:rsid w:val="528F19C6"/>
    <w:rsid w:val="52927709"/>
    <w:rsid w:val="529B5DDF"/>
    <w:rsid w:val="529C68B6"/>
    <w:rsid w:val="52A87A96"/>
    <w:rsid w:val="52C27FEE"/>
    <w:rsid w:val="52C33D66"/>
    <w:rsid w:val="52CB6777"/>
    <w:rsid w:val="52CF6267"/>
    <w:rsid w:val="52D25D57"/>
    <w:rsid w:val="52DB41AC"/>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60108"/>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96330"/>
    <w:rsid w:val="564B654C"/>
    <w:rsid w:val="564E7DEA"/>
    <w:rsid w:val="56570A4D"/>
    <w:rsid w:val="565D1FD4"/>
    <w:rsid w:val="5664316A"/>
    <w:rsid w:val="566B62A7"/>
    <w:rsid w:val="56737851"/>
    <w:rsid w:val="56755377"/>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ED7603"/>
    <w:rsid w:val="56F03D6C"/>
    <w:rsid w:val="56FC33A3"/>
    <w:rsid w:val="57041E39"/>
    <w:rsid w:val="570566FB"/>
    <w:rsid w:val="570606C5"/>
    <w:rsid w:val="57160908"/>
    <w:rsid w:val="571C57F3"/>
    <w:rsid w:val="572428B3"/>
    <w:rsid w:val="572B0FB2"/>
    <w:rsid w:val="573E3806"/>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BF2D4E"/>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66DFD"/>
    <w:rsid w:val="592866D1"/>
    <w:rsid w:val="59301A29"/>
    <w:rsid w:val="59346F8B"/>
    <w:rsid w:val="59367040"/>
    <w:rsid w:val="593A6404"/>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AE70AA"/>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37623"/>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E6046"/>
    <w:rsid w:val="5E0F7E5F"/>
    <w:rsid w:val="5E14191A"/>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5F0A"/>
    <w:rsid w:val="5EFD7BFF"/>
    <w:rsid w:val="5F074FDA"/>
    <w:rsid w:val="5F08322C"/>
    <w:rsid w:val="5F137C44"/>
    <w:rsid w:val="5F2711D9"/>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773F0E"/>
    <w:rsid w:val="5F920D48"/>
    <w:rsid w:val="5F97010C"/>
    <w:rsid w:val="5F9C3975"/>
    <w:rsid w:val="5FA36630"/>
    <w:rsid w:val="5FA840C8"/>
    <w:rsid w:val="5FAB3BB8"/>
    <w:rsid w:val="5FB87366"/>
    <w:rsid w:val="5FBE1B3D"/>
    <w:rsid w:val="5FC353A5"/>
    <w:rsid w:val="5FE61094"/>
    <w:rsid w:val="5FEC48FC"/>
    <w:rsid w:val="60163727"/>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2E684E"/>
    <w:rsid w:val="61300818"/>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56C8B"/>
    <w:rsid w:val="623779B1"/>
    <w:rsid w:val="624327CD"/>
    <w:rsid w:val="62555998"/>
    <w:rsid w:val="625B3673"/>
    <w:rsid w:val="626D15F8"/>
    <w:rsid w:val="627B5AC3"/>
    <w:rsid w:val="62832BCA"/>
    <w:rsid w:val="628F5A13"/>
    <w:rsid w:val="62943029"/>
    <w:rsid w:val="62AF39BF"/>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6D5D54"/>
    <w:rsid w:val="63785F7E"/>
    <w:rsid w:val="637F15E3"/>
    <w:rsid w:val="639A01CB"/>
    <w:rsid w:val="63A31776"/>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61E9B"/>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DF4A2F"/>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253BB"/>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D76900"/>
    <w:rsid w:val="66F278C5"/>
    <w:rsid w:val="67095D94"/>
    <w:rsid w:val="670F0664"/>
    <w:rsid w:val="67222BCE"/>
    <w:rsid w:val="672A7AB8"/>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1D7BEB"/>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87988"/>
    <w:rsid w:val="6DAA3701"/>
    <w:rsid w:val="6DB85E1E"/>
    <w:rsid w:val="6DBE1C08"/>
    <w:rsid w:val="6DC2475E"/>
    <w:rsid w:val="6DC5678C"/>
    <w:rsid w:val="6DD644F6"/>
    <w:rsid w:val="6DD8026E"/>
    <w:rsid w:val="6DDA2238"/>
    <w:rsid w:val="6DDB29E3"/>
    <w:rsid w:val="6DF80910"/>
    <w:rsid w:val="6E0C6169"/>
    <w:rsid w:val="6E146DCC"/>
    <w:rsid w:val="6E2214E9"/>
    <w:rsid w:val="6E2A4990"/>
    <w:rsid w:val="6E2E7E8E"/>
    <w:rsid w:val="6E331948"/>
    <w:rsid w:val="6E3336F6"/>
    <w:rsid w:val="6E3B07FD"/>
    <w:rsid w:val="6E46167B"/>
    <w:rsid w:val="6E526272"/>
    <w:rsid w:val="6E5673E4"/>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EF94940"/>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D76303"/>
    <w:rsid w:val="6FD9651F"/>
    <w:rsid w:val="6FDC1B6B"/>
    <w:rsid w:val="6FEE5677"/>
    <w:rsid w:val="6FEF5D43"/>
    <w:rsid w:val="6FF334D7"/>
    <w:rsid w:val="6FF62C2D"/>
    <w:rsid w:val="6FF944CB"/>
    <w:rsid w:val="6FFE1AE2"/>
    <w:rsid w:val="700370F8"/>
    <w:rsid w:val="70044037"/>
    <w:rsid w:val="70182394"/>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17439"/>
    <w:rsid w:val="70E37655"/>
    <w:rsid w:val="70EC5DDE"/>
    <w:rsid w:val="70ED4030"/>
    <w:rsid w:val="70F058CE"/>
    <w:rsid w:val="70F133F4"/>
    <w:rsid w:val="70F25B92"/>
    <w:rsid w:val="71017ADB"/>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369E5"/>
    <w:rsid w:val="739F538A"/>
    <w:rsid w:val="73AA26AC"/>
    <w:rsid w:val="73B01345"/>
    <w:rsid w:val="73B70925"/>
    <w:rsid w:val="73BE1CB4"/>
    <w:rsid w:val="73C05A2C"/>
    <w:rsid w:val="73C82B32"/>
    <w:rsid w:val="73CF3490"/>
    <w:rsid w:val="73E57C39"/>
    <w:rsid w:val="73EA2AA9"/>
    <w:rsid w:val="73EB05CF"/>
    <w:rsid w:val="73F13E37"/>
    <w:rsid w:val="73FC27DC"/>
    <w:rsid w:val="73FC458A"/>
    <w:rsid w:val="740B2A1F"/>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040EF"/>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0B2304"/>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C2297"/>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249AA"/>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362A78"/>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B93960"/>
    <w:rsid w:val="7CCA791B"/>
    <w:rsid w:val="7CCF6CE0"/>
    <w:rsid w:val="7CD04806"/>
    <w:rsid w:val="7CDB5685"/>
    <w:rsid w:val="7CE107C1"/>
    <w:rsid w:val="7CE81B50"/>
    <w:rsid w:val="7CED360A"/>
    <w:rsid w:val="7CF93D5D"/>
    <w:rsid w:val="7D00333D"/>
    <w:rsid w:val="7D060228"/>
    <w:rsid w:val="7D0821F2"/>
    <w:rsid w:val="7D0C3A90"/>
    <w:rsid w:val="7D4F7E21"/>
    <w:rsid w:val="7D53162A"/>
    <w:rsid w:val="7D567401"/>
    <w:rsid w:val="7D5B0573"/>
    <w:rsid w:val="7D6A07B6"/>
    <w:rsid w:val="7D7004C3"/>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764E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4580D"/>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B4050"/>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5501</Words>
  <Characters>5720</Characters>
  <Lines>0</Lines>
  <Paragraphs>0</Paragraphs>
  <TotalTime>7</TotalTime>
  <ScaleCrop>false</ScaleCrop>
  <LinksUpToDate>false</LinksUpToDate>
  <CharactersWithSpaces>6315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2026-07-03T09:04:00Z</cp:lastPrinted>
  <dcterms:modified xsi:type="dcterms:W3CDTF">2026-07-09T01:20:28Z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