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1.0 -->
  <w:body>
    <w:p w14:paraId="3B9CD21C">
      <w:pPr>
        <w:rPr>
          <w:sz w:val="21"/>
          <w:szCs w:val="22"/>
        </w:rPr>
      </w:pPr>
    </w:p>
    <w:p w14:paraId="25A52599">
      <w:pPr>
        <w:spacing w:line="360" w:lineRule="auto"/>
        <w:jc w:val="center"/>
        <w:rPr>
          <w:rFonts w:ascii="宋体" w:hAnsi="宋体" w:cs="宋体"/>
          <w:b/>
          <w:sz w:val="72"/>
          <w:szCs w:val="72"/>
        </w:rPr>
      </w:pPr>
    </w:p>
    <w:p w14:paraId="70CEF535">
      <w:pPr>
        <w:spacing w:line="360" w:lineRule="auto"/>
        <w:jc w:val="center"/>
        <w:rPr>
          <w:rFonts w:ascii="宋体" w:hAnsi="宋体" w:cs="宋体"/>
          <w:b/>
          <w:sz w:val="72"/>
          <w:szCs w:val="72"/>
        </w:rPr>
      </w:pPr>
    </w:p>
    <w:p w14:paraId="4038B1AE">
      <w:pPr>
        <w:spacing w:line="360" w:lineRule="auto"/>
        <w:jc w:val="center"/>
        <w:rPr>
          <w:rFonts w:ascii="宋体" w:hAnsi="宋体" w:cs="宋体"/>
          <w:b/>
          <w:sz w:val="72"/>
          <w:szCs w:val="72"/>
        </w:rPr>
      </w:pPr>
    </w:p>
    <w:p w14:paraId="3117EF47">
      <w:pPr>
        <w:spacing w:line="360" w:lineRule="auto"/>
        <w:jc w:val="center"/>
        <w:rPr>
          <w:rFonts w:ascii="宋体" w:hAnsi="宋体" w:cs="宋体"/>
          <w:b/>
          <w:sz w:val="72"/>
          <w:szCs w:val="72"/>
          <w:lang w:eastAsia="zh-CN"/>
        </w:rPr>
      </w:pPr>
      <w:r>
        <w:rPr>
          <w:rFonts w:ascii="宋体" w:hAnsi="宋体" w:cs="宋体" w:hint="eastAsia"/>
          <w:b/>
          <w:sz w:val="72"/>
          <w:szCs w:val="72"/>
          <w:lang w:eastAsia="zh-CN"/>
        </w:rPr>
        <w:t>四川省房屋建筑和市政工程标准施工招标文件</w:t>
      </w:r>
    </w:p>
    <w:p w14:paraId="0213F40E">
      <w:pPr>
        <w:spacing w:line="360" w:lineRule="auto"/>
        <w:jc w:val="center"/>
        <w:rPr>
          <w:rFonts w:ascii="宋体" w:hAnsi="宋体" w:cs="宋体"/>
          <w:b/>
          <w:sz w:val="72"/>
          <w:szCs w:val="72"/>
          <w:lang w:eastAsia="zh-CN"/>
        </w:rPr>
      </w:pPr>
      <w:r>
        <w:rPr>
          <w:rFonts w:ascii="宋体" w:hAnsi="宋体" w:cs="宋体" w:hint="eastAsia"/>
          <w:b/>
          <w:sz w:val="72"/>
          <w:szCs w:val="72"/>
          <w:lang w:eastAsia="zh-CN"/>
        </w:rPr>
        <w:t>（2021年遂宁</w:t>
      </w:r>
      <w:r>
        <w:rPr>
          <w:rFonts w:ascii="宋体" w:hAnsi="宋体" w:cs="宋体" w:hint="eastAsia"/>
          <w:b/>
          <w:sz w:val="72"/>
          <w:szCs w:val="72"/>
          <w:lang w:val="en-US" w:eastAsia="zh-CN"/>
        </w:rPr>
        <w:t>评定分离</w:t>
      </w:r>
      <w:r>
        <w:rPr>
          <w:rFonts w:ascii="宋体" w:hAnsi="宋体" w:cs="宋体" w:hint="eastAsia"/>
          <w:b/>
          <w:sz w:val="72"/>
          <w:szCs w:val="72"/>
          <w:lang w:eastAsia="zh-CN"/>
        </w:rPr>
        <w:t>版）</w:t>
      </w:r>
    </w:p>
    <w:p w14:paraId="3A504623">
      <w:pPr>
        <w:spacing w:line="360" w:lineRule="auto"/>
        <w:rPr>
          <w:rFonts w:ascii="宋体" w:hAnsi="宋体" w:cs="宋体"/>
          <w:b/>
          <w:sz w:val="72"/>
          <w:szCs w:val="72"/>
          <w:lang w:eastAsia="zh-CN"/>
        </w:rPr>
        <w:sectPr>
          <w:pgSz w:w="11906" w:h="16838"/>
          <w:pgMar w:top="1417" w:right="1417" w:bottom="1417" w:left="1417" w:header="851" w:footer="850" w:gutter="0"/>
          <w:cols w:num="1" w:space="720"/>
          <w:docGrid w:type="lines" w:linePitch="312" w:charSpace="0"/>
        </w:sectPr>
      </w:pPr>
    </w:p>
    <w:p w14:paraId="5DADF803">
      <w:pPr>
        <w:spacing w:line="360" w:lineRule="auto"/>
        <w:jc w:val="center"/>
        <w:rPr>
          <w:rFonts w:ascii="宋体" w:hAnsi="宋体" w:cs="宋体"/>
          <w:b/>
          <w:bCs/>
          <w:sz w:val="28"/>
          <w:szCs w:val="28"/>
          <w:lang w:eastAsia="zh-CN"/>
        </w:rPr>
      </w:pPr>
      <w:r>
        <w:rPr>
          <w:rFonts w:ascii="宋体" w:hAnsi="宋体" w:cs="宋体" w:hint="eastAsia"/>
          <w:b/>
          <w:bCs/>
          <w:sz w:val="28"/>
          <w:szCs w:val="28"/>
          <w:lang w:eastAsia="zh-CN"/>
        </w:rPr>
        <w:t>使用说明</w:t>
      </w:r>
    </w:p>
    <w:p w14:paraId="500FED58">
      <w:pPr>
        <w:spacing w:line="360" w:lineRule="auto"/>
        <w:ind w:firstLine="480" w:firstLineChars="200"/>
        <w:rPr>
          <w:rFonts w:ascii="宋体" w:hAnsi="宋体" w:cs="宋体"/>
          <w:lang w:eastAsia="zh-CN"/>
        </w:rPr>
      </w:pPr>
      <w:r>
        <w:rPr>
          <w:rFonts w:ascii="宋体" w:hAnsi="宋体" w:cs="宋体" w:hint="eastAsia"/>
          <w:lang w:eastAsia="zh-CN"/>
        </w:rPr>
        <w:t>一、《四川省房屋建筑和市政工程标准施工招标文件（2021年遂宁评定分离版）》适用于遂宁市行政区域内依法必须招标的房屋建筑和市政工程施工电子招标。</w:t>
      </w:r>
    </w:p>
    <w:p w14:paraId="6A489874">
      <w:pPr>
        <w:spacing w:line="360" w:lineRule="auto"/>
        <w:ind w:firstLine="480" w:firstLineChars="200"/>
        <w:rPr>
          <w:rFonts w:ascii="宋体" w:hAnsi="宋体" w:cs="宋体"/>
          <w:lang w:eastAsia="zh-CN"/>
        </w:rPr>
      </w:pPr>
      <w:r>
        <w:rPr>
          <w:rFonts w:ascii="宋体" w:hAnsi="宋体" w:cs="宋体" w:hint="eastAsia"/>
          <w:lang w:eastAsia="zh-CN"/>
        </w:rPr>
        <w:t>二、《四川省房屋建筑和市政工程标准施工招标文件（2021年遂宁评定分离版）》用相同序号标示的章、节、条、款、项、目，供招标人选择使用；以空格标示的由招标人填写内容，招标人应根据招标项目具体特点和实际需要具体细化，确实没有需要填写的，在空格中用“/”标示。</w:t>
      </w:r>
    </w:p>
    <w:p w14:paraId="038AEC63">
      <w:pPr>
        <w:spacing w:line="360" w:lineRule="auto"/>
        <w:ind w:firstLine="480" w:firstLineChars="200"/>
        <w:rPr>
          <w:rFonts w:ascii="宋体" w:hAnsi="宋体" w:cs="宋体"/>
          <w:lang w:eastAsia="zh-CN"/>
        </w:rPr>
      </w:pPr>
      <w:r>
        <w:rPr>
          <w:rFonts w:ascii="宋体" w:hAnsi="宋体" w:cs="宋体" w:hint="eastAsia"/>
          <w:lang w:eastAsia="zh-CN"/>
        </w:rPr>
        <w:t>三、招标人按照《四川省房屋建筑和市政工程标准施工招标文件（2021年遂宁评定分离版）》第一章的格式发布招标公告或发出投标邀请书后，将实际发布的招标公告或实际发出的投标邀请书编入发出的招标文件中。其中，招标公告应同时注明发布所在的所有媒介名称。</w:t>
      </w:r>
    </w:p>
    <w:p w14:paraId="43854E34">
      <w:pPr>
        <w:spacing w:line="360" w:lineRule="auto"/>
        <w:ind w:firstLine="480" w:firstLineChars="200"/>
        <w:rPr>
          <w:rFonts w:ascii="宋体" w:hAnsi="宋体" w:cs="宋体"/>
          <w:lang w:eastAsia="zh-CN"/>
        </w:rPr>
      </w:pPr>
      <w:r>
        <w:rPr>
          <w:rFonts w:ascii="宋体" w:hAnsi="宋体" w:cs="宋体" w:hint="eastAsia"/>
          <w:lang w:eastAsia="zh-CN"/>
        </w:rPr>
        <w:t>四、《四川省房屋建筑和市政工程标准施工招标文件（2021年遂宁评定分离版）》第三章“评标办法”采用综合评估法的，各评审因素的分值由招标人在规定区间内自主确定。</w:t>
      </w:r>
    </w:p>
    <w:p w14:paraId="5A85B993">
      <w:pPr>
        <w:spacing w:line="360" w:lineRule="auto"/>
        <w:ind w:firstLine="480" w:firstLineChars="200"/>
        <w:rPr>
          <w:rFonts w:ascii="宋体" w:hAnsi="宋体" w:cs="宋体"/>
          <w:lang w:eastAsia="zh-CN"/>
        </w:rPr>
      </w:pPr>
      <w:r>
        <w:rPr>
          <w:rFonts w:ascii="宋体" w:hAnsi="宋体" w:cs="宋体" w:hint="eastAsia"/>
          <w:lang w:eastAsia="zh-CN"/>
        </w:rPr>
        <w:t>第三章“评标办法”前附表应列明全部评审因素和评审标准，并在本章前附表标明投标人不满足要求即否决其投标的全部条款。</w:t>
      </w:r>
    </w:p>
    <w:p w14:paraId="3ED5428A">
      <w:pPr>
        <w:spacing w:line="360" w:lineRule="auto"/>
        <w:ind w:firstLine="480" w:firstLineChars="200"/>
        <w:rPr>
          <w:rFonts w:ascii="宋体" w:hAnsi="宋体" w:cs="宋体"/>
          <w:lang w:eastAsia="zh-CN"/>
        </w:rPr>
      </w:pPr>
      <w:r>
        <w:rPr>
          <w:rFonts w:ascii="宋体" w:hAnsi="宋体" w:cs="宋体" w:hint="eastAsia"/>
          <w:lang w:eastAsia="zh-CN"/>
        </w:rPr>
        <w:t>五、《四川省房屋建筑和市政工程标准施工招标文件（2021年遂宁评定分离版）》第七章“技术标准和要求”由招标人根据招标项目具体特点和实际需要编制，并与“投标人须知”、“通用合同条款”、“专用合同条款”相衔接。</w:t>
      </w:r>
    </w:p>
    <w:p w14:paraId="3354A278">
      <w:pPr>
        <w:spacing w:line="360" w:lineRule="auto"/>
        <w:ind w:firstLine="480" w:firstLineChars="200"/>
        <w:rPr>
          <w:rFonts w:ascii="宋体" w:hAnsi="宋体" w:cs="宋体"/>
          <w:lang w:eastAsia="zh-CN"/>
        </w:rPr>
      </w:pPr>
      <w:r>
        <w:rPr>
          <w:rFonts w:ascii="宋体" w:hAnsi="宋体" w:cs="宋体" w:hint="eastAsia"/>
          <w:lang w:eastAsia="zh-CN"/>
        </w:rPr>
        <w:t>六、《四川省房屋建筑和市政工程标准施工招标文件（2021年遂宁评定分离版）》中，“□”表示可选择项，除注明为多项选择外，其余均为单项选择。多项选择招标人可以选，也可以都不选。勾选的内容为招标文件组成部分（如：</w:t>
      </w:r>
      <w:r>
        <w:rPr>
          <w:rFonts w:ascii="Wingdings 2" w:hAnsi="Wingdings 2" w:cs="宋体"/>
        </w:rPr>
        <w:sym w:font="Wingdings 2" w:char="F052"/>
      </w:r>
      <w:r>
        <w:rPr>
          <w:rFonts w:ascii="宋体" w:hAnsi="宋体" w:cs="宋体" w:hint="eastAsia"/>
          <w:lang w:eastAsia="zh-CN"/>
        </w:rPr>
        <w:t>），未勾选的内容不作为招标文件组成部分（如：□）。</w:t>
      </w:r>
    </w:p>
    <w:p w14:paraId="682310EC">
      <w:pPr>
        <w:spacing w:line="360" w:lineRule="auto"/>
        <w:ind w:firstLine="480" w:firstLineChars="200"/>
        <w:rPr>
          <w:rFonts w:ascii="宋体" w:hAnsi="宋体" w:cs="宋体"/>
          <w:lang w:eastAsia="zh-CN"/>
        </w:rPr>
      </w:pPr>
    </w:p>
    <w:p w14:paraId="6D568E50">
      <w:pPr>
        <w:rPr>
          <w:rFonts w:ascii="Calibri" w:hAnsi="Calibri"/>
          <w:sz w:val="21"/>
          <w:szCs w:val="22"/>
          <w:lang w:eastAsia="zh-CN"/>
        </w:rPr>
      </w:pPr>
      <w:r>
        <w:rPr>
          <w:lang w:eastAsia="zh-CN"/>
        </w:rPr>
        <w:br w:type="page"/>
      </w:r>
    </w:p>
    <w:p w14:paraId="78423FD0">
      <w:pPr>
        <w:spacing w:line="36" w:lineRule="auto"/>
        <w:rPr>
          <w:rFonts w:ascii="宋体" w:hAnsi="宋体"/>
          <w:b/>
          <w:sz w:val="36"/>
          <w:lang w:eastAsia="zh-CN"/>
        </w:rPr>
      </w:pPr>
    </w:p>
    <w:p w14:paraId="424EA35A">
      <w:pPr>
        <w:spacing w:line="36" w:lineRule="auto"/>
        <w:jc w:val="center"/>
        <w:rPr>
          <w:rFonts w:ascii="宋体" w:hAnsi="宋体"/>
          <w:b/>
          <w:sz w:val="28"/>
          <w:szCs w:val="28"/>
          <w:lang w:eastAsia="zh-CN"/>
        </w:rPr>
      </w:pPr>
      <w:r>
        <w:rPr>
          <w:rFonts w:ascii="宋体" w:hAnsi="宋体" w:hint="eastAsia"/>
          <w:sz w:val="28"/>
          <w:szCs w:val="28"/>
          <w:lang w:eastAsia="zh-CN"/>
        </w:rPr>
        <w:t xml:space="preserve">  </w:t>
      </w:r>
      <w:r>
        <w:rPr>
          <w:rFonts w:ascii="宋体" w:hAnsi="宋体" w:hint="eastAsia"/>
          <w:b/>
          <w:color w:val="00B0F0"/>
          <w:sz w:val="28"/>
          <w:szCs w:val="28"/>
          <w:u w:val="single"/>
          <w:lang w:eastAsia="zh-CN"/>
        </w:rPr>
        <w:t xml:space="preserve"> 遂宁市安居区凤栖悦府建设项目 </w:t>
      </w:r>
      <w:r>
        <w:rPr>
          <w:rFonts w:ascii="宋体" w:hAnsi="宋体" w:hint="eastAsia"/>
          <w:b/>
          <w:sz w:val="28"/>
          <w:szCs w:val="28"/>
          <w:lang w:eastAsia="zh-CN"/>
        </w:rPr>
        <w:t>（项目名称）施工</w:t>
      </w:r>
      <w:r>
        <w:rPr>
          <w:rFonts w:ascii="宋体" w:hAnsi="宋体" w:hint="eastAsia"/>
          <w:b/>
          <w:color w:val="00B0F0"/>
          <w:sz w:val="28"/>
          <w:szCs w:val="28"/>
          <w:u w:val="single"/>
          <w:lang w:eastAsia="zh-CN"/>
        </w:rPr>
        <w:t xml:space="preserve"> /   </w:t>
      </w:r>
      <w:r>
        <w:rPr>
          <w:rFonts w:ascii="宋体" w:hAnsi="宋体" w:hint="eastAsia"/>
          <w:b/>
          <w:sz w:val="28"/>
          <w:szCs w:val="28"/>
          <w:lang w:eastAsia="zh-CN"/>
        </w:rPr>
        <w:t>标段</w:t>
      </w:r>
    </w:p>
    <w:p w14:paraId="302E4E24">
      <w:pPr>
        <w:spacing w:line="36" w:lineRule="auto"/>
        <w:jc w:val="center"/>
        <w:rPr>
          <w:rFonts w:ascii="宋体" w:hAnsi="宋体"/>
          <w:b/>
          <w:sz w:val="28"/>
          <w:szCs w:val="28"/>
          <w:lang w:eastAsia="zh-CN"/>
        </w:rPr>
      </w:pPr>
      <w:r>
        <w:rPr>
          <w:rFonts w:ascii="宋体" w:hAnsi="宋体" w:hint="eastAsia"/>
          <w:b/>
          <w:sz w:val="28"/>
          <w:szCs w:val="28"/>
          <w:lang w:eastAsia="zh-CN"/>
        </w:rPr>
        <w:t>（招标编号：</w:t>
      </w:r>
      <w:r>
        <w:rPr>
          <w:rFonts w:ascii="宋体" w:hAnsi="宋体" w:hint="eastAsia"/>
          <w:b/>
          <w:color w:val="00B0F0"/>
          <w:sz w:val="28"/>
          <w:szCs w:val="28"/>
          <w:u w:val="single"/>
          <w:lang w:eastAsia="zh-CN"/>
        </w:rPr>
        <w:t xml:space="preserve">                 </w:t>
      </w:r>
      <w:r>
        <w:rPr>
          <w:rFonts w:ascii="宋体" w:hAnsi="宋体" w:hint="eastAsia"/>
          <w:b/>
          <w:sz w:val="28"/>
          <w:szCs w:val="28"/>
          <w:lang w:eastAsia="zh-CN"/>
        </w:rPr>
        <w:t>）</w:t>
      </w:r>
    </w:p>
    <w:p w14:paraId="58217F88">
      <w:pPr>
        <w:spacing w:line="360" w:lineRule="auto"/>
        <w:jc w:val="center"/>
        <w:rPr>
          <w:rFonts w:ascii="宋体" w:hAnsi="宋体" w:cs="Arial"/>
          <w:b/>
          <w:sz w:val="52"/>
          <w:szCs w:val="20"/>
          <w:lang w:eastAsia="zh-CN"/>
        </w:rPr>
      </w:pPr>
    </w:p>
    <w:p w14:paraId="73326180">
      <w:pPr>
        <w:spacing w:line="360" w:lineRule="auto"/>
        <w:jc w:val="center"/>
        <w:rPr>
          <w:rFonts w:ascii="宋体" w:hAnsi="宋体" w:cs="Arial"/>
          <w:b/>
          <w:sz w:val="28"/>
          <w:szCs w:val="28"/>
          <w:lang w:eastAsia="zh-CN"/>
        </w:rPr>
      </w:pPr>
    </w:p>
    <w:p w14:paraId="7FAF8C67">
      <w:pPr>
        <w:spacing w:line="360" w:lineRule="auto"/>
        <w:jc w:val="center"/>
        <w:rPr>
          <w:rFonts w:ascii="宋体" w:hAnsi="宋体" w:cs="Arial"/>
          <w:b/>
          <w:sz w:val="52"/>
          <w:szCs w:val="20"/>
          <w:lang w:eastAsia="zh-CN"/>
        </w:rPr>
      </w:pPr>
      <w:r>
        <w:rPr>
          <w:rFonts w:ascii="宋体" w:hAnsi="宋体" w:cs="Arial" w:hint="eastAsia"/>
          <w:b/>
          <w:sz w:val="52"/>
          <w:szCs w:val="20"/>
          <w:lang w:eastAsia="zh-CN"/>
        </w:rPr>
        <w:t>招标文件</w:t>
      </w:r>
    </w:p>
    <w:p w14:paraId="41C055D1">
      <w:pPr>
        <w:spacing w:line="360" w:lineRule="auto"/>
        <w:jc w:val="center"/>
        <w:rPr>
          <w:rFonts w:ascii="宋体" w:hAnsi="宋体" w:cs="Arial"/>
          <w:b/>
          <w:sz w:val="52"/>
          <w:szCs w:val="20"/>
          <w:lang w:eastAsia="zh-CN"/>
        </w:rPr>
      </w:pPr>
    </w:p>
    <w:p w14:paraId="0B0296DC">
      <w:pPr>
        <w:spacing w:line="360" w:lineRule="auto"/>
        <w:jc w:val="center"/>
        <w:rPr>
          <w:rFonts w:ascii="宋体" w:hAnsi="宋体" w:cs="Arial"/>
          <w:b/>
          <w:sz w:val="28"/>
          <w:szCs w:val="28"/>
          <w:lang w:eastAsia="zh-CN"/>
        </w:rPr>
      </w:pPr>
    </w:p>
    <w:p w14:paraId="5523712D">
      <w:pPr>
        <w:spacing w:line="360" w:lineRule="auto"/>
        <w:ind w:firstLine="280" w:firstLineChars="100"/>
        <w:rPr>
          <w:rFonts w:ascii="宋体" w:hAnsi="宋体"/>
          <w:b/>
          <w:kern w:val="2"/>
          <w:sz w:val="28"/>
          <w:szCs w:val="28"/>
          <w:lang w:eastAsia="zh-CN"/>
        </w:rPr>
      </w:pPr>
      <w:r>
        <w:rPr>
          <w:rFonts w:ascii="宋体" w:hAnsi="宋体" w:hint="eastAsia"/>
          <w:sz w:val="28"/>
          <w:szCs w:val="28"/>
          <w:lang w:eastAsia="zh-CN"/>
        </w:rPr>
        <w:t>招标人：</w:t>
      </w:r>
      <w:r>
        <w:rPr>
          <w:rFonts w:ascii="宋体" w:hAnsi="宋体" w:hint="eastAsia"/>
          <w:b/>
          <w:color w:val="00B0F0"/>
          <w:u w:val="single"/>
          <w:lang w:eastAsia="zh-CN"/>
        </w:rPr>
        <w:t xml:space="preserve"> 遂宁锦宜博众建筑装饰工程有限公司 </w:t>
      </w:r>
      <w:r>
        <w:rPr>
          <w:rFonts w:ascii="宋体" w:hAnsi="宋体" w:hint="eastAsia"/>
          <w:b/>
          <w:sz w:val="28"/>
          <w:szCs w:val="28"/>
          <w:lang w:eastAsia="zh-CN"/>
        </w:rPr>
        <w:t>（盖单位章）</w:t>
      </w:r>
    </w:p>
    <w:p w14:paraId="2885974A">
      <w:pPr>
        <w:spacing w:line="360" w:lineRule="auto"/>
        <w:rPr>
          <w:rFonts w:ascii="宋体" w:hAnsi="宋体"/>
          <w:b/>
          <w:sz w:val="28"/>
          <w:szCs w:val="28"/>
          <w:lang w:eastAsia="zh-CN"/>
        </w:rPr>
      </w:pPr>
    </w:p>
    <w:p w14:paraId="5ABE49DB">
      <w:pPr>
        <w:spacing w:line="360" w:lineRule="auto"/>
        <w:rPr>
          <w:rFonts w:ascii="宋体" w:hAnsi="宋体"/>
          <w:b/>
          <w:sz w:val="28"/>
          <w:szCs w:val="28"/>
          <w:lang w:eastAsia="zh-CN"/>
        </w:rPr>
      </w:pPr>
      <w:sdt>
        <w:sdtPr>
          <w:rPr>
            <w:rFonts w:ascii="宋体" w:hAnsi="宋体" w:hint="eastAsia"/>
            <w:sz w:val="28"/>
            <w:szCs w:val="28"/>
            <w:lang w:eastAsia="zh-CN"/>
          </w:rPr>
          <w:id w:val="-1422331324"/>
          <w14:checkbox>
            <w14:checked w14:val="0"/>
            <w14:checkedState w14:val="2611" w14:font="MS Gothic"/>
            <w14:uncheckedState w14:val="2610" w14:font="MS Gothic"/>
          </w14:checkbox>
        </w:sdtPr>
        <w:sdtEndPr>
          <w:rPr>
            <w:rFonts w:ascii="宋体" w:hAnsi="宋体" w:hint="eastAsia"/>
            <w:sz w:val="28"/>
            <w:szCs w:val="28"/>
            <w:lang w:eastAsia="zh-CN"/>
          </w:rPr>
        </w:sdtEndPr>
        <w:sdtContent>
          <w:r>
            <w:rPr>
              <w:rFonts w:ascii="MS Gothic" w:eastAsia="MS Gothic" w:hAnsi="MS Gothic" w:cs="MS Gothic" w:hint="eastAsia"/>
              <w:sz w:val="28"/>
              <w:szCs w:val="28"/>
              <w:lang w:eastAsia="zh-CN"/>
            </w:rPr>
            <w:t>☐</w:t>
          </w:r>
        </w:sdtContent>
      </w:sdt>
      <w:r>
        <w:rPr>
          <w:rFonts w:ascii="宋体" w:hAnsi="宋体" w:hint="eastAsia"/>
          <w:sz w:val="28"/>
          <w:szCs w:val="28"/>
          <w:lang w:eastAsia="zh-CN"/>
        </w:rPr>
        <w:t>招标代理机构：</w:t>
      </w:r>
      <w:r>
        <w:rPr>
          <w:rFonts w:ascii="宋体" w:hAnsi="宋体" w:hint="eastAsia"/>
          <w:b/>
          <w:color w:val="00B0F0"/>
          <w:u w:val="single"/>
          <w:lang w:eastAsia="zh-CN"/>
        </w:rPr>
        <w:t xml:space="preserve">    /     </w:t>
      </w:r>
      <w:r>
        <w:rPr>
          <w:rFonts w:ascii="宋体" w:hAnsi="宋体" w:hint="eastAsia"/>
          <w:b/>
          <w:sz w:val="28"/>
          <w:szCs w:val="28"/>
          <w:lang w:eastAsia="zh-CN"/>
        </w:rPr>
        <w:t>（盖单位章）</w:t>
      </w:r>
    </w:p>
    <w:p w14:paraId="2681DFB2">
      <w:pPr>
        <w:spacing w:line="360" w:lineRule="auto"/>
        <w:rPr>
          <w:rFonts w:ascii="Calibri" w:hAnsi="Calibri"/>
          <w:sz w:val="21"/>
          <w:szCs w:val="22"/>
          <w:lang w:eastAsia="zh-CN"/>
        </w:rPr>
      </w:pPr>
    </w:p>
    <w:p w14:paraId="0E12925C">
      <w:pPr>
        <w:spacing w:line="360" w:lineRule="auto"/>
        <w:rPr>
          <w:rFonts w:ascii="宋体" w:hAnsi="宋体"/>
          <w:b/>
          <w:sz w:val="28"/>
          <w:szCs w:val="28"/>
          <w:lang w:eastAsia="zh-CN"/>
        </w:rPr>
      </w:pPr>
      <w:sdt>
        <w:sdtPr>
          <w:rPr>
            <w:rFonts w:ascii="宋体" w:hAnsi="宋体" w:hint="eastAsia"/>
            <w:sz w:val="28"/>
            <w:szCs w:val="28"/>
            <w:lang w:eastAsia="zh-CN"/>
          </w:rPr>
          <w:id w:val="-1187440855"/>
          <w14:checkbox>
            <w14:checked w14:val="1"/>
            <w14:checkedState w14:val="2611" w14:font="MS Gothic"/>
            <w14:uncheckedState w14:val="2610" w14:font="MS Gothic"/>
          </w14:checkbox>
        </w:sdtPr>
        <w:sdtEndPr>
          <w:rPr>
            <w:rFonts w:ascii="宋体" w:hAnsi="宋体" w:hint="eastAsia"/>
            <w:sz w:val="28"/>
            <w:szCs w:val="28"/>
            <w:lang w:eastAsia="zh-CN"/>
          </w:rPr>
        </w:sdtEndPr>
        <w:sdtContent>
          <w:r>
            <w:rPr>
              <w:rFonts w:ascii="MS Gothic" w:eastAsia="MS Gothic" w:hAnsi="MS Gothic" w:cs="MS Gothic" w:hint="eastAsia"/>
              <w:sz w:val="28"/>
              <w:szCs w:val="28"/>
              <w:lang w:val="en-US" w:eastAsia="zh-CN" w:bidi="ar-SA"/>
            </w:rPr>
            <w:t>☑</w:t>
          </w:r>
        </w:sdtContent>
      </w:sdt>
      <w:r>
        <w:rPr>
          <w:rFonts w:ascii="宋体" w:hAnsi="宋体" w:hint="eastAsia"/>
          <w:sz w:val="28"/>
          <w:szCs w:val="28"/>
          <w:lang w:eastAsia="zh-CN"/>
        </w:rPr>
        <w:t>招标代理机构：</w:t>
      </w:r>
      <w:r>
        <w:rPr>
          <w:rFonts w:ascii="宋体" w:hAnsi="宋体" w:hint="eastAsia"/>
          <w:b/>
          <w:color w:val="00B0F0"/>
          <w:u w:val="single"/>
          <w:lang w:eastAsia="zh-CN"/>
        </w:rPr>
        <w:t xml:space="preserve"> 四川精正建设管理咨询有限公司</w:t>
      </w:r>
      <w:r>
        <w:rPr>
          <w:rFonts w:ascii="宋体" w:hAnsi="宋体" w:hint="eastAsia"/>
          <w:b/>
          <w:sz w:val="28"/>
          <w:szCs w:val="28"/>
          <w:lang w:eastAsia="zh-CN"/>
        </w:rPr>
        <w:t>（盖单位章）</w:t>
      </w:r>
    </w:p>
    <w:p w14:paraId="108FD7B7">
      <w:pPr>
        <w:spacing w:line="360" w:lineRule="auto"/>
        <w:rPr>
          <w:rFonts w:ascii="宋体" w:hAnsi="宋体"/>
          <w:b/>
          <w:sz w:val="28"/>
          <w:szCs w:val="28"/>
          <w:lang w:eastAsia="zh-CN"/>
        </w:rPr>
      </w:pPr>
    </w:p>
    <w:p w14:paraId="3430B63F">
      <w:pPr>
        <w:spacing w:line="360" w:lineRule="auto"/>
        <w:ind w:firstLine="280" w:firstLineChars="100"/>
        <w:rPr>
          <w:rFonts w:ascii="宋体" w:hAnsi="宋体"/>
          <w:b/>
          <w:sz w:val="28"/>
          <w:szCs w:val="28"/>
          <w:lang w:eastAsia="zh-CN"/>
        </w:rPr>
      </w:pPr>
      <w:r>
        <w:rPr>
          <w:rFonts w:ascii="宋体" w:hAnsi="宋体" w:hint="eastAsia"/>
          <w:sz w:val="28"/>
          <w:szCs w:val="28"/>
          <w:lang w:eastAsia="zh-CN"/>
        </w:rPr>
        <w:t>招标代理机构项目负责人：</w:t>
      </w:r>
      <w:r>
        <w:rPr>
          <w:rFonts w:ascii="宋体" w:hAnsi="宋体" w:hint="eastAsia"/>
          <w:b/>
          <w:color w:val="00B0F0"/>
          <w:u w:val="single"/>
          <w:lang w:eastAsia="zh-CN"/>
        </w:rPr>
        <w:t xml:space="preserve">  谢晓东 </w:t>
      </w:r>
    </w:p>
    <w:p w14:paraId="667FBC3B">
      <w:pPr>
        <w:spacing w:line="360" w:lineRule="auto"/>
        <w:rPr>
          <w:rFonts w:ascii="宋体" w:hAnsi="宋体"/>
          <w:b/>
          <w:sz w:val="28"/>
          <w:szCs w:val="28"/>
          <w:lang w:eastAsia="zh-CN"/>
        </w:rPr>
      </w:pPr>
    </w:p>
    <w:p w14:paraId="1CD7ABEB">
      <w:pPr>
        <w:spacing w:line="360" w:lineRule="auto"/>
        <w:ind w:firstLine="280" w:firstLineChars="100"/>
        <w:rPr>
          <w:rFonts w:ascii="宋体" w:hAnsi="宋体"/>
          <w:sz w:val="28"/>
          <w:szCs w:val="28"/>
          <w:lang w:eastAsia="zh-CN"/>
        </w:rPr>
      </w:pPr>
      <w:r>
        <w:rPr>
          <w:rFonts w:ascii="宋体" w:hAnsi="宋体" w:hint="eastAsia"/>
          <w:sz w:val="28"/>
          <w:szCs w:val="28"/>
          <w:lang w:eastAsia="zh-CN"/>
        </w:rPr>
        <w:t>招标文件编制人员：</w:t>
      </w:r>
      <w:r>
        <w:rPr>
          <w:rFonts w:ascii="宋体" w:hAnsi="宋体" w:hint="eastAsia"/>
          <w:b/>
          <w:color w:val="00B0F0"/>
          <w:u w:val="single"/>
          <w:lang w:eastAsia="zh-CN"/>
        </w:rPr>
        <w:t xml:space="preserve">  李洁、谢金凤、毛萍、何承珈  </w:t>
      </w:r>
    </w:p>
    <w:p w14:paraId="576539B7">
      <w:pPr>
        <w:spacing w:line="360" w:lineRule="auto"/>
        <w:rPr>
          <w:rFonts w:ascii="宋体" w:hAnsi="宋体"/>
          <w:sz w:val="26"/>
          <w:szCs w:val="22"/>
          <w:lang w:eastAsia="zh-CN"/>
        </w:rPr>
      </w:pPr>
    </w:p>
    <w:p w14:paraId="132EF443">
      <w:pPr>
        <w:spacing w:line="36" w:lineRule="auto"/>
        <w:rPr>
          <w:rFonts w:ascii="宋体" w:hAnsi="宋体"/>
          <w:sz w:val="21"/>
          <w:lang w:eastAsia="zh-CN"/>
        </w:rPr>
      </w:pPr>
      <w:r>
        <w:rPr>
          <w:rFonts w:ascii="宋体" w:hAnsi="宋体" w:hint="eastAsia"/>
          <w:lang w:eastAsia="zh-CN"/>
        </w:rPr>
        <w:t>附件:</w:t>
      </w:r>
      <w:r>
        <w:drawing>
          <wp:inline distT="0" distB="0" distL="0" distR="0">
            <wp:extent cx="153670" cy="153670"/>
            <wp:effectExtent l="0" t="0" r="0" b="0"/>
            <wp:docPr id="3" name="图片 3" descr="Rf78e0900fee047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Rf78e0900fee047b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3670" cy="153670"/>
                    </a:xfrm>
                    <a:prstGeom prst="rect">
                      <a:avLst/>
                    </a:prstGeom>
                    <a:noFill/>
                    <a:ln>
                      <a:noFill/>
                    </a:ln>
                  </pic:spPr>
                </pic:pic>
              </a:graphicData>
            </a:graphic>
          </wp:inline>
        </w:drawing>
      </w:r>
    </w:p>
    <w:p w14:paraId="7690CFB8">
      <w:pPr>
        <w:spacing w:line="36" w:lineRule="auto"/>
        <w:rPr>
          <w:rFonts w:ascii="宋体" w:hAnsi="宋体"/>
          <w:lang w:eastAsia="zh-CN"/>
        </w:rPr>
      </w:pPr>
    </w:p>
    <w:p w14:paraId="48C7DBC3">
      <w:pPr>
        <w:jc w:val="center"/>
        <w:rPr>
          <w:rFonts w:ascii="宋体" w:hAnsi="宋体"/>
          <w:lang w:eastAsia="zh-CN"/>
        </w:rPr>
      </w:pPr>
    </w:p>
    <w:p w14:paraId="0D41C7EC">
      <w:pPr>
        <w:spacing w:line="360" w:lineRule="auto"/>
        <w:jc w:val="center"/>
        <w:rPr>
          <w:rFonts w:ascii="宋体" w:hAnsi="宋体"/>
          <w:sz w:val="28"/>
          <w:szCs w:val="28"/>
          <w:lang w:eastAsia="zh-CN"/>
        </w:rPr>
      </w:pPr>
      <w:r>
        <w:rPr>
          <w:rFonts w:ascii="宋体" w:hAnsi="宋体" w:hint="eastAsia"/>
          <w:b/>
          <w:color w:val="00B0F0"/>
          <w:sz w:val="28"/>
          <w:szCs w:val="28"/>
          <w:u w:val="single"/>
          <w:lang w:val="en-US" w:eastAsia="zh-CN"/>
        </w:rPr>
        <w:t>2026</w:t>
      </w:r>
      <w:r>
        <w:rPr>
          <w:rFonts w:ascii="宋体" w:hAnsi="宋体" w:hint="eastAsia"/>
          <w:sz w:val="28"/>
          <w:szCs w:val="28"/>
          <w:lang w:eastAsia="zh-CN"/>
        </w:rPr>
        <w:t>年</w:t>
      </w:r>
      <w:r>
        <w:rPr>
          <w:rFonts w:ascii="宋体" w:hAnsi="宋体" w:hint="eastAsia"/>
          <w:b/>
          <w:color w:val="00B0F0"/>
          <w:sz w:val="28"/>
          <w:szCs w:val="28"/>
          <w:u w:val="single"/>
          <w:lang w:eastAsia="zh-CN"/>
        </w:rPr>
        <w:t xml:space="preserve"> </w:t>
      </w:r>
      <w:r>
        <w:rPr>
          <w:rFonts w:ascii="宋体" w:hAnsi="宋体" w:hint="eastAsia"/>
          <w:b/>
          <w:color w:val="00B0F0"/>
          <w:sz w:val="28"/>
          <w:szCs w:val="28"/>
          <w:u w:val="single"/>
          <w:lang w:val="en-US" w:eastAsia="zh-CN"/>
        </w:rPr>
        <w:t>6</w:t>
      </w:r>
      <w:r>
        <w:rPr>
          <w:rFonts w:ascii="宋体" w:hAnsi="宋体" w:hint="eastAsia"/>
          <w:b/>
          <w:color w:val="00B0F0"/>
          <w:sz w:val="28"/>
          <w:szCs w:val="28"/>
          <w:u w:val="single"/>
          <w:lang w:eastAsia="zh-CN"/>
        </w:rPr>
        <w:t xml:space="preserve"> </w:t>
      </w:r>
      <w:r>
        <w:rPr>
          <w:rFonts w:ascii="宋体" w:hAnsi="宋体" w:hint="eastAsia"/>
          <w:sz w:val="28"/>
          <w:szCs w:val="28"/>
          <w:lang w:eastAsia="zh-CN"/>
        </w:rPr>
        <w:t>月</w:t>
      </w:r>
      <w:r>
        <w:rPr>
          <w:rFonts w:ascii="宋体" w:hAnsi="宋体" w:hint="eastAsia"/>
          <w:b/>
          <w:color w:val="00B0F0"/>
          <w:sz w:val="28"/>
          <w:szCs w:val="28"/>
          <w:u w:val="single"/>
          <w:lang w:eastAsia="zh-CN"/>
        </w:rPr>
        <w:t xml:space="preserve">  </w:t>
      </w:r>
      <w:r>
        <w:rPr>
          <w:rFonts w:ascii="宋体" w:hAnsi="宋体" w:hint="eastAsia"/>
          <w:b/>
          <w:color w:val="00B0F0"/>
          <w:sz w:val="28"/>
          <w:szCs w:val="28"/>
          <w:u w:val="single"/>
          <w:lang w:val="en-US" w:eastAsia="zh-CN"/>
        </w:rPr>
        <w:t xml:space="preserve">29 </w:t>
      </w:r>
      <w:r>
        <w:rPr>
          <w:rFonts w:ascii="宋体" w:hAnsi="宋体" w:hint="eastAsia"/>
          <w:b/>
          <w:color w:val="00B0F0"/>
          <w:sz w:val="28"/>
          <w:szCs w:val="28"/>
          <w:u w:val="single"/>
          <w:lang w:eastAsia="zh-CN"/>
        </w:rPr>
        <w:t xml:space="preserve"> </w:t>
      </w:r>
      <w:r>
        <w:rPr>
          <w:rFonts w:ascii="宋体" w:hAnsi="宋体" w:hint="eastAsia"/>
          <w:sz w:val="28"/>
          <w:szCs w:val="28"/>
          <w:lang w:eastAsia="zh-CN"/>
        </w:rPr>
        <w:t>日</w:t>
      </w:r>
    </w:p>
    <w:p w14:paraId="19BE81E4">
      <w:pPr>
        <w:spacing w:line="360" w:lineRule="auto"/>
        <w:jc w:val="center"/>
        <w:rPr>
          <w:rFonts w:ascii="宋体" w:hAnsi="宋体"/>
          <w:sz w:val="28"/>
          <w:szCs w:val="28"/>
          <w:lang w:eastAsia="zh-CN"/>
        </w:rPr>
      </w:pPr>
    </w:p>
    <w:p w14:paraId="0512C371">
      <w:pPr>
        <w:spacing w:line="360" w:lineRule="auto"/>
        <w:rPr>
          <w:rFonts w:ascii="宋体" w:hAnsi="宋体" w:cs="宋体"/>
          <w:lang w:eastAsia="zh-CN"/>
        </w:rPr>
      </w:pPr>
      <w:r>
        <w:rPr>
          <w:rFonts w:ascii="宋体" w:hAnsi="宋体" w:cs="宋体" w:hint="eastAsia"/>
          <w:lang w:eastAsia="zh-CN"/>
        </w:rPr>
        <w:t>注：实行委托招标组织形式的，招标代理机构项目负责人和招标文件编制人员应是招标人和招标代理机构双方签订的委托招标代理合同载明的项目负责人和主要专职技术人员。</w:t>
      </w:r>
    </w:p>
    <w:p w14:paraId="1C17A1AE">
      <w:pPr>
        <w:spacing w:line="36" w:lineRule="auto"/>
        <w:rPr>
          <w:rFonts w:ascii="宋体" w:hAnsi="宋体"/>
          <w:b/>
          <w:sz w:val="36"/>
          <w:szCs w:val="22"/>
          <w:lang w:eastAsia="zh-CN"/>
        </w:rPr>
      </w:pPr>
    </w:p>
    <w:p w14:paraId="70D0FA23">
      <w:pPr>
        <w:rPr>
          <w:rFonts w:ascii="宋体" w:hAnsi="宋体"/>
          <w:b/>
          <w:sz w:val="36"/>
          <w:lang w:eastAsia="zh-CN"/>
        </w:rPr>
      </w:pPr>
    </w:p>
    <w:p w14:paraId="3C5933B2">
      <w:pPr>
        <w:pStyle w:val="Heading1"/>
        <w:jc w:val="center"/>
        <w:rPr>
          <w:rFonts w:ascii="宋体" w:hAnsi="宋体" w:cs="宋体"/>
          <w:sz w:val="32"/>
          <w:szCs w:val="32"/>
        </w:rPr>
      </w:pPr>
      <w:r>
        <w:rPr>
          <w:rFonts w:ascii="宋体" w:hAnsi="宋体" w:hint="eastAsia"/>
          <w:b w:val="0"/>
          <w:sz w:val="36"/>
        </w:rPr>
        <w:br w:type="page"/>
      </w:r>
      <w:r>
        <w:rPr>
          <w:rFonts w:ascii="宋体" w:hAnsi="宋体" w:cs="宋体" w:hint="eastAsia"/>
          <w:sz w:val="32"/>
          <w:szCs w:val="32"/>
        </w:rPr>
        <w:t>目  录</w:t>
      </w:r>
    </w:p>
    <w:p w14:paraId="20F83EAE">
      <w:pPr>
        <w:pStyle w:val="WPSOffice1"/>
        <w:tabs>
          <w:tab w:val="right" w:leader="dot" w:pos="9072"/>
        </w:tabs>
        <w:spacing w:line="480" w:lineRule="auto"/>
        <w:ind w:firstLine="240" w:firstLineChars="100"/>
        <w:rPr>
          <w:rFonts w:ascii="宋体" w:hAnsi="宋体" w:cs="宋体"/>
          <w:sz w:val="24"/>
          <w:szCs w:val="24"/>
        </w:rPr>
      </w:pPr>
      <w:bookmarkStart w:id="0" w:name="_Toc19433_WPSOffice_Type1"/>
      <w:r>
        <w:rPr>
          <w:rFonts w:ascii="宋体" w:hAnsi="宋体" w:cs="宋体" w:hint="eastAsia"/>
          <w:sz w:val="24"/>
          <w:szCs w:val="24"/>
        </w:rPr>
        <w:t>第一卷</w:t>
      </w:r>
    </w:p>
    <w:p w14:paraId="54320C62">
      <w:pPr>
        <w:pStyle w:val="WPSOffice1"/>
        <w:tabs>
          <w:tab w:val="right" w:leader="dot" w:pos="9072"/>
        </w:tabs>
        <w:spacing w:line="480" w:lineRule="auto"/>
        <w:ind w:left="2" w:hanging="55" w:leftChars="-22" w:hangingChars="23"/>
        <w:rPr>
          <w:rFonts w:ascii="宋体" w:hAnsi="宋体" w:cs="宋体"/>
          <w:sz w:val="24"/>
          <w:szCs w:val="24"/>
        </w:rPr>
      </w:pPr>
      <w:sdt>
        <w:sdtPr>
          <w:rPr>
            <w:rFonts w:ascii="宋体" w:hAnsi="宋体" w:cs="宋体" w:hint="eastAsia"/>
            <w:sz w:val="24"/>
            <w:szCs w:val="24"/>
          </w:rPr>
          <w:id w:val="-163859261"/>
          <w14:checkbox>
            <w14:checked w14:val="0"/>
            <w14:checkedState w14:val="2611" w14:font="MS Gothic"/>
            <w14:uncheckedState w14:val="2610" w14:font="MS Gothic"/>
          </w14:checkbox>
        </w:sdtPr>
        <w:sdtEndPr>
          <w:rPr>
            <w:rFonts w:ascii="宋体" w:hAnsi="宋体" w:cs="宋体" w:hint="eastAsia"/>
            <w:sz w:val="24"/>
            <w:szCs w:val="24"/>
          </w:rPr>
        </w:sdtEndPr>
        <w:sdtContent>
          <w:r>
            <w:rPr>
              <w:rFonts w:ascii="MS Gothic" w:eastAsia="MS Gothic" w:hAnsi="MS Gothic" w:cs="MS Gothic" w:hint="eastAsia"/>
              <w:sz w:val="24"/>
              <w:szCs w:val="24"/>
            </w:rPr>
            <w:t>☐</w:t>
          </w:r>
        </w:sdtContent>
      </w:sdt>
      <w:r>
        <w:rPr>
          <w:rFonts w:ascii="宋体" w:hAnsi="宋体" w:cs="宋体" w:hint="eastAsia"/>
          <w:sz w:val="24"/>
          <w:szCs w:val="24"/>
        </w:rPr>
        <w:t xml:space="preserve">第一章 </w:t>
      </w:r>
      <w:hyperlink r:id="rId6" w:anchor="_Toc29583_WPSOffice_Level1" w:history="1">
        <w:r>
          <w:rPr>
            <w:rStyle w:val="Hyperlink"/>
            <w:rFonts w:ascii="宋体" w:hAnsi="宋体" w:cs="宋体" w:hint="eastAsia"/>
            <w:sz w:val="24"/>
            <w:szCs w:val="24"/>
          </w:rPr>
          <w:t>招标公告（未进行资格预审,适用于公开招标）</w:t>
        </w:r>
      </w:hyperlink>
    </w:p>
    <w:p w14:paraId="48E886D1">
      <w:pPr>
        <w:pStyle w:val="WPSOffice1"/>
        <w:tabs>
          <w:tab w:val="right" w:leader="dot" w:pos="9072"/>
        </w:tabs>
        <w:spacing w:line="480" w:lineRule="auto"/>
        <w:ind w:left="-7" w:hanging="46" w:leftChars="-22" w:hangingChars="23"/>
        <w:rPr>
          <w:rFonts w:ascii="宋体" w:hAnsi="宋体" w:cs="宋体"/>
          <w:sz w:val="24"/>
          <w:szCs w:val="24"/>
        </w:rPr>
      </w:pPr>
      <w:sdt>
        <w:sdtPr>
          <w:id w:val="1866634532"/>
          <w14:checkbox>
            <w14:checked w14:val="0"/>
            <w14:checkedState w14:val="2611" w14:font="MS Gothic"/>
            <w14:uncheckedState w14:val="2610" w14:font="MS Gothic"/>
          </w14:checkbox>
        </w:sdtPr>
        <w:sdtContent>
          <w:r>
            <w:rPr>
              <w:rFonts w:ascii="MS Gothic" w:eastAsia="MS Gothic" w:hAnsi="MS Gothic" w:cs="MS Gothic" w:hint="eastAsia"/>
            </w:rPr>
            <w:t>☐</w:t>
          </w:r>
        </w:sdtContent>
      </w:sdt>
      <w:hyperlink r:id="rId6" w:anchor="_Toc5226_WPSOffice_Level1" w:history="1">
        <w:r>
          <w:rPr>
            <w:rStyle w:val="Hyperlink"/>
            <w:rFonts w:ascii="宋体" w:hAnsi="宋体" w:cs="宋体" w:hint="eastAsia"/>
            <w:sz w:val="24"/>
            <w:szCs w:val="24"/>
          </w:rPr>
          <w:t>第一章 投标邀请书（适用于邀请招标）</w:t>
        </w:r>
      </w:hyperlink>
    </w:p>
    <w:p w14:paraId="43159746">
      <w:pPr>
        <w:pStyle w:val="WPSOffice1"/>
        <w:numPr>
          <w:ilvl w:val="0"/>
          <w:numId w:val="1"/>
        </w:numPr>
        <w:tabs>
          <w:tab w:val="right" w:leader="dot" w:pos="9072"/>
        </w:tabs>
        <w:spacing w:line="480" w:lineRule="auto"/>
        <w:ind w:firstLine="240" w:firstLineChars="100"/>
        <w:rPr>
          <w:rFonts w:ascii="宋体" w:hAnsi="宋体" w:cs="宋体"/>
          <w:sz w:val="24"/>
          <w:szCs w:val="24"/>
        </w:rPr>
      </w:pPr>
      <w:r>
        <w:rPr>
          <w:rFonts w:ascii="宋体" w:hAnsi="宋体" w:cs="宋体" w:hint="eastAsia"/>
          <w:sz w:val="24"/>
          <w:szCs w:val="24"/>
        </w:rPr>
        <w:t>投标人须知</w:t>
      </w:r>
    </w:p>
    <w:p w14:paraId="08BD40EE">
      <w:pPr>
        <w:pStyle w:val="WPSOffice1"/>
        <w:tabs>
          <w:tab w:val="right" w:leader="dot" w:pos="9072"/>
        </w:tabs>
        <w:spacing w:line="480" w:lineRule="auto"/>
        <w:rPr>
          <w:rFonts w:ascii="宋体" w:hAnsi="宋体" w:cs="宋体"/>
          <w:sz w:val="24"/>
          <w:szCs w:val="24"/>
        </w:rPr>
      </w:pPr>
      <w:sdt>
        <w:sdtPr>
          <w:id w:val="-1742559730"/>
          <w14:checkbox>
            <w14:checked w14:val="0"/>
            <w14:checkedState w14:val="2611" w14:font="MS Gothic"/>
            <w14:uncheckedState w14:val="2610" w14:font="MS Gothic"/>
          </w14:checkbox>
        </w:sdtPr>
        <w:sdtContent>
          <w:r>
            <w:rPr>
              <w:rFonts w:ascii="MS Gothic" w:eastAsia="MS Gothic" w:hAnsi="MS Gothic" w:cs="MS Gothic" w:hint="eastAsia"/>
            </w:rPr>
            <w:t>☐</w:t>
          </w:r>
        </w:sdtContent>
      </w:sdt>
      <w:hyperlink r:id="rId6" w:anchor="_Toc1561_WPSOffice_Level1" w:history="1">
        <w:r>
          <w:rPr>
            <w:rStyle w:val="Hyperlink"/>
            <w:rFonts w:ascii="宋体" w:hAnsi="宋体" w:cs="宋体" w:hint="eastAsia"/>
            <w:sz w:val="24"/>
            <w:szCs w:val="24"/>
          </w:rPr>
          <w:t>第三章 评标办法（综合评估法）</w:t>
        </w:r>
      </w:hyperlink>
    </w:p>
    <w:p w14:paraId="737DB0E1">
      <w:pPr>
        <w:pStyle w:val="WPSOffice1"/>
        <w:tabs>
          <w:tab w:val="right" w:leader="dot" w:pos="9072"/>
        </w:tabs>
        <w:spacing w:line="360" w:lineRule="auto"/>
        <w:rPr>
          <w:rFonts w:ascii="宋体" w:hAnsi="宋体" w:cs="宋体"/>
          <w:sz w:val="24"/>
          <w:szCs w:val="24"/>
        </w:rPr>
      </w:pPr>
      <w:sdt>
        <w:sdtPr>
          <w:rPr>
            <w:rFonts w:ascii="宋体" w:hAnsi="宋体" w:cs="宋体" w:hint="eastAsia"/>
            <w:sz w:val="24"/>
            <w:szCs w:val="24"/>
          </w:rPr>
          <w:id w:val="-1947542326"/>
          <w14:checkbox>
            <w14:checked w14:val="0"/>
            <w14:checkedState w14:val="2611" w14:font="MS Gothic"/>
            <w14:uncheckedState w14:val="2610" w14:font="MS Gothic"/>
          </w14:checkbox>
        </w:sdtPr>
        <w:sdtEndPr>
          <w:rPr>
            <w:rFonts w:ascii="宋体" w:hAnsi="宋体" w:cs="宋体" w:hint="eastAsia"/>
            <w:sz w:val="24"/>
            <w:szCs w:val="24"/>
          </w:rPr>
        </w:sdtEndPr>
        <w:sdtContent>
          <w:r>
            <w:rPr>
              <w:rFonts w:ascii="MS Gothic" w:eastAsia="MS Gothic" w:hAnsi="MS Gothic" w:cs="MS Gothic" w:hint="eastAsia"/>
              <w:sz w:val="24"/>
              <w:szCs w:val="24"/>
            </w:rPr>
            <w:t>☐</w:t>
          </w:r>
        </w:sdtContent>
      </w:sdt>
      <w:r>
        <w:rPr>
          <w:rFonts w:ascii="宋体" w:hAnsi="宋体" w:cs="宋体" w:hint="eastAsia"/>
          <w:sz w:val="24"/>
          <w:szCs w:val="24"/>
        </w:rPr>
        <w:t>第三章 评标办法（经评审的最低投标价法）</w:t>
      </w:r>
    </w:p>
    <w:p w14:paraId="7FD246DD">
      <w:pPr>
        <w:pStyle w:val="WPSOffice1"/>
        <w:tabs>
          <w:tab w:val="right" w:leader="dot" w:pos="9072"/>
        </w:tabs>
        <w:spacing w:line="480" w:lineRule="auto"/>
        <w:ind w:firstLine="240" w:firstLineChars="100"/>
        <w:rPr>
          <w:rFonts w:ascii="宋体" w:hAnsi="宋体" w:cs="宋体"/>
          <w:sz w:val="24"/>
          <w:szCs w:val="24"/>
        </w:rPr>
      </w:pPr>
      <w:r>
        <w:rPr>
          <w:rFonts w:ascii="宋体" w:hAnsi="宋体" w:cs="宋体" w:hint="eastAsia"/>
          <w:sz w:val="24"/>
          <w:szCs w:val="24"/>
        </w:rPr>
        <w:t>第四章 合同条款及格式</w:t>
      </w:r>
      <w:bookmarkEnd w:id="0"/>
    </w:p>
    <w:p w14:paraId="309FEB3A">
      <w:pPr>
        <w:pStyle w:val="WPSOffice1"/>
        <w:tabs>
          <w:tab w:val="right" w:leader="dot" w:pos="9072"/>
        </w:tabs>
        <w:spacing w:line="480" w:lineRule="auto"/>
        <w:ind w:firstLine="240" w:firstLineChars="100"/>
        <w:rPr>
          <w:rFonts w:ascii="宋体" w:hAnsi="宋体" w:cs="宋体"/>
          <w:sz w:val="24"/>
          <w:szCs w:val="24"/>
        </w:rPr>
      </w:pPr>
      <w:r>
        <w:rPr>
          <w:rFonts w:ascii="宋体" w:hAnsi="宋体" w:cs="宋体" w:hint="eastAsia"/>
          <w:sz w:val="24"/>
          <w:szCs w:val="24"/>
        </w:rPr>
        <w:t>第五章 工程量清单</w:t>
      </w:r>
    </w:p>
    <w:p w14:paraId="67A5379D">
      <w:pPr>
        <w:pStyle w:val="WPSOffice1"/>
        <w:tabs>
          <w:tab w:val="right" w:leader="dot" w:pos="9072"/>
        </w:tabs>
        <w:spacing w:line="480" w:lineRule="auto"/>
        <w:ind w:firstLine="240" w:firstLineChars="100"/>
        <w:rPr>
          <w:rFonts w:ascii="宋体" w:hAnsi="宋体" w:cs="宋体"/>
          <w:sz w:val="24"/>
          <w:szCs w:val="24"/>
        </w:rPr>
      </w:pPr>
      <w:r>
        <w:rPr>
          <w:rFonts w:ascii="宋体" w:hAnsi="宋体" w:cs="宋体" w:hint="eastAsia"/>
          <w:sz w:val="24"/>
          <w:szCs w:val="24"/>
        </w:rPr>
        <w:t>第二卷</w:t>
      </w:r>
    </w:p>
    <w:p w14:paraId="66942B5B">
      <w:pPr>
        <w:pStyle w:val="WPSOffice1"/>
        <w:tabs>
          <w:tab w:val="right" w:leader="dot" w:pos="9072"/>
        </w:tabs>
        <w:spacing w:line="480" w:lineRule="auto"/>
        <w:ind w:firstLine="240" w:firstLineChars="100"/>
        <w:rPr>
          <w:rFonts w:ascii="宋体" w:hAnsi="宋体" w:cs="宋体"/>
          <w:sz w:val="24"/>
          <w:szCs w:val="24"/>
        </w:rPr>
      </w:pPr>
      <w:r>
        <w:rPr>
          <w:rFonts w:ascii="宋体" w:hAnsi="宋体" w:cs="宋体" w:hint="eastAsia"/>
          <w:sz w:val="24"/>
          <w:szCs w:val="24"/>
        </w:rPr>
        <w:t>第六章 图纸</w:t>
      </w:r>
    </w:p>
    <w:p w14:paraId="4C4DFFCE">
      <w:pPr>
        <w:pStyle w:val="WPSOffice1"/>
        <w:tabs>
          <w:tab w:val="right" w:leader="dot" w:pos="9072"/>
        </w:tabs>
        <w:spacing w:line="480" w:lineRule="auto"/>
        <w:ind w:firstLine="240" w:firstLineChars="100"/>
        <w:rPr>
          <w:rFonts w:ascii="宋体" w:hAnsi="宋体" w:cs="宋体"/>
          <w:sz w:val="24"/>
          <w:szCs w:val="24"/>
        </w:rPr>
      </w:pPr>
      <w:r>
        <w:rPr>
          <w:rFonts w:ascii="宋体" w:hAnsi="宋体" w:cs="宋体" w:hint="eastAsia"/>
          <w:sz w:val="24"/>
          <w:szCs w:val="24"/>
        </w:rPr>
        <w:t>第三卷</w:t>
      </w:r>
    </w:p>
    <w:p w14:paraId="000CB165">
      <w:pPr>
        <w:pStyle w:val="WPSOffice1"/>
        <w:tabs>
          <w:tab w:val="right" w:leader="dot" w:pos="9072"/>
        </w:tabs>
        <w:spacing w:line="480" w:lineRule="auto"/>
        <w:ind w:firstLine="240" w:firstLineChars="100"/>
        <w:rPr>
          <w:rFonts w:ascii="宋体" w:hAnsi="宋体" w:cs="宋体"/>
          <w:sz w:val="24"/>
          <w:szCs w:val="24"/>
        </w:rPr>
      </w:pPr>
      <w:r>
        <w:rPr>
          <w:rFonts w:ascii="宋体" w:hAnsi="宋体" w:cs="宋体" w:hint="eastAsia"/>
          <w:sz w:val="24"/>
          <w:szCs w:val="24"/>
        </w:rPr>
        <w:t>第七章 技术标准和要求</w:t>
      </w:r>
    </w:p>
    <w:p w14:paraId="7E7ECE2F">
      <w:pPr>
        <w:pStyle w:val="WPSOffice1"/>
        <w:tabs>
          <w:tab w:val="right" w:leader="dot" w:pos="9072"/>
        </w:tabs>
        <w:spacing w:line="480" w:lineRule="auto"/>
        <w:ind w:firstLine="240" w:firstLineChars="100"/>
        <w:rPr>
          <w:rFonts w:ascii="宋体" w:hAnsi="宋体" w:cs="宋体"/>
          <w:sz w:val="24"/>
          <w:szCs w:val="24"/>
        </w:rPr>
      </w:pPr>
      <w:r>
        <w:rPr>
          <w:rFonts w:ascii="宋体" w:hAnsi="宋体" w:cs="宋体" w:hint="eastAsia"/>
          <w:sz w:val="24"/>
          <w:szCs w:val="24"/>
        </w:rPr>
        <w:t>第四卷</w:t>
      </w:r>
    </w:p>
    <w:p w14:paraId="1D203D1C">
      <w:pPr>
        <w:pStyle w:val="WPSOffice1"/>
        <w:tabs>
          <w:tab w:val="right" w:leader="dot" w:pos="9072"/>
        </w:tabs>
        <w:spacing w:line="480" w:lineRule="auto"/>
        <w:ind w:firstLine="240" w:firstLineChars="100"/>
        <w:rPr>
          <w:rFonts w:ascii="宋体" w:hAnsi="宋体" w:cs="宋体"/>
          <w:lang w:eastAsia="zh-CN"/>
        </w:rPr>
      </w:pPr>
      <w:r>
        <w:rPr>
          <w:rFonts w:ascii="宋体" w:hAnsi="宋体" w:cs="宋体" w:hint="eastAsia"/>
          <w:sz w:val="24"/>
          <w:szCs w:val="24"/>
        </w:rPr>
        <w:t>第八章 投标文件格式</w:t>
      </w:r>
    </w:p>
    <w:p w14:paraId="134D966B">
      <w:pPr>
        <w:pStyle w:val="WPSOffice1"/>
        <w:tabs>
          <w:tab w:val="right" w:leader="dot" w:pos="9072"/>
        </w:tabs>
        <w:spacing w:line="480" w:lineRule="auto"/>
        <w:ind w:firstLine="240" w:firstLineChars="100"/>
        <w:rPr>
          <w:rFonts w:ascii="宋体" w:eastAsia="宋体" w:hAnsi="宋体" w:cs="宋体" w:hint="default"/>
          <w:sz w:val="24"/>
          <w:szCs w:val="24"/>
          <w:lang w:val="en-US" w:eastAsia="zh-CN"/>
        </w:rPr>
      </w:pPr>
      <w:r>
        <w:rPr>
          <w:rFonts w:ascii="宋体" w:hAnsi="宋体" w:cs="宋体" w:hint="eastAsia"/>
          <w:sz w:val="24"/>
          <w:szCs w:val="24"/>
        </w:rPr>
        <w:t>第</w:t>
      </w:r>
      <w:r>
        <w:rPr>
          <w:rFonts w:ascii="宋体" w:hAnsi="宋体" w:cs="宋体" w:hint="eastAsia"/>
          <w:sz w:val="24"/>
          <w:szCs w:val="24"/>
          <w:lang w:val="en-US" w:eastAsia="zh-CN"/>
        </w:rPr>
        <w:t>九</w:t>
      </w:r>
      <w:r>
        <w:rPr>
          <w:rFonts w:ascii="宋体" w:hAnsi="宋体" w:cs="宋体" w:hint="eastAsia"/>
          <w:sz w:val="24"/>
          <w:szCs w:val="24"/>
        </w:rPr>
        <w:t xml:space="preserve">章 </w:t>
      </w:r>
      <w:r>
        <w:rPr>
          <w:rFonts w:ascii="宋体" w:hAnsi="宋体" w:cs="宋体" w:hint="eastAsia"/>
          <w:sz w:val="24"/>
          <w:szCs w:val="24"/>
          <w:lang w:val="en-US" w:eastAsia="zh-CN"/>
        </w:rPr>
        <w:t>定标方案</w:t>
      </w:r>
    </w:p>
    <w:p w14:paraId="6414B9D5">
      <w:pPr>
        <w:spacing w:line="480" w:lineRule="auto"/>
        <w:rPr>
          <w:rFonts w:ascii="宋体" w:hAnsi="宋体" w:cs="宋体"/>
          <w:lang w:eastAsia="zh-CN"/>
        </w:rPr>
        <w:sectPr>
          <w:pgSz w:w="11906" w:h="16838"/>
          <w:pgMar w:top="1417" w:right="1417" w:bottom="1417" w:left="1417" w:header="851" w:footer="850" w:gutter="0"/>
          <w:pgNumType w:start="1"/>
          <w:cols w:num="1" w:space="720"/>
          <w:docGrid w:type="lines" w:linePitch="312" w:charSpace="0"/>
        </w:sectPr>
      </w:pPr>
    </w:p>
    <w:p w14:paraId="584F9C74">
      <w:pPr>
        <w:spacing w:line="36" w:lineRule="auto"/>
        <w:rPr>
          <w:rFonts w:ascii="宋体" w:hAnsi="宋体"/>
          <w:b/>
          <w:sz w:val="36"/>
          <w:szCs w:val="22"/>
          <w:lang w:eastAsia="zh-CN"/>
        </w:rPr>
      </w:pPr>
    </w:p>
    <w:p w14:paraId="0856A4E6">
      <w:pPr>
        <w:spacing w:line="36" w:lineRule="auto"/>
        <w:jc w:val="center"/>
        <w:rPr>
          <w:rFonts w:ascii="宋体" w:hAnsi="宋体"/>
          <w:sz w:val="21"/>
          <w:lang w:eastAsia="zh-CN"/>
        </w:rPr>
      </w:pPr>
      <w:r>
        <w:rPr>
          <w:rFonts w:ascii="宋体" w:hAnsi="宋体" w:hint="eastAsia"/>
          <w:b/>
          <w:sz w:val="36"/>
          <w:szCs w:val="36"/>
          <w:lang w:eastAsia="zh-CN"/>
        </w:rPr>
        <w:t>第一卷</w:t>
      </w:r>
    </w:p>
    <w:p w14:paraId="5834E085">
      <w:pPr>
        <w:pStyle w:val="Heading10"/>
        <w:spacing w:line="396" w:lineRule="auto"/>
        <w:jc w:val="center"/>
        <w:rPr>
          <w:rFonts w:ascii="宋体" w:hAnsi="宋体"/>
          <w:sz w:val="32"/>
          <w:szCs w:val="32"/>
          <w:lang w:eastAsia="zh-CN"/>
        </w:rPr>
      </w:pPr>
      <w:bookmarkStart w:id="1" w:name="_Toc256000000"/>
      <w:sdt>
        <w:sdtPr>
          <w:rPr>
            <w:rFonts w:ascii="宋体" w:hAnsi="宋体" w:hint="eastAsia"/>
            <w:sz w:val="32"/>
            <w:szCs w:val="32"/>
            <w:lang w:eastAsia="zh-CN"/>
          </w:rPr>
          <w:id w:val="-1861812773"/>
          <w14:checkbox>
            <w14:checked w14:val="1"/>
            <w14:checkedState w14:val="2611" w14:font="MS Gothic"/>
            <w14:uncheckedState w14:val="2610" w14:font="MS Gothic"/>
          </w14:checkbox>
        </w:sdtPr>
        <w:sdtEndPr>
          <w:rPr>
            <w:rFonts w:ascii="宋体" w:hAnsi="宋体" w:hint="eastAsia"/>
            <w:sz w:val="32"/>
            <w:szCs w:val="32"/>
            <w:lang w:eastAsia="zh-CN"/>
          </w:rPr>
        </w:sdtEndPr>
        <w:sdtContent>
          <w:r>
            <w:rPr>
              <w:rFonts w:ascii="MS Gothic" w:eastAsia="MS Gothic" w:hAnsi="MS Gothic" w:cs="MS Gothic" w:hint="eastAsia"/>
              <w:b/>
              <w:bCs/>
              <w:kern w:val="44"/>
              <w:sz w:val="32"/>
              <w:szCs w:val="32"/>
              <w:lang w:val="en-US" w:eastAsia="zh-CN" w:bidi="ar-SA"/>
            </w:rPr>
            <w:t>☑</w:t>
          </w:r>
        </w:sdtContent>
      </w:sdt>
      <w:r>
        <w:rPr>
          <w:rFonts w:ascii="宋体" w:hAnsi="宋体" w:hint="eastAsia"/>
          <w:sz w:val="32"/>
          <w:szCs w:val="32"/>
          <w:lang w:eastAsia="zh-CN"/>
        </w:rPr>
        <w:t>第一章 招标公告（未进行资格预审，适用于公开招标）</w:t>
      </w:r>
      <w:bookmarkEnd w:id="1"/>
    </w:p>
    <w:p w14:paraId="6B5D7E05">
      <w:pPr>
        <w:spacing w:line="436" w:lineRule="auto"/>
        <w:jc w:val="center"/>
        <w:rPr>
          <w:rFonts w:ascii="宋体" w:hAnsi="宋体"/>
          <w:b/>
          <w:sz w:val="28"/>
          <w:szCs w:val="28"/>
          <w:lang w:eastAsia="zh-CN"/>
        </w:rPr>
      </w:pPr>
      <w:r>
        <w:rPr>
          <w:rFonts w:ascii="宋体" w:hAnsi="宋体" w:hint="eastAsia"/>
          <w:b/>
          <w:color w:val="00B0F0"/>
          <w:sz w:val="28"/>
          <w:szCs w:val="28"/>
          <w:u w:val="single"/>
          <w:lang w:eastAsia="zh-CN"/>
        </w:rPr>
        <w:t xml:space="preserve">  遂宁市安居区凤栖悦府建设项目 </w:t>
      </w:r>
      <w:r>
        <w:rPr>
          <w:rFonts w:ascii="宋体" w:hAnsi="宋体" w:hint="eastAsia"/>
          <w:b/>
          <w:sz w:val="28"/>
          <w:szCs w:val="28"/>
          <w:lang w:eastAsia="zh-CN"/>
        </w:rPr>
        <w:t>(项目名称)施工</w:t>
      </w:r>
      <w:r>
        <w:rPr>
          <w:rFonts w:ascii="宋体" w:hAnsi="宋体" w:hint="eastAsia"/>
          <w:b/>
          <w:color w:val="00B0F0"/>
          <w:sz w:val="28"/>
          <w:szCs w:val="28"/>
          <w:u w:val="single"/>
          <w:lang w:eastAsia="zh-CN"/>
        </w:rPr>
        <w:t xml:space="preserve"> </w:t>
      </w:r>
      <w:r>
        <w:rPr>
          <w:rFonts w:ascii="宋体" w:hAnsi="宋体" w:hint="eastAsia"/>
          <w:b/>
          <w:color w:val="00B0F0"/>
          <w:sz w:val="28"/>
          <w:szCs w:val="28"/>
          <w:u w:val="single"/>
          <w:lang w:val="en-US" w:eastAsia="zh-CN"/>
        </w:rPr>
        <w:t>/</w:t>
      </w:r>
      <w:r>
        <w:rPr>
          <w:rFonts w:ascii="宋体" w:hAnsi="宋体" w:hint="eastAsia"/>
          <w:b/>
          <w:color w:val="00B0F0"/>
          <w:sz w:val="28"/>
          <w:szCs w:val="28"/>
          <w:u w:val="single"/>
          <w:lang w:eastAsia="zh-CN"/>
        </w:rPr>
        <w:t xml:space="preserve"> </w:t>
      </w:r>
      <w:r>
        <w:rPr>
          <w:rFonts w:ascii="宋体" w:hAnsi="宋体" w:hint="eastAsia"/>
          <w:b/>
          <w:sz w:val="28"/>
          <w:szCs w:val="28"/>
          <w:lang w:eastAsia="zh-CN"/>
        </w:rPr>
        <w:t>标段</w:t>
      </w:r>
    </w:p>
    <w:p w14:paraId="2A102C67">
      <w:pPr>
        <w:spacing w:line="436" w:lineRule="auto"/>
        <w:jc w:val="center"/>
        <w:rPr>
          <w:rFonts w:ascii="宋体" w:hAnsi="宋体"/>
          <w:b/>
          <w:sz w:val="28"/>
          <w:szCs w:val="28"/>
          <w:lang w:eastAsia="zh-CN"/>
        </w:rPr>
      </w:pPr>
      <w:r>
        <w:rPr>
          <w:rFonts w:ascii="宋体" w:hAnsi="宋体" w:hint="eastAsia"/>
          <w:b/>
          <w:sz w:val="28"/>
          <w:szCs w:val="28"/>
          <w:lang w:eastAsia="zh-CN"/>
        </w:rPr>
        <w:t>招标公告</w:t>
      </w:r>
    </w:p>
    <w:p w14:paraId="44EA6FD8">
      <w:pPr>
        <w:spacing w:line="436" w:lineRule="auto"/>
        <w:jc w:val="center"/>
        <w:rPr>
          <w:rFonts w:ascii="宋体" w:hAnsi="宋体"/>
          <w:lang w:eastAsia="zh-CN"/>
        </w:rPr>
      </w:pPr>
    </w:p>
    <w:p w14:paraId="777DA98E">
      <w:pPr>
        <w:spacing w:line="360" w:lineRule="auto"/>
        <w:rPr>
          <w:rFonts w:ascii="宋体" w:hAnsi="宋体"/>
          <w:b/>
          <w:lang w:eastAsia="zh-CN"/>
        </w:rPr>
      </w:pPr>
      <w:r>
        <w:rPr>
          <w:rFonts w:ascii="宋体" w:hAnsi="宋体" w:hint="eastAsia"/>
          <w:b/>
          <w:lang w:eastAsia="zh-CN"/>
        </w:rPr>
        <w:t>1. 招标条件</w:t>
      </w:r>
    </w:p>
    <w:p w14:paraId="02536489">
      <w:pPr>
        <w:spacing w:line="360" w:lineRule="auto"/>
        <w:rPr>
          <w:rFonts w:ascii="宋体" w:hAnsi="宋体"/>
          <w:lang w:eastAsia="zh-CN"/>
        </w:rPr>
      </w:pPr>
      <w:r>
        <w:rPr>
          <w:rFonts w:ascii="宋体" w:hAnsi="宋体" w:hint="eastAsia"/>
          <w:lang w:eastAsia="zh-CN"/>
        </w:rPr>
        <w:t xml:space="preserve">    1.1本招标项目</w:t>
      </w:r>
      <w:r>
        <w:rPr>
          <w:rFonts w:ascii="宋体" w:hAnsi="宋体" w:hint="eastAsia"/>
          <w:b/>
          <w:color w:val="00B0F0"/>
          <w:u w:val="single"/>
          <w:lang w:eastAsia="zh-CN"/>
        </w:rPr>
        <w:t xml:space="preserve"> 遂宁市安居区凤栖悦府建设项目 </w:t>
      </w:r>
      <w:r>
        <w:rPr>
          <w:rFonts w:ascii="宋体" w:hAnsi="宋体" w:hint="eastAsia"/>
          <w:lang w:eastAsia="zh-CN"/>
        </w:rPr>
        <w:t>(项目名称)已由</w:t>
      </w:r>
      <w:r>
        <w:rPr>
          <w:rFonts w:ascii="宋体" w:hAnsi="宋体" w:hint="eastAsia"/>
          <w:b/>
          <w:color w:val="00B0F0"/>
          <w:u w:val="single"/>
          <w:lang w:eastAsia="zh-CN"/>
        </w:rPr>
        <w:t xml:space="preserve"> 遂宁市安居区发展和改革局  </w:t>
      </w:r>
      <w:r>
        <w:rPr>
          <w:rFonts w:ascii="宋体" w:hAnsi="宋体" w:hint="eastAsia"/>
          <w:lang w:eastAsia="zh-CN"/>
        </w:rPr>
        <w:t>(项目审批、核准或备案机关名称)以</w:t>
      </w:r>
      <w:r>
        <w:rPr>
          <w:rFonts w:ascii="宋体" w:hAnsi="宋体" w:hint="eastAsia"/>
          <w:b/>
          <w:color w:val="00B0F0"/>
          <w:u w:val="single"/>
          <w:lang w:eastAsia="zh-CN"/>
        </w:rPr>
        <w:t xml:space="preserve"> 川投资备【2512-510904-04-01-121532】FGQB-0792 号  </w:t>
      </w:r>
      <w:r>
        <w:rPr>
          <w:rFonts w:ascii="宋体" w:hAnsi="宋体" w:hint="eastAsia"/>
          <w:lang w:eastAsia="zh-CN"/>
        </w:rPr>
        <w:t>（批文名称及编号）批准建设，项目业主为</w:t>
      </w:r>
      <w:r>
        <w:rPr>
          <w:rFonts w:ascii="宋体" w:hAnsi="宋体" w:hint="eastAsia"/>
          <w:color w:val="00B0F0"/>
          <w:u w:val="single"/>
          <w:lang w:eastAsia="zh-CN"/>
        </w:rPr>
        <w:t xml:space="preserve"> 遂宁锦宜博众建筑装饰工程有限公司</w:t>
      </w:r>
      <w:r>
        <w:rPr>
          <w:rFonts w:ascii="宋体" w:hAnsi="宋体" w:hint="eastAsia"/>
          <w:lang w:eastAsia="zh-CN"/>
        </w:rPr>
        <w:t>，建设资金来自</w:t>
      </w:r>
      <w:r>
        <w:rPr>
          <w:rFonts w:ascii="宋体" w:hAnsi="宋体" w:hint="eastAsia"/>
          <w:b/>
          <w:color w:val="00B0F0"/>
          <w:u w:val="single"/>
          <w:lang w:eastAsia="zh-CN"/>
        </w:rPr>
        <w:t xml:space="preserve"> 企业自筹及国内贷款 </w:t>
      </w:r>
      <w:r>
        <w:rPr>
          <w:rFonts w:ascii="宋体" w:hAnsi="宋体" w:hint="eastAsia"/>
          <w:lang w:eastAsia="zh-CN"/>
        </w:rPr>
        <w:t>（资金来源），项目出资比例为</w:t>
      </w:r>
      <w:r>
        <w:rPr>
          <w:rFonts w:ascii="宋体" w:hAnsi="宋体" w:hint="eastAsia"/>
          <w:color w:val="00B0F0"/>
          <w:u w:val="single"/>
          <w:lang w:eastAsia="zh-CN"/>
        </w:rPr>
        <w:t xml:space="preserve">  100% </w:t>
      </w:r>
      <w:r>
        <w:rPr>
          <w:rFonts w:ascii="宋体" w:hAnsi="宋体" w:hint="eastAsia"/>
          <w:lang w:eastAsia="zh-CN"/>
        </w:rPr>
        <w:t>，招标人为</w:t>
      </w:r>
      <w:r>
        <w:rPr>
          <w:rFonts w:ascii="宋体" w:hAnsi="宋体" w:hint="eastAsia"/>
          <w:color w:val="00B0F0"/>
          <w:u w:val="single"/>
          <w:lang w:eastAsia="zh-CN"/>
        </w:rPr>
        <w:t xml:space="preserve"> 遂宁锦宜博众建筑装饰工程有限公司  </w:t>
      </w:r>
      <w:r>
        <w:rPr>
          <w:rFonts w:ascii="宋体" w:hAnsi="宋体" w:hint="eastAsia"/>
          <w:lang w:eastAsia="zh-CN"/>
        </w:rPr>
        <w:t>。项目已具备招标条件，现对该项目的施工进行公开招标。</w:t>
      </w:r>
    </w:p>
    <w:p w14:paraId="516D5BE4">
      <w:pPr>
        <w:spacing w:line="360" w:lineRule="auto"/>
        <w:ind w:firstLine="420"/>
        <w:rPr>
          <w:rFonts w:ascii="宋体" w:hAnsi="宋体"/>
          <w:b/>
          <w:u w:val="single"/>
          <w:lang w:eastAsia="zh-CN"/>
        </w:rPr>
      </w:pPr>
      <w:r>
        <w:rPr>
          <w:rFonts w:ascii="宋体" w:hAnsi="宋体" w:hint="eastAsia"/>
          <w:lang w:eastAsia="zh-CN"/>
        </w:rPr>
        <w:t>1.2本招标项目由</w:t>
      </w:r>
      <w:r>
        <w:rPr>
          <w:rFonts w:ascii="宋体" w:hAnsi="宋体" w:hint="eastAsia"/>
          <w:b/>
          <w:color w:val="00B0F0"/>
          <w:u w:val="single"/>
          <w:lang w:eastAsia="zh-CN"/>
        </w:rPr>
        <w:t xml:space="preserve"> 遂宁市安居区发展和改革局 </w:t>
      </w:r>
      <w:r>
        <w:rPr>
          <w:rFonts w:ascii="宋体" w:hAnsi="宋体" w:hint="eastAsia"/>
          <w:lang w:eastAsia="zh-CN"/>
        </w:rPr>
        <w:t>（核准机关名称）核准（招标事项核准文号为</w:t>
      </w:r>
      <w:r>
        <w:rPr>
          <w:rFonts w:ascii="宋体" w:hAnsi="宋体" w:hint="eastAsia"/>
          <w:b/>
          <w:color w:val="00B0F0"/>
          <w:u w:val="single"/>
          <w:lang w:eastAsia="zh-CN"/>
        </w:rPr>
        <w:t xml:space="preserve"> 川投资备【2512-510904-04-01-121532】FGQB-0792 号  </w:t>
      </w:r>
      <w:r>
        <w:rPr>
          <w:rFonts w:ascii="宋体" w:hAnsi="宋体" w:hint="eastAsia"/>
          <w:lang w:eastAsia="zh-CN"/>
        </w:rPr>
        <w:t>）的招标组织形式为</w:t>
      </w:r>
      <w:r>
        <w:rPr>
          <w:rFonts w:ascii="宋体" w:hAnsi="宋体" w:hint="eastAsia"/>
          <w:color w:val="00B0F0"/>
          <w:u w:val="single"/>
          <w:lang w:eastAsia="zh-CN"/>
        </w:rPr>
        <w:t xml:space="preserve"> 委托招标   </w:t>
      </w:r>
      <w:r>
        <w:rPr>
          <w:rFonts w:ascii="宋体" w:hAnsi="宋体" w:hint="eastAsia"/>
          <w:lang w:eastAsia="zh-CN"/>
        </w:rPr>
        <w:t>（</w:t>
      </w:r>
      <w:sdt>
        <w:sdtPr>
          <w:rPr>
            <w:rFonts w:ascii="宋体" w:hAnsi="宋体" w:hint="eastAsia"/>
            <w:lang w:eastAsia="zh-CN"/>
          </w:rPr>
          <w:id w:val="-1310316834"/>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 xml:space="preserve">自行招标 </w:t>
      </w:r>
      <w:sdt>
        <w:sdtPr>
          <w:rPr>
            <w:rFonts w:ascii="宋体" w:hAnsi="宋体" w:hint="eastAsia"/>
            <w:lang w:eastAsia="zh-CN"/>
          </w:rPr>
          <w:id w:val="-866286716"/>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委托招标）。招标人选择的招标代理机构是</w:t>
      </w:r>
      <w:r>
        <w:rPr>
          <w:rFonts w:ascii="宋体" w:hAnsi="宋体" w:hint="eastAsia"/>
          <w:color w:val="00B0F0"/>
          <w:u w:val="single"/>
          <w:lang w:eastAsia="zh-CN"/>
        </w:rPr>
        <w:t xml:space="preserve">  四川精正建设管理咨询有限公司  </w:t>
      </w:r>
      <w:r>
        <w:rPr>
          <w:rFonts w:ascii="宋体" w:hAnsi="宋体" w:hint="eastAsia"/>
          <w:lang w:eastAsia="zh-CN"/>
        </w:rPr>
        <w:t>。</w:t>
      </w:r>
    </w:p>
    <w:p w14:paraId="7082CE9A">
      <w:pPr>
        <w:spacing w:line="360" w:lineRule="auto"/>
        <w:rPr>
          <w:rFonts w:ascii="宋体" w:hAnsi="宋体"/>
          <w:b/>
          <w:lang w:eastAsia="zh-CN"/>
        </w:rPr>
      </w:pPr>
      <w:r>
        <w:rPr>
          <w:rFonts w:ascii="宋体" w:hAnsi="宋体" w:hint="eastAsia"/>
          <w:b/>
          <w:lang w:eastAsia="zh-CN"/>
        </w:rPr>
        <w:t>2. 项目概况与招标范围</w:t>
      </w:r>
    </w:p>
    <w:p w14:paraId="7D3432D1">
      <w:pPr>
        <w:spacing w:line="36" w:lineRule="auto"/>
        <w:rPr>
          <w:rFonts w:ascii="宋体" w:hAnsi="宋体" w:hint="eastAsia"/>
          <w:color w:val="00B0F0"/>
          <w:u w:val="single"/>
          <w:lang w:eastAsia="zh-CN"/>
        </w:rPr>
      </w:pPr>
      <w:r>
        <w:rPr>
          <w:rFonts w:ascii="宋体" w:hAnsi="宋体" w:hint="eastAsia"/>
          <w:color w:val="00B0F0"/>
          <w:u w:val="single"/>
          <w:lang w:eastAsia="zh-CN"/>
        </w:rPr>
        <w:t xml:space="preserve">  2.1建设地点：凤凰大道中段西侧，琼江路南侧。</w:t>
      </w:r>
    </w:p>
    <w:p w14:paraId="6C8450D2">
      <w:pPr>
        <w:spacing w:line="36" w:lineRule="auto"/>
        <w:rPr>
          <w:rFonts w:ascii="宋体" w:hAnsi="宋体" w:hint="eastAsia"/>
          <w:color w:val="00B0F0"/>
          <w:u w:val="single"/>
          <w:lang w:eastAsia="zh-CN"/>
        </w:rPr>
      </w:pPr>
      <w:r>
        <w:rPr>
          <w:rFonts w:ascii="宋体" w:hAnsi="宋体" w:hint="eastAsia"/>
          <w:color w:val="00B0F0"/>
          <w:u w:val="single"/>
          <w:lang w:eastAsia="zh-CN"/>
        </w:rPr>
        <w:t>2.2项目规模及投资额：项目总投资约5.0亿元，总占地面积约 60 亩，最高建筑高度住宅不大于60米，商业不大于27米，绿地率不小于35%，容积率不大于1.8，总建筑面积约97855平方米，主要建设住宅、商业，同时配套建设小区道路、景观绿化、管网工程等及其他相关附属设施。</w:t>
      </w:r>
    </w:p>
    <w:p w14:paraId="3F8C3FDC">
      <w:pPr>
        <w:spacing w:line="36" w:lineRule="auto"/>
        <w:rPr>
          <w:rFonts w:ascii="宋体" w:hAnsi="宋体" w:hint="eastAsia"/>
          <w:color w:val="00B0F0"/>
          <w:u w:val="single"/>
          <w:lang w:eastAsia="zh-CN"/>
        </w:rPr>
      </w:pPr>
      <w:r>
        <w:rPr>
          <w:rFonts w:ascii="宋体" w:hAnsi="宋体" w:hint="eastAsia"/>
          <w:color w:val="00B0F0"/>
          <w:u w:val="single"/>
          <w:lang w:eastAsia="zh-CN"/>
        </w:rPr>
        <w:t>2.3计划工期：720日历天。</w:t>
      </w:r>
    </w:p>
    <w:p w14:paraId="224EEF27">
      <w:pPr>
        <w:spacing w:line="36" w:lineRule="auto"/>
        <w:rPr>
          <w:rFonts w:ascii="宋体" w:hAnsi="宋体" w:hint="eastAsia"/>
          <w:color w:val="00B0F0"/>
          <w:u w:val="single"/>
          <w:lang w:eastAsia="zh-CN"/>
        </w:rPr>
      </w:pPr>
      <w:r>
        <w:rPr>
          <w:rFonts w:ascii="宋体" w:hAnsi="宋体" w:hint="eastAsia"/>
          <w:color w:val="00B0F0"/>
          <w:u w:val="single"/>
          <w:lang w:eastAsia="zh-CN"/>
        </w:rPr>
        <w:t>2.4招标范围：本项目施工图纸及工程量清单所示范围内全部工作内容的施工。</w:t>
      </w:r>
    </w:p>
    <w:p w14:paraId="058E118C">
      <w:pPr>
        <w:spacing w:line="36" w:lineRule="auto"/>
        <w:rPr>
          <w:rFonts w:ascii="宋体" w:hAnsi="宋体"/>
          <w:u w:val="single"/>
          <w:lang w:eastAsia="zh-CN"/>
        </w:rPr>
      </w:pPr>
      <w:r>
        <w:rPr>
          <w:rFonts w:ascii="宋体" w:hAnsi="宋体" w:hint="eastAsia"/>
          <w:color w:val="00B0F0"/>
          <w:u w:val="single"/>
          <w:lang w:eastAsia="zh-CN"/>
        </w:rPr>
        <w:t xml:space="preserve">2.5标段划分：1 个标段。    </w:t>
      </w:r>
      <w:r>
        <w:rPr>
          <w:rFonts w:ascii="宋体" w:hAnsi="宋体" w:hint="eastAsia"/>
          <w:lang w:eastAsia="zh-CN"/>
        </w:rPr>
        <w:t>。</w:t>
      </w:r>
    </w:p>
    <w:p w14:paraId="18BAD9F8">
      <w:pPr>
        <w:rPr>
          <w:rFonts w:ascii="宋体" w:hAnsi="宋体"/>
          <w:lang w:eastAsia="zh-CN"/>
        </w:rPr>
      </w:pPr>
    </w:p>
    <w:p w14:paraId="14FEA96C">
      <w:pPr>
        <w:rPr>
          <w:rFonts w:ascii="宋体" w:hAnsi="宋体"/>
          <w:lang w:eastAsia="zh-CN"/>
        </w:rPr>
      </w:pPr>
      <w:r>
        <w:rPr>
          <w:rFonts w:ascii="宋体" w:hAnsi="宋体" w:hint="eastAsia"/>
          <w:lang w:eastAsia="zh-CN"/>
        </w:rPr>
        <w:t>（说明本次招标项目的建设地点、规模及投资额、计划工期、招标范围、标段划分及标段投资额等）。</w:t>
      </w:r>
    </w:p>
    <w:p w14:paraId="1511F563">
      <w:pPr>
        <w:spacing w:line="360" w:lineRule="auto"/>
        <w:rPr>
          <w:rFonts w:ascii="宋体" w:hAnsi="宋体"/>
          <w:b/>
          <w:lang w:eastAsia="zh-CN"/>
        </w:rPr>
      </w:pPr>
      <w:r>
        <w:rPr>
          <w:rFonts w:ascii="宋体" w:hAnsi="宋体" w:hint="eastAsia"/>
          <w:b/>
          <w:lang w:eastAsia="zh-CN"/>
        </w:rPr>
        <w:t>3. 投标人资格要求</w:t>
      </w:r>
    </w:p>
    <w:p w14:paraId="09E0F6A7">
      <w:pPr>
        <w:spacing w:line="360" w:lineRule="auto"/>
        <w:ind w:firstLine="420"/>
        <w:rPr>
          <w:rFonts w:ascii="宋体" w:hAnsi="宋体"/>
          <w:lang w:eastAsia="zh-CN"/>
        </w:rPr>
      </w:pPr>
      <w:r>
        <w:rPr>
          <w:rFonts w:ascii="宋体" w:hAnsi="宋体" w:hint="eastAsia"/>
          <w:lang w:eastAsia="zh-CN"/>
        </w:rPr>
        <w:t>3.1本次招标要求投标人须具备</w:t>
      </w:r>
    </w:p>
    <w:p w14:paraId="3235016A">
      <w:pPr>
        <w:spacing w:line="360" w:lineRule="auto"/>
        <w:ind w:firstLine="420"/>
        <w:rPr>
          <w:rFonts w:ascii="宋体" w:hAnsi="宋体"/>
          <w:lang w:eastAsia="zh-CN"/>
        </w:rPr>
      </w:pPr>
      <w:r>
        <w:rPr>
          <w:rFonts w:ascii="宋体" w:hAnsi="宋体" w:hint="eastAsia"/>
          <w:lang w:eastAsia="zh-CN"/>
        </w:rPr>
        <w:t>3.1.1资质条件：</w:t>
      </w:r>
      <w:r>
        <w:rPr>
          <w:rFonts w:ascii="宋体" w:hAnsi="宋体" w:hint="eastAsia"/>
          <w:color w:val="00B0F0"/>
          <w:u w:val="single"/>
          <w:lang w:eastAsia="zh-CN"/>
        </w:rPr>
        <w:t xml:space="preserve">  具有国家建设行政主管部门颁发的建筑工程施工总承包二级及以上资质   </w:t>
      </w:r>
      <w:r>
        <w:rPr>
          <w:rFonts w:ascii="宋体" w:hAnsi="宋体" w:hint="eastAsia"/>
          <w:lang w:eastAsia="zh-CN"/>
        </w:rPr>
        <w:t>。</w:t>
      </w:r>
    </w:p>
    <w:p w14:paraId="748B733D">
      <w:pPr>
        <w:spacing w:line="360" w:lineRule="auto"/>
        <w:ind w:firstLine="420"/>
        <w:rPr>
          <w:rFonts w:ascii="宋体" w:hAnsi="宋体"/>
          <w:lang w:eastAsia="zh-CN"/>
        </w:rPr>
      </w:pPr>
      <w:r>
        <w:rPr>
          <w:rFonts w:ascii="宋体" w:hAnsi="宋体" w:hint="eastAsia"/>
          <w:lang w:eastAsia="zh-CN"/>
        </w:rPr>
        <w:t>3.1.2业绩要求：</w:t>
      </w:r>
    </w:p>
    <w:p w14:paraId="08D45896">
      <w:pPr>
        <w:spacing w:line="360" w:lineRule="auto"/>
        <w:ind w:firstLine="960" w:firstLineChars="400"/>
        <w:rPr>
          <w:rFonts w:ascii="宋体" w:hAnsi="宋体"/>
          <w:lang w:eastAsia="zh-CN"/>
        </w:rPr>
      </w:pPr>
      <w:sdt>
        <w:sdtPr>
          <w:rPr>
            <w:rFonts w:ascii="宋体" w:hAnsi="宋体" w:hint="eastAsia"/>
            <w:lang w:eastAsia="zh-CN"/>
          </w:rPr>
          <w:id w:val="284396764"/>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近年（</w:t>
      </w:r>
      <w:r>
        <w:rPr>
          <w:rFonts w:ascii="宋体" w:hAnsi="宋体" w:hint="eastAsia"/>
          <w:color w:val="00B0F0"/>
          <w:u w:val="single"/>
          <w:lang w:eastAsia="zh-CN"/>
        </w:rPr>
        <w:t xml:space="preserve">   </w:t>
      </w:r>
      <w:r>
        <w:rPr>
          <w:rFonts w:ascii="宋体" w:hAnsi="宋体" w:hint="eastAsia"/>
          <w:lang w:eastAsia="zh-CN"/>
        </w:rPr>
        <w:t>年</w:t>
      </w:r>
      <w:r>
        <w:rPr>
          <w:rFonts w:ascii="宋体" w:hAnsi="宋体" w:hint="eastAsia"/>
          <w:color w:val="00B0F0"/>
          <w:u w:val="single"/>
          <w:lang w:eastAsia="zh-CN"/>
        </w:rPr>
        <w:t xml:space="preserve">  </w:t>
      </w:r>
      <w:r>
        <w:rPr>
          <w:rFonts w:ascii="宋体" w:hAnsi="宋体" w:hint="eastAsia"/>
          <w:lang w:eastAsia="zh-CN"/>
        </w:rPr>
        <w:t>月</w:t>
      </w:r>
      <w:r>
        <w:rPr>
          <w:rFonts w:ascii="宋体" w:hAnsi="宋体" w:hint="eastAsia"/>
          <w:color w:val="00B0F0"/>
          <w:u w:val="single"/>
          <w:lang w:eastAsia="zh-CN"/>
        </w:rPr>
        <w:t xml:space="preserve">  </w:t>
      </w:r>
      <w:r>
        <w:rPr>
          <w:rFonts w:ascii="宋体" w:hAnsi="宋体" w:hint="eastAsia"/>
          <w:lang w:eastAsia="zh-CN"/>
        </w:rPr>
        <w:t>日至投标截止时间，不少于3年）（多项选择：</w:t>
      </w:r>
      <w:sdt>
        <w:sdtPr>
          <w:rPr>
            <w:rFonts w:ascii="宋体" w:hAnsi="宋体" w:hint="eastAsia"/>
            <w:lang w:eastAsia="zh-CN"/>
          </w:rPr>
          <w:id w:val="1535301870"/>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 xml:space="preserve">已完成 </w:t>
      </w:r>
      <w:sdt>
        <w:sdtPr>
          <w:rPr>
            <w:rFonts w:ascii="宋体" w:hAnsi="宋体" w:hint="eastAsia"/>
            <w:lang w:eastAsia="zh-CN"/>
          </w:rPr>
          <w:id w:val="261027526"/>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已完成或新承接或正在施工）不少于</w:t>
      </w:r>
      <w:r>
        <w:rPr>
          <w:rFonts w:ascii="宋体" w:hAnsi="宋体" w:hint="eastAsia"/>
          <w:color w:val="00B0F0"/>
          <w:u w:val="single"/>
          <w:lang w:eastAsia="zh-CN"/>
        </w:rPr>
        <w:t xml:space="preserve">    </w:t>
      </w:r>
      <w:r>
        <w:rPr>
          <w:rFonts w:ascii="宋体" w:hAnsi="宋体" w:hint="eastAsia"/>
          <w:lang w:eastAsia="zh-CN"/>
        </w:rPr>
        <w:t>（1 至3个）个类似项目。类似项目是指:</w:t>
      </w:r>
      <w:r>
        <w:rPr>
          <w:rFonts w:ascii="宋体" w:hAnsi="宋体" w:hint="eastAsia"/>
          <w:color w:val="00B0F0"/>
          <w:u w:val="single"/>
          <w:lang w:eastAsia="zh-CN"/>
        </w:rPr>
        <w:t xml:space="preserve">             </w:t>
      </w:r>
      <w:r>
        <w:rPr>
          <w:rFonts w:ascii="宋体" w:hAnsi="宋体" w:hint="eastAsia"/>
          <w:lang w:eastAsia="zh-CN"/>
        </w:rPr>
        <w:t>。</w:t>
      </w:r>
    </w:p>
    <w:p w14:paraId="700E8C72">
      <w:pPr>
        <w:spacing w:line="360" w:lineRule="auto"/>
        <w:rPr>
          <w:rFonts w:ascii="宋体" w:hAnsi="宋体"/>
          <w:lang w:eastAsia="zh-CN"/>
        </w:rPr>
      </w:pPr>
      <w:r>
        <w:rPr>
          <w:rFonts w:ascii="宋体" w:hAnsi="宋体" w:hint="eastAsia"/>
          <w:lang w:eastAsia="zh-CN"/>
        </w:rPr>
        <w:t xml:space="preserve">        </w:t>
      </w:r>
      <w:sdt>
        <w:sdtPr>
          <w:rPr>
            <w:rFonts w:ascii="宋体" w:hAnsi="宋体" w:hint="eastAsia"/>
            <w:lang w:eastAsia="zh-CN"/>
          </w:rPr>
          <w:id w:val="1823776804"/>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无业绩要求。</w:t>
      </w:r>
    </w:p>
    <w:p w14:paraId="1E530F5D">
      <w:pPr>
        <w:spacing w:line="360" w:lineRule="auto"/>
        <w:ind w:firstLine="365" w:firstLineChars="152"/>
        <w:rPr>
          <w:rFonts w:ascii="宋体" w:hAnsi="宋体"/>
          <w:lang w:eastAsia="zh-CN"/>
        </w:rPr>
      </w:pPr>
      <w:r>
        <w:rPr>
          <w:rFonts w:ascii="宋体" w:hAnsi="宋体" w:hint="eastAsia"/>
          <w:lang w:eastAsia="zh-CN"/>
        </w:rPr>
        <w:t>3.1.3项目经理的资格要求：</w:t>
      </w:r>
    </w:p>
    <w:p w14:paraId="69113837">
      <w:pPr>
        <w:spacing w:line="360" w:lineRule="auto"/>
        <w:ind w:firstLine="960" w:firstLineChars="400"/>
        <w:rPr>
          <w:rFonts w:ascii="宋体" w:hAnsi="宋体"/>
          <w:lang w:eastAsia="zh-CN"/>
        </w:rPr>
      </w:pPr>
      <w:sdt>
        <w:sdtPr>
          <w:rPr>
            <w:rFonts w:ascii="宋体" w:hAnsi="宋体" w:hint="eastAsia"/>
            <w:lang w:eastAsia="zh-CN"/>
          </w:rPr>
          <w:id w:val="578570591"/>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项目经理（项目负责人）资格：</w:t>
      </w:r>
      <w:r>
        <w:rPr>
          <w:rFonts w:ascii="宋体" w:hAnsi="宋体" w:hint="eastAsia"/>
          <w:color w:val="00B0F0"/>
          <w:u w:val="single"/>
          <w:lang w:eastAsia="zh-CN"/>
        </w:rPr>
        <w:t xml:space="preserve">  建筑工程专业二级及以上     </w:t>
      </w:r>
      <w:r>
        <w:rPr>
          <w:rFonts w:ascii="宋体" w:hAnsi="宋体" w:hint="eastAsia"/>
          <w:u w:val="single"/>
          <w:lang w:eastAsia="zh-CN"/>
        </w:rPr>
        <w:t>(注册专业)（级别）</w:t>
      </w:r>
      <w:r>
        <w:rPr>
          <w:rFonts w:ascii="宋体" w:hAnsi="宋体" w:hint="eastAsia"/>
          <w:lang w:eastAsia="zh-CN"/>
        </w:rPr>
        <w:t>建造师，具有省级及以上住房城乡建设主管部门颁发的安全生产考核合格证（B证），</w:t>
      </w:r>
      <w:r>
        <w:rPr>
          <w:rFonts w:ascii="宋体" w:hAnsi="宋体" w:hint="eastAsia"/>
          <w:b/>
          <w:color w:val="00B0F0"/>
          <w:u w:val="single"/>
          <w:lang w:eastAsia="zh-CN"/>
        </w:rPr>
        <w:t xml:space="preserve">   /   </w:t>
      </w:r>
      <w:r>
        <w:rPr>
          <w:rFonts w:ascii="宋体" w:hAnsi="宋体" w:hint="eastAsia"/>
          <w:bCs/>
          <w:u w:val="single"/>
          <w:lang w:eastAsia="zh-CN"/>
        </w:rPr>
        <w:t>（业绩要求）</w:t>
      </w:r>
      <w:r>
        <w:rPr>
          <w:rFonts w:ascii="宋体" w:hAnsi="宋体" w:hint="eastAsia"/>
          <w:lang w:eastAsia="zh-CN"/>
        </w:rPr>
        <w:t xml:space="preserve"> ，须为</w:t>
      </w:r>
      <w:r>
        <w:rPr>
          <w:rFonts w:ascii="宋体" w:hAnsi="宋体" w:hint="eastAsia"/>
          <w:bCs/>
          <w:lang w:eastAsia="zh-CN"/>
        </w:rPr>
        <w:t>本单位人员（若为联合体投标，须为联合体牵头</w:t>
      </w:r>
      <w:r>
        <w:rPr>
          <w:rFonts w:ascii="宋体" w:hAnsi="宋体" w:hint="eastAsia"/>
          <w:lang w:eastAsia="zh-CN"/>
        </w:rPr>
        <w:t>人人员）。</w:t>
      </w:r>
    </w:p>
    <w:p w14:paraId="39B88F87">
      <w:pPr>
        <w:spacing w:line="360" w:lineRule="auto"/>
        <w:ind w:firstLine="960" w:firstLineChars="400"/>
        <w:rPr>
          <w:rFonts w:ascii="宋体" w:hAnsi="宋体"/>
          <w:lang w:eastAsia="zh-CN"/>
        </w:rPr>
      </w:pPr>
      <w:sdt>
        <w:sdtPr>
          <w:rPr>
            <w:rFonts w:ascii="宋体" w:hAnsi="宋体" w:hint="eastAsia"/>
            <w:lang w:eastAsia="zh-CN"/>
          </w:rPr>
          <w:id w:val="-1533111267"/>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园林绿化工程项目经理（项目负责人）资格：</w:t>
      </w:r>
      <w:r>
        <w:rPr>
          <w:rFonts w:ascii="宋体" w:hAnsi="宋体" w:hint="eastAsia"/>
          <w:color w:val="00B0F0"/>
          <w:u w:val="single"/>
          <w:lang w:eastAsia="zh-CN"/>
        </w:rPr>
        <w:t xml:space="preserve">      </w:t>
      </w:r>
      <w:r>
        <w:rPr>
          <w:rFonts w:ascii="宋体" w:hAnsi="宋体" w:hint="eastAsia"/>
          <w:u w:val="single"/>
          <w:lang w:eastAsia="zh-CN"/>
        </w:rPr>
        <w:t>（职称级别）</w:t>
      </w:r>
      <w:r>
        <w:rPr>
          <w:rFonts w:ascii="宋体" w:hAnsi="宋体" w:hint="eastAsia"/>
          <w:lang w:eastAsia="zh-CN"/>
        </w:rPr>
        <w:t>专业技术职称，</w:t>
      </w:r>
      <w:r>
        <w:rPr>
          <w:rFonts w:ascii="宋体" w:hAnsi="宋体" w:hint="eastAsia"/>
          <w:b/>
          <w:color w:val="00B0F0"/>
          <w:u w:val="single"/>
          <w:lang w:eastAsia="zh-CN"/>
        </w:rPr>
        <w:t xml:space="preserve">     </w:t>
      </w:r>
      <w:r>
        <w:rPr>
          <w:rFonts w:ascii="宋体" w:hAnsi="宋体" w:hint="eastAsia"/>
          <w:bCs/>
          <w:u w:val="single"/>
          <w:lang w:eastAsia="zh-CN"/>
        </w:rPr>
        <w:t>（业绩要求）</w:t>
      </w:r>
      <w:r>
        <w:rPr>
          <w:rFonts w:ascii="宋体" w:hAnsi="宋体" w:hint="eastAsia"/>
          <w:lang w:eastAsia="zh-CN"/>
        </w:rPr>
        <w:t xml:space="preserve"> ，须为</w:t>
      </w:r>
      <w:r>
        <w:rPr>
          <w:rFonts w:ascii="宋体" w:hAnsi="宋体" w:hint="eastAsia"/>
          <w:bCs/>
          <w:lang w:eastAsia="zh-CN"/>
        </w:rPr>
        <w:t>本单位人员（若为联合体投标，须为联合体牵头</w:t>
      </w:r>
      <w:r>
        <w:rPr>
          <w:rFonts w:ascii="宋体" w:hAnsi="宋体" w:hint="eastAsia"/>
          <w:lang w:eastAsia="zh-CN"/>
        </w:rPr>
        <w:t>人人员）。</w:t>
      </w:r>
    </w:p>
    <w:p w14:paraId="6AC8A7E0">
      <w:pPr>
        <w:spacing w:line="360" w:lineRule="auto"/>
        <w:rPr>
          <w:rFonts w:ascii="宋体" w:hAnsi="宋体"/>
          <w:lang w:eastAsia="zh-CN"/>
        </w:rPr>
      </w:pPr>
      <w:r>
        <w:rPr>
          <w:rFonts w:ascii="宋体" w:hAnsi="宋体" w:hint="eastAsia"/>
          <w:lang w:eastAsia="zh-CN"/>
        </w:rPr>
        <w:t xml:space="preserve">   3.2本次招标</w:t>
      </w:r>
      <w:sdt>
        <w:sdtPr>
          <w:rPr>
            <w:rFonts w:ascii="宋体" w:hAnsi="宋体" w:hint="eastAsia"/>
            <w:lang w:eastAsia="zh-CN"/>
          </w:rPr>
          <w:id w:val="-499351575"/>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 xml:space="preserve">接受 </w:t>
      </w:r>
      <w:sdt>
        <w:sdtPr>
          <w:rPr>
            <w:rFonts w:ascii="宋体" w:hAnsi="宋体" w:hint="eastAsia"/>
            <w:lang w:eastAsia="zh-CN"/>
          </w:rPr>
          <w:id w:val="-1594613853"/>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不接受联合体投标。联合体投标的，应满足下列要求：</w:t>
      </w:r>
      <w:r>
        <w:rPr>
          <w:rFonts w:ascii="宋体" w:hAnsi="宋体" w:hint="eastAsia"/>
          <w:color w:val="00B0F0"/>
          <w:u w:val="single"/>
          <w:lang w:eastAsia="zh-CN"/>
        </w:rPr>
        <w:t xml:space="preserve">            </w:t>
      </w:r>
      <w:r>
        <w:rPr>
          <w:rFonts w:ascii="宋体" w:hAnsi="宋体" w:hint="eastAsia"/>
          <w:lang w:eastAsia="zh-CN"/>
        </w:rPr>
        <w:t>。</w:t>
      </w:r>
    </w:p>
    <w:p w14:paraId="357A64EE">
      <w:pPr>
        <w:spacing w:line="360" w:lineRule="auto"/>
        <w:rPr>
          <w:rFonts w:ascii="宋体" w:hAnsi="宋体" w:hint="eastAsia"/>
          <w:lang w:eastAsia="zh-CN"/>
        </w:rPr>
      </w:pPr>
      <w:r>
        <w:rPr>
          <w:rFonts w:ascii="宋体" w:hAnsi="宋体" w:hint="eastAsia"/>
          <w:lang w:eastAsia="zh-CN"/>
        </w:rPr>
        <w:t xml:space="preserve">   3.3各投标人均可就上述</w:t>
      </w:r>
      <w:r>
        <w:rPr>
          <w:rFonts w:ascii="宋体" w:hAnsi="宋体" w:hint="eastAsia"/>
          <w:color w:val="00B0F0"/>
          <w:u w:val="single"/>
          <w:lang w:eastAsia="zh-CN"/>
        </w:rPr>
        <w:t xml:space="preserve">     </w:t>
      </w:r>
      <w:r>
        <w:rPr>
          <w:rFonts w:ascii="宋体" w:hAnsi="宋体" w:hint="eastAsia"/>
          <w:color w:val="00B0F0"/>
          <w:u w:val="single"/>
          <w:lang w:val="en-US" w:eastAsia="zh-CN"/>
        </w:rPr>
        <w:t>1</w:t>
      </w:r>
      <w:r>
        <w:rPr>
          <w:rFonts w:ascii="宋体" w:hAnsi="宋体" w:hint="eastAsia"/>
          <w:color w:val="00B0F0"/>
          <w:u w:val="single"/>
          <w:lang w:eastAsia="zh-CN"/>
        </w:rPr>
        <w:t xml:space="preserve">      </w:t>
      </w:r>
      <w:r>
        <w:rPr>
          <w:rFonts w:ascii="宋体" w:hAnsi="宋体" w:hint="eastAsia"/>
          <w:lang w:eastAsia="zh-CN"/>
        </w:rPr>
        <w:t>(具体数量)标段投标 。</w:t>
      </w:r>
    </w:p>
    <w:p w14:paraId="60FFF347">
      <w:pPr>
        <w:spacing w:line="360" w:lineRule="auto"/>
        <w:rPr>
          <w:rFonts w:ascii="宋体" w:hAnsi="宋体" w:hint="eastAsia"/>
          <w:highlight w:val="none"/>
          <w:lang w:eastAsia="zh-CN"/>
        </w:rPr>
      </w:pPr>
      <w:sdt>
        <w:sdtPr>
          <w:rPr>
            <w:rFonts w:ascii="宋体" w:hAnsi="宋体" w:eastAsiaTheme="minorEastAsia" w:cs="Times New Roman" w:hint="eastAsia"/>
            <w:sz w:val="24"/>
            <w:szCs w:val="24"/>
            <w:highlight w:val="none"/>
            <w:lang w:val="en-US" w:eastAsia="zh-CN" w:bidi="ar-SA"/>
          </w:rPr>
          <w:id w:val="147461462"/>
          <w14:checkbox>
            <w14:checked w14:val="0"/>
            <w14:checkedState w14:val="2611" w14:font="MS Gothic"/>
            <w14:uncheckedState w14:val="2610" w14:font="MS Gothic"/>
          </w14:checkbox>
        </w:sdtPr>
        <w:sdtEndPr>
          <w:rPr>
            <w:rFonts w:ascii="宋体" w:hAnsi="宋体" w:eastAsiaTheme="minorEastAsia" w:cs="Times New Roman" w:hint="eastAsia"/>
            <w:sz w:val="24"/>
            <w:szCs w:val="24"/>
            <w:highlight w:val="none"/>
            <w:lang w:val="en-US" w:eastAsia="zh-CN" w:bidi="ar-SA"/>
          </w:rPr>
        </w:sdtEndPr>
        <w:sdtContent>
          <w:r>
            <w:rPr>
              <w:rFonts w:ascii="MS Gothic" w:eastAsia="MS Gothic" w:hAnsi="MS Gothic" w:cs="MS Gothic"/>
            </w:rPr>
            <w:t>☐</w:t>
          </w:r>
        </w:sdtContent>
      </w:sdt>
      <w:r>
        <w:rPr>
          <w:rFonts w:ascii="宋体" w:hAnsi="宋体" w:hint="eastAsia"/>
          <w:sz w:val="24"/>
          <w:szCs w:val="24"/>
          <w:highlight w:val="none"/>
          <w:lang w:val="en-US" w:eastAsia="zh-CN"/>
        </w:rPr>
        <w:t>3.4本次招标仅面向中小企业发包（其中属于大企业的分支机构、存在控股股东为大企业、与大企业的负责人为同一人的情形的企业均不属于中小企业。若为联合体投标的，联合体所有单位均应属于中小企业）。具体标准以《工业和信息化部、国家统计局、国家发展和改革委员会、财政部关于印发中小企业划型标准规定的通知》（工信部联企业〔2011〕300号）中的“建筑业”划型标准为准，投标人应提供中小企业声明函。（除技术复杂、存在特殊要求外，我省依法必须招标的国家投资工程，招标控制价在3000万元以下的施工项目(标段) 应勾选此项。）</w:t>
      </w:r>
    </w:p>
    <w:p w14:paraId="233F9898">
      <w:pPr>
        <w:spacing w:line="360" w:lineRule="auto"/>
        <w:rPr>
          <w:rFonts w:ascii="宋体" w:hAnsi="宋体"/>
          <w:b/>
          <w:lang w:eastAsia="zh-CN"/>
        </w:rPr>
      </w:pPr>
      <w:r>
        <w:rPr>
          <w:rFonts w:ascii="宋体" w:hAnsi="宋体" w:hint="eastAsia"/>
          <w:b/>
          <w:lang w:eastAsia="zh-CN"/>
        </w:rPr>
        <w:t>4. 招标文件的获取</w:t>
      </w:r>
    </w:p>
    <w:p w14:paraId="164D60DB">
      <w:pPr>
        <w:spacing w:line="360" w:lineRule="auto"/>
        <w:rPr>
          <w:rFonts w:ascii="宋体" w:hAnsi="宋体"/>
          <w:szCs w:val="22"/>
          <w:lang w:eastAsia="zh-CN"/>
        </w:rPr>
      </w:pPr>
      <w:r>
        <w:rPr>
          <w:rFonts w:ascii="宋体" w:hAnsi="宋体" w:hint="eastAsia"/>
          <w:lang w:eastAsia="zh-CN"/>
        </w:rPr>
        <w:t xml:space="preserve">   4.1 </w:t>
      </w:r>
      <w:r>
        <w:rPr>
          <w:rFonts w:ascii="宋体" w:hAnsi="宋体" w:cs="宋体" w:hint="eastAsia"/>
          <w:lang w:eastAsia="zh-CN"/>
        </w:rPr>
        <w:t>凡有意参加投标者，请于</w:t>
      </w:r>
      <w:r>
        <w:rPr>
          <w:rFonts w:ascii="宋体" w:hAnsi="宋体" w:cs="宋体" w:hint="eastAsia"/>
          <w:color w:val="00B0F0"/>
          <w:u w:val="single"/>
          <w:lang w:eastAsia="zh-CN"/>
        </w:rPr>
        <w:t xml:space="preserve">  </w:t>
      </w:r>
      <w:r>
        <w:rPr>
          <w:rFonts w:ascii="宋体" w:hAnsi="宋体" w:cs="宋体" w:hint="eastAsia"/>
          <w:color w:val="00B0F0"/>
          <w:u w:val="single"/>
          <w:lang w:val="en-US" w:eastAsia="zh-CN"/>
        </w:rPr>
        <w:t>2026</w:t>
      </w:r>
      <w:r>
        <w:rPr>
          <w:rFonts w:ascii="宋体" w:hAnsi="宋体" w:cs="宋体" w:hint="eastAsia"/>
          <w:color w:val="00B0F0"/>
          <w:u w:val="single"/>
          <w:lang w:eastAsia="zh-CN"/>
        </w:rPr>
        <w:t xml:space="preserve">  </w:t>
      </w:r>
      <w:r>
        <w:rPr>
          <w:rFonts w:ascii="宋体" w:hAnsi="宋体" w:cs="宋体" w:hint="eastAsia"/>
          <w:lang w:eastAsia="zh-CN"/>
        </w:rPr>
        <w:t>年</w:t>
      </w:r>
      <w:r>
        <w:rPr>
          <w:rFonts w:ascii="宋体" w:hAnsi="宋体" w:cs="宋体" w:hint="eastAsia"/>
          <w:color w:val="00B0F0"/>
          <w:u w:val="single"/>
          <w:lang w:eastAsia="zh-CN"/>
        </w:rPr>
        <w:t xml:space="preserve">  </w:t>
      </w:r>
      <w:r>
        <w:rPr>
          <w:rFonts w:ascii="宋体" w:hAnsi="宋体" w:cs="宋体" w:hint="eastAsia"/>
          <w:color w:val="00B0F0"/>
          <w:u w:val="single"/>
          <w:lang w:val="en-US" w:eastAsia="zh-CN"/>
        </w:rPr>
        <w:t>7</w:t>
      </w:r>
      <w:r>
        <w:rPr>
          <w:rFonts w:ascii="宋体" w:hAnsi="宋体" w:cs="宋体" w:hint="eastAsia"/>
          <w:color w:val="00B0F0"/>
          <w:u w:val="single"/>
          <w:lang w:eastAsia="zh-CN"/>
        </w:rPr>
        <w:t xml:space="preserve">  </w:t>
      </w:r>
      <w:r>
        <w:rPr>
          <w:rFonts w:ascii="宋体" w:hAnsi="宋体" w:cs="宋体" w:hint="eastAsia"/>
          <w:lang w:eastAsia="zh-CN"/>
        </w:rPr>
        <w:t>月</w:t>
      </w:r>
      <w:r>
        <w:rPr>
          <w:rFonts w:ascii="宋体" w:hAnsi="宋体" w:cs="宋体" w:hint="eastAsia"/>
          <w:color w:val="00B0F0"/>
          <w:u w:val="single"/>
          <w:lang w:eastAsia="zh-CN"/>
        </w:rPr>
        <w:t xml:space="preserve"> </w:t>
      </w:r>
      <w:r>
        <w:rPr>
          <w:rFonts w:ascii="宋体" w:hAnsi="宋体" w:cs="宋体" w:hint="eastAsia"/>
          <w:color w:val="00B0F0"/>
          <w:u w:val="single"/>
          <w:lang w:val="en-US" w:eastAsia="zh-CN"/>
        </w:rPr>
        <w:t>1</w:t>
      </w:r>
      <w:r>
        <w:rPr>
          <w:rFonts w:ascii="宋体" w:hAnsi="宋体" w:cs="宋体" w:hint="eastAsia"/>
          <w:color w:val="00B0F0"/>
          <w:u w:val="single"/>
          <w:lang w:eastAsia="zh-CN"/>
        </w:rPr>
        <w:t xml:space="preserve">  </w:t>
      </w:r>
      <w:r>
        <w:rPr>
          <w:rFonts w:ascii="宋体" w:hAnsi="宋体" w:cs="宋体" w:hint="eastAsia"/>
          <w:lang w:eastAsia="zh-CN"/>
        </w:rPr>
        <w:t>日开始登陆：□全国公共资源交易平台（四川省）（网址：http://ggzyjy.sc.gov.cn）—“登录”——“交易主体”—“建设工程”，通过数字证书免费下载招标资料（招标文件、技术资料等）。</w:t>
      </w:r>
      <w:sdt>
        <w:sdtPr>
          <w:rPr>
            <w:rFonts w:ascii="宋体" w:hAnsi="宋体" w:cs="宋体" w:hint="eastAsia"/>
            <w:lang w:eastAsia="zh-CN"/>
          </w:rPr>
          <w:id w:val="-569192309"/>
          <w14:checkbox>
            <w14:checked w14:val="1"/>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cs="宋体" w:hint="eastAsia"/>
          <w:lang w:eastAsia="zh-CN"/>
        </w:rPr>
        <w:t>全国公共资源交易平台（四川省· 遂宁市 ）</w:t>
      </w:r>
      <w:bookmarkStart w:id="2" w:name="_Hlk61618808"/>
      <w:r>
        <w:rPr>
          <w:rFonts w:ascii="宋体" w:hAnsi="宋体" w:cs="宋体" w:hint="eastAsia"/>
          <w:lang w:eastAsia="zh-CN"/>
        </w:rPr>
        <w:t>（网址：</w:t>
      </w:r>
      <w:r>
        <w:rPr>
          <w:rFonts w:ascii="宋体" w:hAnsi="宋体" w:cs="宋体" w:hint="eastAsia"/>
          <w:u w:val="single"/>
          <w:lang w:eastAsia="zh-CN"/>
        </w:rPr>
        <w:t xml:space="preserve"> </w:t>
      </w:r>
      <w:r>
        <w:rPr>
          <w:rFonts w:ascii="宋体" w:hAnsi="宋体" w:cs="宋体" w:hint="eastAsia"/>
          <w:lang w:eastAsia="zh-CN"/>
        </w:rPr>
        <w:t>http://www.snsggzyjy.cn ）—“登录”—“建设工程后台管理系统”，通过数字证书免费下载招标资料（招标文件、技术资料等）。</w:t>
      </w:r>
      <w:bookmarkEnd w:id="2"/>
    </w:p>
    <w:p w14:paraId="339A3A14">
      <w:pPr>
        <w:spacing w:line="360" w:lineRule="auto"/>
        <w:ind w:firstLine="480" w:firstLineChars="200"/>
        <w:rPr>
          <w:rFonts w:ascii="宋体" w:hAnsi="宋体"/>
          <w:lang w:eastAsia="zh-CN"/>
        </w:rPr>
      </w:pPr>
      <w:r>
        <w:rPr>
          <w:rFonts w:ascii="宋体" w:hAnsi="宋体" w:hint="eastAsia"/>
          <w:lang w:eastAsia="zh-CN"/>
        </w:rPr>
        <w:t>4.2 招标人不提供招标文件获取的其他方式。</w:t>
      </w:r>
    </w:p>
    <w:p w14:paraId="26D9DAE2">
      <w:pPr>
        <w:spacing w:line="360" w:lineRule="auto"/>
        <w:rPr>
          <w:rFonts w:ascii="宋体" w:hAnsi="宋体"/>
          <w:b/>
          <w:lang w:eastAsia="zh-CN"/>
        </w:rPr>
      </w:pPr>
      <w:r>
        <w:rPr>
          <w:rFonts w:ascii="宋体" w:hAnsi="宋体" w:hint="eastAsia"/>
          <w:b/>
          <w:lang w:eastAsia="zh-CN"/>
        </w:rPr>
        <w:t>5. 投标文件的递交</w:t>
      </w:r>
    </w:p>
    <w:p w14:paraId="7AF3F124">
      <w:pPr>
        <w:adjustRightInd w:val="0"/>
        <w:snapToGrid w:val="0"/>
        <w:spacing w:line="360" w:lineRule="auto"/>
        <w:ind w:firstLine="480"/>
        <w:rPr>
          <w:rFonts w:ascii="宋体" w:hAnsi="宋体"/>
          <w:szCs w:val="22"/>
          <w:lang w:eastAsia="zh-CN"/>
        </w:rPr>
      </w:pPr>
      <w:r>
        <w:rPr>
          <w:rFonts w:ascii="宋体" w:hAnsi="宋体" w:hint="eastAsia"/>
          <w:lang w:eastAsia="zh-CN"/>
        </w:rPr>
        <w:t>投标文件递交的截止时间（投标截止时间，下同）为</w:t>
      </w:r>
      <w:r>
        <w:rPr>
          <w:rFonts w:ascii="宋体" w:hAnsi="宋体" w:hint="eastAsia"/>
          <w:b/>
          <w:color w:val="00B0F0"/>
          <w:u w:val="single"/>
          <w:lang w:eastAsia="zh-CN"/>
        </w:rPr>
        <w:t xml:space="preserve"> </w:t>
      </w:r>
      <w:r>
        <w:rPr>
          <w:rFonts w:ascii="宋体" w:hAnsi="宋体" w:hint="eastAsia"/>
          <w:b/>
          <w:color w:val="00B0F0"/>
          <w:u w:val="single"/>
          <w:lang w:val="en-US" w:eastAsia="zh-CN"/>
        </w:rPr>
        <w:t>2026</w:t>
      </w:r>
      <w:r>
        <w:rPr>
          <w:rFonts w:ascii="宋体" w:hAnsi="宋体" w:hint="eastAsia"/>
          <w:b/>
          <w:color w:val="00B0F0"/>
          <w:u w:val="single"/>
          <w:lang w:eastAsia="zh-CN"/>
        </w:rPr>
        <w:t xml:space="preserve">  </w:t>
      </w:r>
      <w:r>
        <w:rPr>
          <w:rFonts w:ascii="宋体" w:hAnsi="宋体" w:hint="eastAsia"/>
          <w:lang w:eastAsia="zh-CN"/>
        </w:rPr>
        <w:t>年</w:t>
      </w:r>
      <w:r>
        <w:rPr>
          <w:rFonts w:ascii="宋体" w:hAnsi="宋体" w:hint="eastAsia"/>
          <w:b/>
          <w:color w:val="00B0F0"/>
          <w:u w:val="single"/>
          <w:lang w:eastAsia="zh-CN"/>
        </w:rPr>
        <w:t xml:space="preserve">  </w:t>
      </w:r>
      <w:r>
        <w:rPr>
          <w:rFonts w:ascii="宋体" w:hAnsi="宋体" w:hint="eastAsia"/>
          <w:b/>
          <w:color w:val="00B0F0"/>
          <w:u w:val="single"/>
          <w:lang w:val="en-US" w:eastAsia="zh-CN"/>
        </w:rPr>
        <w:t>7</w:t>
      </w:r>
      <w:r>
        <w:rPr>
          <w:rFonts w:ascii="宋体" w:hAnsi="宋体" w:hint="eastAsia"/>
          <w:b/>
          <w:color w:val="00B0F0"/>
          <w:u w:val="single"/>
          <w:lang w:eastAsia="zh-CN"/>
        </w:rPr>
        <w:t xml:space="preserve"> </w:t>
      </w:r>
      <w:r>
        <w:rPr>
          <w:rFonts w:ascii="宋体" w:hAnsi="宋体" w:hint="eastAsia"/>
          <w:lang w:eastAsia="zh-CN"/>
        </w:rPr>
        <w:t>月</w:t>
      </w:r>
      <w:r>
        <w:rPr>
          <w:rFonts w:ascii="宋体" w:hAnsi="宋体" w:hint="eastAsia"/>
          <w:b/>
          <w:color w:val="00B0F0"/>
          <w:u w:val="single"/>
          <w:lang w:eastAsia="zh-CN"/>
        </w:rPr>
        <w:t xml:space="preserve"> </w:t>
      </w:r>
      <w:r>
        <w:rPr>
          <w:rFonts w:ascii="宋体" w:hAnsi="宋体" w:hint="eastAsia"/>
          <w:b/>
          <w:color w:val="00B0F0"/>
          <w:u w:val="single"/>
          <w:lang w:val="en-US" w:eastAsia="zh-CN"/>
        </w:rPr>
        <w:t>21</w:t>
      </w:r>
      <w:r>
        <w:rPr>
          <w:rFonts w:ascii="宋体" w:hAnsi="宋体" w:hint="eastAsia"/>
          <w:b/>
          <w:color w:val="00B0F0"/>
          <w:u w:val="single"/>
          <w:lang w:eastAsia="zh-CN"/>
        </w:rPr>
        <w:t xml:space="preserve"> </w:t>
      </w:r>
      <w:r>
        <w:rPr>
          <w:rFonts w:ascii="宋体" w:hAnsi="宋体" w:hint="eastAsia"/>
          <w:lang w:eastAsia="zh-CN"/>
        </w:rPr>
        <w:t>日</w:t>
      </w:r>
      <w:r>
        <w:rPr>
          <w:rFonts w:ascii="宋体" w:hAnsi="宋体" w:hint="eastAsia"/>
          <w:b/>
          <w:color w:val="00B0F0"/>
          <w:u w:val="single"/>
          <w:lang w:eastAsia="zh-CN"/>
        </w:rPr>
        <w:t xml:space="preserve"> </w:t>
      </w:r>
      <w:r>
        <w:rPr>
          <w:rFonts w:ascii="宋体" w:hAnsi="宋体" w:hint="eastAsia"/>
          <w:b/>
          <w:color w:val="00B0F0"/>
          <w:u w:val="single"/>
          <w:lang w:val="en-US" w:eastAsia="zh-CN"/>
        </w:rPr>
        <w:t>9</w:t>
      </w:r>
      <w:r>
        <w:rPr>
          <w:rFonts w:ascii="宋体" w:hAnsi="宋体" w:hint="eastAsia"/>
          <w:b/>
          <w:color w:val="00B0F0"/>
          <w:u w:val="single"/>
          <w:lang w:eastAsia="zh-CN"/>
        </w:rPr>
        <w:t xml:space="preserve">  </w:t>
      </w:r>
      <w:r>
        <w:rPr>
          <w:rFonts w:ascii="宋体" w:hAnsi="宋体" w:hint="eastAsia"/>
          <w:lang w:eastAsia="zh-CN"/>
        </w:rPr>
        <w:t>时</w:t>
      </w:r>
      <w:r>
        <w:rPr>
          <w:rFonts w:ascii="宋体" w:hAnsi="宋体" w:hint="eastAsia"/>
          <w:b/>
          <w:color w:val="00B0F0"/>
          <w:u w:val="single"/>
          <w:lang w:eastAsia="zh-CN"/>
        </w:rPr>
        <w:t xml:space="preserve"> </w:t>
      </w:r>
      <w:r>
        <w:rPr>
          <w:rFonts w:ascii="宋体" w:hAnsi="宋体" w:hint="eastAsia"/>
          <w:b/>
          <w:color w:val="00B0F0"/>
          <w:u w:val="single"/>
          <w:lang w:val="en-US" w:eastAsia="zh-CN"/>
        </w:rPr>
        <w:t>30</w:t>
      </w:r>
      <w:r>
        <w:rPr>
          <w:rFonts w:ascii="宋体" w:hAnsi="宋体" w:hint="eastAsia"/>
          <w:b/>
          <w:color w:val="00B0F0"/>
          <w:u w:val="single"/>
          <w:lang w:eastAsia="zh-CN"/>
        </w:rPr>
        <w:t xml:space="preserve">  </w:t>
      </w:r>
      <w:r>
        <w:rPr>
          <w:rFonts w:ascii="宋体" w:hAnsi="宋体" w:hint="eastAsia"/>
          <w:lang w:eastAsia="zh-CN"/>
        </w:rPr>
        <w:t>分，投标人应在投标截止时间前在线递交经投标人数字证书加密的数据电文形式投标文件。</w:t>
      </w:r>
    </w:p>
    <w:p w14:paraId="51A7709D">
      <w:pPr>
        <w:spacing w:line="360" w:lineRule="auto"/>
        <w:rPr>
          <w:rFonts w:ascii="宋体" w:hAnsi="宋体"/>
          <w:b/>
          <w:lang w:eastAsia="zh-CN"/>
        </w:rPr>
      </w:pPr>
      <w:r>
        <w:rPr>
          <w:rFonts w:ascii="宋体" w:hAnsi="宋体" w:hint="eastAsia"/>
          <w:b/>
          <w:lang w:eastAsia="zh-CN"/>
        </w:rPr>
        <w:t>6. 发布公告的媒介</w:t>
      </w:r>
    </w:p>
    <w:p w14:paraId="1CAF0D18">
      <w:pPr>
        <w:spacing w:line="360" w:lineRule="auto"/>
        <w:rPr>
          <w:rFonts w:ascii="宋体" w:hAnsi="宋体"/>
          <w:lang w:eastAsia="zh-CN"/>
        </w:rPr>
      </w:pPr>
      <w:r>
        <w:rPr>
          <w:rFonts w:ascii="宋体" w:hAnsi="宋体" w:hint="eastAsia"/>
          <w:lang w:eastAsia="zh-CN"/>
        </w:rPr>
        <w:t xml:space="preserve">   本次招标公告在《全国公共资源交易平台（四川省）》和</w:t>
      </w:r>
      <w:r>
        <w:rPr>
          <w:rFonts w:ascii="宋体" w:hAnsi="宋体" w:hint="eastAsia"/>
          <w:b/>
          <w:color w:val="00B0F0"/>
          <w:u w:val="single"/>
          <w:lang w:eastAsia="zh-CN"/>
        </w:rPr>
        <w:t xml:space="preserve">  全国公共资源交易平台（四川省·遂宁市）  </w:t>
      </w:r>
      <w:r>
        <w:rPr>
          <w:rFonts w:ascii="宋体" w:hAnsi="宋体" w:hint="eastAsia"/>
          <w:lang w:eastAsia="zh-CN"/>
        </w:rPr>
        <w:t>(公告发布的其它媒介名称）上发布。</w:t>
      </w:r>
    </w:p>
    <w:p w14:paraId="54D4AA54">
      <w:pPr>
        <w:adjustRightInd w:val="0"/>
        <w:snapToGrid w:val="0"/>
        <w:spacing w:line="360" w:lineRule="auto"/>
        <w:rPr>
          <w:rFonts w:ascii="仿宋" w:eastAsia="仿宋" w:hAnsi="仿宋" w:cs="仿宋" w:hint="eastAsia"/>
          <w:color w:val="auto"/>
          <w:kern w:val="2"/>
          <w:sz w:val="24"/>
          <w:szCs w:val="24"/>
          <w:highlight w:val="none"/>
          <w:lang w:val="en-US" w:eastAsia="zh-CN" w:bidi="ar-SA"/>
        </w:rPr>
      </w:pPr>
      <w:r>
        <w:rPr>
          <w:rFonts w:ascii="宋体" w:eastAsia="宋体" w:hAnsi="宋体" w:cs="宋体" w:hint="eastAsia"/>
          <w:b/>
          <w:sz w:val="24"/>
          <w:szCs w:val="24"/>
          <w:highlight w:val="none"/>
          <w:lang w:val="en-US" w:eastAsia="zh-CN"/>
        </w:rPr>
        <w:t>7.行政监督部门</w:t>
      </w:r>
    </w:p>
    <w:p w14:paraId="5416E225">
      <w:pPr>
        <w:numPr>
          <w:ilvl w:val="0"/>
          <w:numId w:val="0"/>
        </w:numPr>
        <w:spacing w:line="360" w:lineRule="auto"/>
        <w:rPr>
          <w:rFonts w:ascii="仿宋" w:eastAsia="仿宋" w:hAnsi="仿宋" w:cs="仿宋" w:hint="eastAsia"/>
          <w:color w:val="auto"/>
          <w:kern w:val="2"/>
          <w:sz w:val="24"/>
          <w:szCs w:val="24"/>
          <w:highlight w:val="none"/>
          <w:u w:val="single"/>
          <w:lang w:val="en-US" w:eastAsia="zh-CN" w:bidi="ar-SA"/>
        </w:rPr>
      </w:pPr>
      <w:r>
        <w:rPr>
          <w:rFonts w:ascii="宋体" w:eastAsia="宋体" w:hAnsi="宋体" w:hint="eastAsia"/>
          <w:sz w:val="24"/>
          <w:szCs w:val="24"/>
          <w:highlight w:val="none"/>
          <w:lang w:val="en-US" w:eastAsia="zh-CN"/>
        </w:rPr>
        <w:t>单位名称</w:t>
      </w:r>
      <w:r>
        <w:rPr>
          <w:rFonts w:ascii="仿宋" w:eastAsia="仿宋" w:hAnsi="仿宋" w:cs="仿宋" w:hint="eastAsia"/>
          <w:color w:val="auto"/>
          <w:kern w:val="2"/>
          <w:sz w:val="24"/>
          <w:szCs w:val="24"/>
          <w:highlight w:val="none"/>
          <w:lang w:val="en-US" w:eastAsia="zh-CN" w:bidi="ar-SA"/>
        </w:rPr>
        <w:t>：</w:t>
      </w:r>
      <w:r>
        <w:rPr>
          <w:rFonts w:ascii="仿宋" w:eastAsia="仿宋" w:hAnsi="仿宋" w:cs="仿宋" w:hint="eastAsia"/>
          <w:color w:val="auto"/>
          <w:kern w:val="2"/>
          <w:sz w:val="24"/>
          <w:szCs w:val="24"/>
          <w:highlight w:val="none"/>
          <w:u w:val="single"/>
          <w:lang w:val="en-US" w:eastAsia="zh-CN" w:bidi="ar-SA"/>
        </w:rPr>
        <w:t xml:space="preserve"> 遂宁市安居区住房和城乡建设局</w:t>
      </w:r>
    </w:p>
    <w:p w14:paraId="33B15D78">
      <w:pPr>
        <w:numPr>
          <w:ilvl w:val="0"/>
          <w:numId w:val="0"/>
        </w:numPr>
        <w:spacing w:line="480" w:lineRule="auto"/>
        <w:rPr>
          <w:rFonts w:ascii="宋体" w:eastAsia="宋体" w:hAnsi="宋体" w:cs="宋体" w:hint="default"/>
          <w:b/>
          <w:sz w:val="24"/>
          <w:szCs w:val="24"/>
          <w:highlight w:val="none"/>
          <w:lang w:val="en-US" w:eastAsia="zh-CN"/>
        </w:rPr>
      </w:pPr>
      <w:r>
        <w:rPr>
          <w:rFonts w:ascii="宋体" w:eastAsia="宋体" w:hAnsi="宋体" w:hint="eastAsia"/>
          <w:sz w:val="24"/>
          <w:szCs w:val="24"/>
          <w:highlight w:val="none"/>
          <w:lang w:val="en-US" w:eastAsia="zh-CN"/>
        </w:rPr>
        <w:t>联系电话</w:t>
      </w:r>
      <w:r>
        <w:rPr>
          <w:rFonts w:ascii="仿宋" w:eastAsia="仿宋" w:hAnsi="仿宋" w:cs="仿宋" w:hint="eastAsia"/>
          <w:color w:val="auto"/>
          <w:kern w:val="2"/>
          <w:sz w:val="24"/>
          <w:szCs w:val="24"/>
          <w:highlight w:val="none"/>
          <w:lang w:val="en-US" w:eastAsia="zh-CN" w:bidi="ar-SA"/>
        </w:rPr>
        <w:t>：</w:t>
      </w:r>
      <w:r>
        <w:rPr>
          <w:rFonts w:ascii="仿宋" w:eastAsia="仿宋" w:hAnsi="仿宋" w:cs="仿宋" w:hint="eastAsia"/>
          <w:color w:val="auto"/>
          <w:kern w:val="2"/>
          <w:sz w:val="24"/>
          <w:szCs w:val="24"/>
          <w:highlight w:val="none"/>
          <w:u w:val="single"/>
          <w:lang w:val="en-US" w:eastAsia="zh-CN" w:bidi="ar-SA"/>
        </w:rPr>
        <w:t xml:space="preserve"> 0825-8663289</w:t>
      </w:r>
      <w:r>
        <w:rPr>
          <w:rFonts w:ascii="仿宋" w:eastAsia="仿宋" w:hAnsi="仿宋" w:cs="仿宋" w:hint="eastAsia"/>
          <w:color w:val="auto"/>
          <w:kern w:val="2"/>
          <w:sz w:val="24"/>
          <w:szCs w:val="24"/>
          <w:highlight w:val="none"/>
          <w:lang w:val="en-US" w:eastAsia="zh-CN" w:bidi="ar-SA"/>
        </w:rPr>
        <w:t xml:space="preserve"> </w:t>
      </w:r>
      <w:r>
        <w:rPr>
          <w:rFonts w:ascii="仿宋" w:eastAsia="仿宋" w:hAnsi="仿宋" w:cs="仿宋" w:hint="eastAsia"/>
          <w:color w:val="auto"/>
          <w:kern w:val="2"/>
          <w:sz w:val="24"/>
          <w:szCs w:val="24"/>
          <w:highlight w:val="none"/>
          <w:lang w:val="en-US" w:eastAsia="zh-CN" w:bidi="ar-SA"/>
        </w:rPr>
        <w:t xml:space="preserve"> </w:t>
      </w:r>
    </w:p>
    <w:p w14:paraId="0FE30BE4">
      <w:pPr>
        <w:spacing w:line="360" w:lineRule="auto"/>
        <w:rPr>
          <w:rFonts w:ascii="宋体" w:hAnsi="宋体"/>
          <w:b/>
          <w:sz w:val="24"/>
          <w:szCs w:val="24"/>
        </w:rPr>
      </w:pPr>
      <w:r>
        <w:rPr>
          <w:rFonts w:ascii="宋体" w:eastAsia="宋体" w:hAnsi="宋体" w:cs="宋体" w:hint="eastAsia"/>
          <w:b/>
          <w:sz w:val="24"/>
          <w:szCs w:val="24"/>
          <w:highlight w:val="none"/>
          <w:lang w:val="en-US" w:eastAsia="zh-CN"/>
        </w:rPr>
        <w:t>8</w:t>
      </w:r>
      <w:r>
        <w:rPr>
          <w:rFonts w:ascii="宋体" w:eastAsia="宋体" w:hAnsi="宋体" w:cs="宋体" w:hint="eastAsia"/>
          <w:b/>
          <w:sz w:val="24"/>
          <w:szCs w:val="24"/>
          <w:highlight w:val="none"/>
        </w:rPr>
        <w:t xml:space="preserve">. </w:t>
      </w:r>
      <w:r>
        <w:rPr>
          <w:rFonts w:ascii="宋体" w:hAnsi="宋体" w:hint="eastAsia"/>
          <w:b/>
          <w:sz w:val="24"/>
          <w:szCs w:val="24"/>
        </w:rPr>
        <w:t>联系方式</w:t>
      </w:r>
    </w:p>
    <w:p w14:paraId="5531716E">
      <w:pPr>
        <w:adjustRightInd w:val="0"/>
        <w:snapToGrid w:val="0"/>
        <w:spacing w:line="360" w:lineRule="auto"/>
        <w:ind w:firstLine="240" w:firstLineChars="100"/>
        <w:rPr>
          <w:rFonts w:ascii="宋体" w:hAnsi="宋体"/>
          <w:lang w:eastAsia="zh-CN"/>
        </w:rPr>
      </w:pPr>
      <w:r>
        <w:rPr>
          <w:rFonts w:ascii="宋体" w:hAnsi="宋体" w:hint="eastAsia"/>
          <w:lang w:eastAsia="zh-CN"/>
        </w:rPr>
        <w:t>招 标 人：</w:t>
      </w:r>
      <w:r>
        <w:rPr>
          <w:rFonts w:ascii="宋体" w:hAnsi="宋体" w:hint="eastAsia"/>
          <w:b/>
          <w:color w:val="00B0F0"/>
          <w:u w:val="single"/>
          <w:lang w:eastAsia="zh-CN"/>
        </w:rPr>
        <w:t xml:space="preserve"> 遂宁锦宜博众建筑装饰工程有限公司 </w:t>
      </w:r>
    </w:p>
    <w:p w14:paraId="12B48FEF">
      <w:pPr>
        <w:adjustRightInd w:val="0"/>
        <w:snapToGrid w:val="0"/>
        <w:spacing w:line="360" w:lineRule="auto"/>
        <w:ind w:firstLine="240" w:firstLineChars="100"/>
        <w:rPr>
          <w:rFonts w:ascii="宋体" w:hAnsi="宋体"/>
          <w:lang w:eastAsia="zh-CN"/>
        </w:rPr>
      </w:pPr>
      <w:r>
        <w:rPr>
          <w:rFonts w:ascii="宋体" w:hAnsi="宋体" w:hint="eastAsia"/>
          <w:lang w:eastAsia="zh-CN"/>
        </w:rPr>
        <w:t>地    址：</w:t>
      </w:r>
      <w:r>
        <w:rPr>
          <w:rFonts w:ascii="宋体" w:hAnsi="宋体" w:hint="eastAsia"/>
          <w:b/>
          <w:color w:val="00B0F0"/>
          <w:u w:val="single"/>
          <w:lang w:eastAsia="zh-CN"/>
        </w:rPr>
        <w:t xml:space="preserve">遂宁市安居区小祠街26号(凤凰半岛三期商业楼)  </w:t>
      </w:r>
    </w:p>
    <w:p w14:paraId="336B2CC8">
      <w:pPr>
        <w:adjustRightInd w:val="0"/>
        <w:snapToGrid w:val="0"/>
        <w:spacing w:line="360" w:lineRule="auto"/>
        <w:ind w:firstLine="240" w:firstLineChars="100"/>
        <w:rPr>
          <w:rFonts w:ascii="宋体" w:hAnsi="宋体"/>
          <w:lang w:eastAsia="zh-CN"/>
        </w:rPr>
      </w:pPr>
      <w:r>
        <w:rPr>
          <w:rFonts w:ascii="宋体" w:hAnsi="宋体" w:hint="eastAsia"/>
          <w:lang w:eastAsia="zh-CN"/>
        </w:rPr>
        <w:t>邮    编：</w:t>
      </w:r>
      <w:r>
        <w:rPr>
          <w:rFonts w:ascii="宋体" w:hAnsi="宋体" w:hint="eastAsia"/>
          <w:b/>
          <w:color w:val="00B0F0"/>
          <w:u w:val="single"/>
          <w:lang w:eastAsia="zh-CN"/>
        </w:rPr>
        <w:t xml:space="preserve">  629000  </w:t>
      </w:r>
    </w:p>
    <w:p w14:paraId="48C6219F">
      <w:pPr>
        <w:adjustRightInd w:val="0"/>
        <w:snapToGrid w:val="0"/>
        <w:spacing w:line="360" w:lineRule="auto"/>
        <w:ind w:firstLine="240" w:firstLineChars="100"/>
        <w:rPr>
          <w:rFonts w:ascii="宋体" w:hAnsi="宋体"/>
          <w:lang w:eastAsia="zh-CN"/>
        </w:rPr>
      </w:pPr>
      <w:r>
        <w:rPr>
          <w:rFonts w:ascii="宋体" w:hAnsi="宋体" w:hint="eastAsia"/>
          <w:lang w:eastAsia="zh-CN"/>
        </w:rPr>
        <w:t>联 系 人：</w:t>
      </w:r>
      <w:r>
        <w:rPr>
          <w:rFonts w:ascii="宋体" w:hAnsi="宋体" w:hint="eastAsia"/>
          <w:b/>
          <w:color w:val="00B0F0"/>
          <w:u w:val="single"/>
          <w:lang w:eastAsia="zh-CN"/>
        </w:rPr>
        <w:t xml:space="preserve"> 唐女士  </w:t>
      </w:r>
    </w:p>
    <w:p w14:paraId="4BCC39B0">
      <w:pPr>
        <w:adjustRightInd w:val="0"/>
        <w:snapToGrid w:val="0"/>
        <w:spacing w:line="360" w:lineRule="auto"/>
        <w:ind w:firstLine="240" w:firstLineChars="100"/>
        <w:rPr>
          <w:rFonts w:ascii="宋体" w:hAnsi="宋体"/>
          <w:lang w:eastAsia="zh-CN"/>
        </w:rPr>
      </w:pPr>
      <w:r>
        <w:rPr>
          <w:rFonts w:ascii="宋体" w:hAnsi="宋体" w:hint="eastAsia"/>
          <w:lang w:eastAsia="zh-CN"/>
        </w:rPr>
        <w:t>电    话：</w:t>
      </w:r>
      <w:r>
        <w:rPr>
          <w:rFonts w:ascii="宋体" w:hAnsi="宋体" w:hint="eastAsia"/>
          <w:b/>
          <w:color w:val="00B0F0"/>
          <w:u w:val="single"/>
          <w:lang w:eastAsia="zh-CN"/>
        </w:rPr>
        <w:t xml:space="preserve"> 0825-8660550  </w:t>
      </w:r>
    </w:p>
    <w:p w14:paraId="69004070">
      <w:pPr>
        <w:adjustRightInd w:val="0"/>
        <w:snapToGrid w:val="0"/>
        <w:spacing w:line="360" w:lineRule="auto"/>
        <w:ind w:firstLine="240" w:firstLineChars="100"/>
        <w:rPr>
          <w:rFonts w:ascii="宋体" w:hAnsi="宋体"/>
          <w:lang w:eastAsia="zh-CN"/>
        </w:rPr>
      </w:pPr>
      <w:r>
        <w:rPr>
          <w:rFonts w:ascii="宋体" w:hAnsi="宋体" w:hint="eastAsia"/>
          <w:lang w:eastAsia="zh-CN"/>
        </w:rPr>
        <w:t>传    真：</w:t>
      </w:r>
      <w:r>
        <w:rPr>
          <w:rFonts w:ascii="宋体" w:hAnsi="宋体" w:hint="eastAsia"/>
          <w:b/>
          <w:color w:val="00B0F0"/>
          <w:u w:val="single"/>
          <w:lang w:eastAsia="zh-CN"/>
        </w:rPr>
        <w:t xml:space="preserve">    /     </w:t>
      </w:r>
    </w:p>
    <w:p w14:paraId="72744766">
      <w:pPr>
        <w:adjustRightInd w:val="0"/>
        <w:snapToGrid w:val="0"/>
        <w:spacing w:line="360" w:lineRule="auto"/>
        <w:ind w:firstLine="240" w:firstLineChars="100"/>
        <w:rPr>
          <w:rFonts w:ascii="宋体" w:hAnsi="宋体"/>
          <w:lang w:eastAsia="zh-CN"/>
        </w:rPr>
      </w:pPr>
      <w:r>
        <w:rPr>
          <w:rFonts w:ascii="宋体" w:hAnsi="宋体" w:hint="eastAsia"/>
          <w:lang w:eastAsia="zh-CN"/>
        </w:rPr>
        <w:t>电子邮件：</w:t>
      </w:r>
      <w:r>
        <w:rPr>
          <w:rFonts w:ascii="宋体" w:hAnsi="宋体" w:hint="eastAsia"/>
          <w:b/>
          <w:color w:val="00B0F0"/>
          <w:u w:val="single"/>
          <w:lang w:eastAsia="zh-CN"/>
        </w:rPr>
        <w:t xml:space="preserve">    /     </w:t>
      </w:r>
    </w:p>
    <w:p w14:paraId="35B669CB">
      <w:pPr>
        <w:adjustRightInd w:val="0"/>
        <w:snapToGrid w:val="0"/>
        <w:spacing w:line="360" w:lineRule="auto"/>
        <w:ind w:firstLine="240" w:firstLineChars="100"/>
        <w:rPr>
          <w:rFonts w:ascii="宋体" w:hAnsi="宋体"/>
          <w:lang w:eastAsia="zh-CN"/>
        </w:rPr>
      </w:pPr>
      <w:r>
        <w:rPr>
          <w:rFonts w:ascii="宋体" w:hAnsi="宋体" w:hint="eastAsia"/>
          <w:lang w:eastAsia="zh-CN"/>
        </w:rPr>
        <w:t>网    址：</w:t>
      </w:r>
      <w:r>
        <w:rPr>
          <w:rFonts w:ascii="宋体" w:hAnsi="宋体" w:hint="eastAsia"/>
          <w:b/>
          <w:color w:val="00B0F0"/>
          <w:u w:val="single"/>
          <w:lang w:eastAsia="zh-CN"/>
        </w:rPr>
        <w:t xml:space="preserve">    /     </w:t>
      </w:r>
    </w:p>
    <w:p w14:paraId="5FE15E4B">
      <w:pPr>
        <w:adjustRightInd w:val="0"/>
        <w:snapToGrid w:val="0"/>
        <w:spacing w:line="360" w:lineRule="auto"/>
        <w:ind w:firstLine="240" w:firstLineChars="100"/>
        <w:rPr>
          <w:rFonts w:ascii="宋体" w:hAnsi="宋体"/>
          <w:lang w:eastAsia="zh-CN"/>
        </w:rPr>
      </w:pPr>
      <w:r>
        <w:rPr>
          <w:rFonts w:ascii="宋体" w:hAnsi="宋体" w:hint="eastAsia"/>
          <w:lang w:eastAsia="zh-CN"/>
        </w:rPr>
        <w:t>开户银行：</w:t>
      </w:r>
      <w:r>
        <w:rPr>
          <w:rFonts w:ascii="宋体" w:hAnsi="宋体" w:hint="eastAsia"/>
          <w:b/>
          <w:color w:val="00B0F0"/>
          <w:u w:val="single"/>
          <w:lang w:eastAsia="zh-CN"/>
        </w:rPr>
        <w:t xml:space="preserve">     /    </w:t>
      </w:r>
    </w:p>
    <w:p w14:paraId="16814697">
      <w:pPr>
        <w:adjustRightInd w:val="0"/>
        <w:snapToGrid w:val="0"/>
        <w:spacing w:line="360" w:lineRule="auto"/>
        <w:ind w:firstLine="240" w:firstLineChars="100"/>
        <w:rPr>
          <w:rFonts w:ascii="宋体" w:hAnsi="宋体"/>
          <w:lang w:eastAsia="zh-CN"/>
        </w:rPr>
      </w:pPr>
      <w:r>
        <w:rPr>
          <w:rFonts w:ascii="宋体" w:hAnsi="宋体" w:hint="eastAsia"/>
          <w:lang w:eastAsia="zh-CN"/>
        </w:rPr>
        <w:t>账    号：</w:t>
      </w:r>
      <w:r>
        <w:rPr>
          <w:rFonts w:ascii="宋体" w:hAnsi="宋体" w:hint="eastAsia"/>
          <w:b/>
          <w:color w:val="00B0F0"/>
          <w:u w:val="single"/>
          <w:lang w:eastAsia="zh-CN"/>
        </w:rPr>
        <w:t xml:space="preserve">    /     </w:t>
      </w:r>
    </w:p>
    <w:p w14:paraId="33F1650A">
      <w:pPr>
        <w:adjustRightInd w:val="0"/>
        <w:snapToGrid w:val="0"/>
        <w:spacing w:line="360" w:lineRule="auto"/>
        <w:rPr>
          <w:rFonts w:ascii="宋体" w:hAnsi="宋体"/>
          <w:lang w:eastAsia="zh-CN"/>
        </w:rPr>
      </w:pPr>
    </w:p>
    <w:p w14:paraId="50C35811">
      <w:pPr>
        <w:adjustRightInd w:val="0"/>
        <w:snapToGrid w:val="0"/>
        <w:spacing w:line="360" w:lineRule="auto"/>
        <w:rPr>
          <w:rFonts w:ascii="宋体" w:hAnsi="宋体"/>
          <w:lang w:eastAsia="zh-CN"/>
        </w:rPr>
      </w:pPr>
      <w:sdt>
        <w:sdtPr>
          <w:rPr>
            <w:rFonts w:ascii="宋体" w:hAnsi="宋体" w:hint="eastAsia"/>
            <w:lang w:eastAsia="zh-CN"/>
          </w:rPr>
          <w:id w:val="1563904934"/>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 xml:space="preserve"> 招标代理机构：</w:t>
      </w:r>
      <w:r>
        <w:rPr>
          <w:rFonts w:ascii="宋体" w:hAnsi="宋体" w:hint="eastAsia"/>
          <w:b/>
          <w:color w:val="00B0F0"/>
          <w:u w:val="single"/>
          <w:lang w:eastAsia="zh-CN"/>
        </w:rPr>
        <w:t xml:space="preserve">    /     </w:t>
      </w:r>
    </w:p>
    <w:p w14:paraId="4BBF3BC6">
      <w:pPr>
        <w:adjustRightInd w:val="0"/>
        <w:snapToGrid w:val="0"/>
        <w:spacing w:line="360" w:lineRule="auto"/>
        <w:jc w:val="center"/>
        <w:rPr>
          <w:rFonts w:ascii="宋体" w:hAnsi="宋体"/>
          <w:lang w:eastAsia="zh-CN"/>
        </w:rPr>
      </w:pPr>
    </w:p>
    <w:p w14:paraId="24FAB772">
      <w:pPr>
        <w:adjustRightInd w:val="0"/>
        <w:snapToGrid w:val="0"/>
        <w:spacing w:line="360" w:lineRule="auto"/>
        <w:rPr>
          <w:rFonts w:ascii="宋体" w:hAnsi="宋体"/>
          <w:lang w:eastAsia="zh-CN"/>
        </w:rPr>
      </w:pPr>
      <w:sdt>
        <w:sdtPr>
          <w:rPr>
            <w:rFonts w:ascii="宋体" w:hAnsi="宋体" w:hint="eastAsia"/>
            <w:lang w:eastAsia="zh-CN"/>
          </w:rPr>
          <w:id w:val="936019858"/>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 xml:space="preserve"> 招标代理机构：</w:t>
      </w:r>
      <w:r>
        <w:rPr>
          <w:rFonts w:ascii="宋体" w:hAnsi="宋体" w:hint="eastAsia"/>
          <w:b/>
          <w:color w:val="00B0F0"/>
          <w:u w:val="single"/>
          <w:lang w:eastAsia="zh-CN"/>
        </w:rPr>
        <w:t xml:space="preserve"> 四川精正建设管理咨询有限公司 </w:t>
      </w:r>
    </w:p>
    <w:p w14:paraId="11EE02B7">
      <w:pPr>
        <w:adjustRightInd w:val="0"/>
        <w:snapToGrid w:val="0"/>
        <w:spacing w:line="360" w:lineRule="auto"/>
        <w:ind w:firstLine="240" w:firstLineChars="100"/>
        <w:rPr>
          <w:rFonts w:ascii="宋体" w:hAnsi="宋体"/>
          <w:lang w:eastAsia="zh-CN"/>
        </w:rPr>
      </w:pPr>
      <w:r>
        <w:rPr>
          <w:rFonts w:ascii="宋体" w:hAnsi="宋体" w:hint="eastAsia"/>
          <w:lang w:eastAsia="zh-CN"/>
        </w:rPr>
        <w:t>地    址：</w:t>
      </w:r>
      <w:r>
        <w:rPr>
          <w:rFonts w:ascii="宋体" w:hAnsi="宋体" w:hint="eastAsia"/>
          <w:b/>
          <w:color w:val="00B0F0"/>
          <w:u w:val="single"/>
          <w:lang w:eastAsia="zh-CN"/>
        </w:rPr>
        <w:t xml:space="preserve"> 成都市青羊区敬业路218号8栋 </w:t>
      </w:r>
    </w:p>
    <w:p w14:paraId="177BBE9C">
      <w:pPr>
        <w:adjustRightInd w:val="0"/>
        <w:snapToGrid w:val="0"/>
        <w:spacing w:line="360" w:lineRule="auto"/>
        <w:ind w:firstLine="240" w:firstLineChars="100"/>
        <w:rPr>
          <w:rFonts w:ascii="宋体" w:hAnsi="宋体"/>
          <w:lang w:eastAsia="zh-CN"/>
        </w:rPr>
      </w:pPr>
      <w:r>
        <w:rPr>
          <w:rFonts w:ascii="宋体" w:hAnsi="宋体" w:hint="eastAsia"/>
          <w:lang w:eastAsia="zh-CN"/>
        </w:rPr>
        <w:t>邮    编：</w:t>
      </w:r>
      <w:r>
        <w:rPr>
          <w:rFonts w:ascii="宋体" w:hAnsi="宋体" w:hint="eastAsia"/>
          <w:b/>
          <w:color w:val="00B0F0"/>
          <w:u w:val="single"/>
          <w:lang w:eastAsia="zh-CN"/>
        </w:rPr>
        <w:t xml:space="preserve">  610091  </w:t>
      </w:r>
    </w:p>
    <w:p w14:paraId="21AD2E65">
      <w:pPr>
        <w:adjustRightInd w:val="0"/>
        <w:snapToGrid w:val="0"/>
        <w:spacing w:line="360" w:lineRule="auto"/>
        <w:ind w:firstLine="240" w:firstLineChars="100"/>
        <w:rPr>
          <w:rFonts w:ascii="宋体" w:hAnsi="宋体"/>
          <w:lang w:eastAsia="zh-CN"/>
        </w:rPr>
      </w:pPr>
      <w:r>
        <w:rPr>
          <w:rFonts w:ascii="宋体" w:hAnsi="宋体" w:hint="eastAsia"/>
          <w:lang w:eastAsia="zh-CN"/>
        </w:rPr>
        <w:t>联 系 人：</w:t>
      </w:r>
      <w:r>
        <w:rPr>
          <w:rFonts w:ascii="宋体" w:hAnsi="宋体" w:hint="eastAsia"/>
          <w:b/>
          <w:color w:val="00B0F0"/>
          <w:u w:val="single"/>
          <w:lang w:eastAsia="zh-CN"/>
        </w:rPr>
        <w:t xml:space="preserve"> 毛女士 </w:t>
      </w:r>
    </w:p>
    <w:p w14:paraId="2B158E3C">
      <w:pPr>
        <w:adjustRightInd w:val="0"/>
        <w:snapToGrid w:val="0"/>
        <w:spacing w:line="360" w:lineRule="auto"/>
        <w:ind w:firstLine="240" w:firstLineChars="100"/>
        <w:rPr>
          <w:rFonts w:ascii="宋体" w:hAnsi="宋体" w:hint="eastAsia"/>
          <w:lang w:eastAsia="zh-CN"/>
        </w:rPr>
      </w:pPr>
      <w:r>
        <w:rPr>
          <w:rFonts w:ascii="宋体" w:eastAsia="宋体" w:hAnsi="宋体" w:hint="eastAsia"/>
          <w:sz w:val="24"/>
          <w:szCs w:val="24"/>
          <w:highlight w:val="none"/>
          <w:lang w:val="en-US" w:eastAsia="zh-CN"/>
        </w:rPr>
        <w:t>项目负责人</w:t>
      </w:r>
      <w:r>
        <w:rPr>
          <w:rFonts w:ascii="仿宋" w:eastAsia="仿宋" w:hAnsi="仿宋" w:cs="仿宋" w:hint="eastAsia"/>
          <w:b/>
          <w:bCs/>
          <w:color w:val="auto"/>
          <w:sz w:val="24"/>
          <w:szCs w:val="24"/>
          <w:highlight w:val="none"/>
          <w:lang w:val="en-US" w:eastAsia="zh-CN"/>
        </w:rPr>
        <w:t>：</w:t>
      </w:r>
      <w:r>
        <w:rPr>
          <w:rFonts w:ascii="宋体" w:hAnsi="宋体" w:hint="eastAsia"/>
          <w:b/>
          <w:color w:val="00B0F0"/>
          <w:u w:val="single"/>
          <w:lang w:eastAsia="zh-CN"/>
        </w:rPr>
        <w:t xml:space="preserve"> 谢晓东</w:t>
      </w:r>
      <w:r>
        <w:rPr>
          <w:rFonts w:ascii="仿宋" w:eastAsia="仿宋" w:hAnsi="仿宋" w:cs="仿宋" w:hint="eastAsia"/>
          <w:color w:val="auto"/>
          <w:sz w:val="24"/>
          <w:szCs w:val="24"/>
          <w:highlight w:val="none"/>
          <w:u w:val="single"/>
          <w:lang w:val="en-US" w:eastAsia="zh-CN"/>
        </w:rPr>
        <w:t xml:space="preserve">       </w:t>
      </w:r>
    </w:p>
    <w:p w14:paraId="5AA785F8">
      <w:pPr>
        <w:adjustRightInd w:val="0"/>
        <w:snapToGrid w:val="0"/>
        <w:spacing w:line="360" w:lineRule="auto"/>
        <w:ind w:firstLine="240" w:firstLineChars="100"/>
        <w:rPr>
          <w:rFonts w:ascii="宋体" w:hAnsi="宋体"/>
          <w:lang w:eastAsia="zh-CN"/>
        </w:rPr>
      </w:pPr>
      <w:r>
        <w:rPr>
          <w:rFonts w:ascii="宋体" w:hAnsi="宋体" w:hint="eastAsia"/>
          <w:lang w:eastAsia="zh-CN"/>
        </w:rPr>
        <w:t>电    话：</w:t>
      </w:r>
      <w:r>
        <w:rPr>
          <w:rFonts w:ascii="宋体" w:hAnsi="宋体" w:hint="eastAsia"/>
          <w:b/>
          <w:color w:val="00B0F0"/>
          <w:u w:val="single"/>
          <w:lang w:eastAsia="zh-CN"/>
        </w:rPr>
        <w:t xml:space="preserve">  028-86910746   </w:t>
      </w:r>
    </w:p>
    <w:p w14:paraId="328796D8">
      <w:pPr>
        <w:adjustRightInd w:val="0"/>
        <w:snapToGrid w:val="0"/>
        <w:spacing w:line="360" w:lineRule="auto"/>
        <w:ind w:firstLine="240" w:firstLineChars="100"/>
        <w:rPr>
          <w:rFonts w:ascii="宋体" w:hAnsi="宋体"/>
          <w:lang w:eastAsia="zh-CN"/>
        </w:rPr>
      </w:pPr>
      <w:r>
        <w:rPr>
          <w:rFonts w:ascii="宋体" w:hAnsi="宋体" w:hint="eastAsia"/>
          <w:lang w:eastAsia="zh-CN"/>
        </w:rPr>
        <w:t>传    真：</w:t>
      </w:r>
      <w:r>
        <w:rPr>
          <w:rFonts w:ascii="宋体" w:hAnsi="宋体" w:hint="eastAsia"/>
          <w:b/>
          <w:color w:val="00B0F0"/>
          <w:u w:val="single"/>
          <w:lang w:eastAsia="zh-CN"/>
        </w:rPr>
        <w:t xml:space="preserve">   /      </w:t>
      </w:r>
    </w:p>
    <w:p w14:paraId="37CC8E6B">
      <w:pPr>
        <w:adjustRightInd w:val="0"/>
        <w:snapToGrid w:val="0"/>
        <w:spacing w:line="360" w:lineRule="auto"/>
        <w:ind w:firstLine="240" w:firstLineChars="100"/>
        <w:rPr>
          <w:rFonts w:ascii="宋体" w:hAnsi="宋体"/>
          <w:lang w:eastAsia="zh-CN"/>
        </w:rPr>
      </w:pPr>
      <w:r>
        <w:rPr>
          <w:rFonts w:ascii="宋体" w:hAnsi="宋体" w:hint="eastAsia"/>
          <w:lang w:eastAsia="zh-CN"/>
        </w:rPr>
        <w:t>电子邮件：</w:t>
      </w:r>
      <w:r>
        <w:rPr>
          <w:rFonts w:ascii="宋体" w:hAnsi="宋体" w:hint="eastAsia"/>
          <w:b/>
          <w:color w:val="00B0F0"/>
          <w:u w:val="single"/>
          <w:lang w:eastAsia="zh-CN"/>
        </w:rPr>
        <w:t xml:space="preserve">   /      </w:t>
      </w:r>
    </w:p>
    <w:p w14:paraId="7A5D9320">
      <w:pPr>
        <w:adjustRightInd w:val="0"/>
        <w:snapToGrid w:val="0"/>
        <w:spacing w:line="360" w:lineRule="auto"/>
        <w:ind w:firstLine="240" w:firstLineChars="100"/>
        <w:rPr>
          <w:rFonts w:ascii="宋体" w:hAnsi="宋体"/>
          <w:lang w:eastAsia="zh-CN"/>
        </w:rPr>
      </w:pPr>
      <w:r>
        <w:rPr>
          <w:rFonts w:ascii="宋体" w:hAnsi="宋体" w:hint="eastAsia"/>
          <w:lang w:eastAsia="zh-CN"/>
        </w:rPr>
        <w:t>网    址：</w:t>
      </w:r>
      <w:r>
        <w:rPr>
          <w:rFonts w:ascii="宋体" w:hAnsi="宋体" w:hint="eastAsia"/>
          <w:b/>
          <w:color w:val="00B0F0"/>
          <w:u w:val="single"/>
          <w:lang w:eastAsia="zh-CN"/>
        </w:rPr>
        <w:t xml:space="preserve">   /      </w:t>
      </w:r>
    </w:p>
    <w:p w14:paraId="7C9493FD">
      <w:pPr>
        <w:adjustRightInd w:val="0"/>
        <w:snapToGrid w:val="0"/>
        <w:spacing w:line="360" w:lineRule="auto"/>
        <w:ind w:firstLine="240" w:firstLineChars="100"/>
        <w:rPr>
          <w:rFonts w:ascii="宋体" w:hAnsi="宋体"/>
          <w:lang w:eastAsia="zh-CN"/>
        </w:rPr>
      </w:pPr>
      <w:r>
        <w:rPr>
          <w:rFonts w:ascii="宋体" w:hAnsi="宋体" w:hint="eastAsia"/>
          <w:lang w:eastAsia="zh-CN"/>
        </w:rPr>
        <w:t>开户银行：</w:t>
      </w:r>
      <w:r>
        <w:rPr>
          <w:rFonts w:ascii="宋体" w:hAnsi="宋体" w:hint="eastAsia"/>
          <w:b/>
          <w:color w:val="00B0F0"/>
          <w:u w:val="single"/>
          <w:lang w:eastAsia="zh-CN"/>
        </w:rPr>
        <w:t xml:space="preserve">   /      </w:t>
      </w:r>
    </w:p>
    <w:p w14:paraId="5F5A942A">
      <w:pPr>
        <w:adjustRightInd w:val="0"/>
        <w:snapToGrid w:val="0"/>
        <w:spacing w:line="360" w:lineRule="auto"/>
        <w:ind w:firstLine="240" w:firstLineChars="100"/>
        <w:rPr>
          <w:rFonts w:ascii="宋体" w:hAnsi="宋体"/>
          <w:lang w:eastAsia="zh-CN"/>
        </w:rPr>
      </w:pPr>
      <w:r>
        <w:rPr>
          <w:rFonts w:ascii="宋体" w:hAnsi="宋体" w:hint="eastAsia"/>
          <w:lang w:eastAsia="zh-CN"/>
        </w:rPr>
        <w:t>账    号：</w:t>
      </w:r>
      <w:r>
        <w:rPr>
          <w:rFonts w:ascii="宋体" w:hAnsi="宋体" w:hint="eastAsia"/>
          <w:b/>
          <w:color w:val="00B0F0"/>
          <w:u w:val="single"/>
          <w:lang w:eastAsia="zh-CN"/>
        </w:rPr>
        <w:t xml:space="preserve">    /     </w:t>
      </w:r>
    </w:p>
    <w:p w14:paraId="60AE7B13">
      <w:pPr>
        <w:adjustRightInd w:val="0"/>
        <w:snapToGrid w:val="0"/>
        <w:spacing w:line="360" w:lineRule="auto"/>
        <w:rPr>
          <w:rFonts w:ascii="宋体" w:hAnsi="宋体"/>
          <w:lang w:eastAsia="zh-CN"/>
        </w:rPr>
      </w:pPr>
    </w:p>
    <w:p w14:paraId="0FEF8791">
      <w:pPr>
        <w:adjustRightInd w:val="0"/>
        <w:snapToGrid w:val="0"/>
        <w:spacing w:line="360" w:lineRule="auto"/>
        <w:jc w:val="center"/>
        <w:rPr>
          <w:rFonts w:ascii="宋体" w:hAnsi="宋体"/>
          <w:lang w:eastAsia="zh-CN"/>
        </w:rPr>
      </w:pPr>
    </w:p>
    <w:p w14:paraId="151D607E">
      <w:pPr>
        <w:adjustRightInd w:val="0"/>
        <w:snapToGrid w:val="0"/>
        <w:spacing w:line="360" w:lineRule="auto"/>
        <w:jc w:val="center"/>
        <w:rPr>
          <w:rFonts w:ascii="宋体" w:hAnsi="宋体"/>
          <w:lang w:eastAsia="zh-CN"/>
        </w:rPr>
      </w:pPr>
      <w:r>
        <w:rPr>
          <w:rFonts w:ascii="宋体" w:hAnsi="宋体" w:hint="eastAsia"/>
          <w:b/>
          <w:lang w:eastAsia="zh-CN"/>
        </w:rPr>
        <w:t xml:space="preserve">                                      </w:t>
      </w:r>
      <w:r>
        <w:rPr>
          <w:rFonts w:ascii="宋体" w:hAnsi="宋体" w:hint="eastAsia"/>
          <w:b/>
          <w:color w:val="00B0F0"/>
          <w:u w:val="single"/>
          <w:lang w:eastAsia="zh-CN"/>
        </w:rPr>
        <w:t xml:space="preserve"> </w:t>
      </w:r>
      <w:r>
        <w:rPr>
          <w:rFonts w:ascii="宋体" w:hAnsi="宋体" w:hint="eastAsia"/>
          <w:b/>
          <w:color w:val="00B0F0"/>
          <w:u w:val="single"/>
          <w:lang w:val="en-US" w:eastAsia="zh-CN"/>
        </w:rPr>
        <w:t>2026</w:t>
      </w:r>
      <w:r>
        <w:rPr>
          <w:rFonts w:ascii="宋体" w:hAnsi="宋体" w:hint="eastAsia"/>
          <w:b/>
          <w:color w:val="00B0F0"/>
          <w:u w:val="single"/>
          <w:lang w:eastAsia="zh-CN"/>
        </w:rPr>
        <w:t xml:space="preserve">  </w:t>
      </w:r>
      <w:r>
        <w:rPr>
          <w:rFonts w:ascii="宋体" w:hAnsi="宋体" w:hint="eastAsia"/>
          <w:lang w:eastAsia="zh-CN"/>
        </w:rPr>
        <w:t>年</w:t>
      </w:r>
      <w:r>
        <w:rPr>
          <w:rFonts w:ascii="宋体" w:hAnsi="宋体" w:hint="eastAsia"/>
          <w:b/>
          <w:color w:val="00B0F0"/>
          <w:u w:val="single"/>
          <w:lang w:eastAsia="zh-CN"/>
        </w:rPr>
        <w:t xml:space="preserve"> </w:t>
      </w:r>
      <w:r>
        <w:rPr>
          <w:rFonts w:ascii="宋体" w:hAnsi="宋体" w:hint="eastAsia"/>
          <w:b/>
          <w:color w:val="00B0F0"/>
          <w:u w:val="single"/>
          <w:lang w:val="en-US" w:eastAsia="zh-CN"/>
        </w:rPr>
        <w:t>6</w:t>
      </w:r>
      <w:r>
        <w:rPr>
          <w:rFonts w:ascii="宋体" w:hAnsi="宋体" w:hint="eastAsia"/>
          <w:b/>
          <w:color w:val="00B0F0"/>
          <w:u w:val="single"/>
          <w:lang w:eastAsia="zh-CN"/>
        </w:rPr>
        <w:t xml:space="preserve">  </w:t>
      </w:r>
      <w:r>
        <w:rPr>
          <w:rFonts w:ascii="宋体" w:hAnsi="宋体" w:hint="eastAsia"/>
          <w:lang w:eastAsia="zh-CN"/>
        </w:rPr>
        <w:t>月</w:t>
      </w:r>
      <w:r>
        <w:rPr>
          <w:rFonts w:ascii="宋体" w:hAnsi="宋体" w:hint="eastAsia"/>
          <w:b/>
          <w:color w:val="00B0F0"/>
          <w:u w:val="single"/>
          <w:lang w:eastAsia="zh-CN"/>
        </w:rPr>
        <w:t xml:space="preserve"> </w:t>
      </w:r>
      <w:r>
        <w:rPr>
          <w:rFonts w:ascii="宋体" w:hAnsi="宋体" w:hint="eastAsia"/>
          <w:b/>
          <w:color w:val="00B0F0"/>
          <w:u w:val="single"/>
          <w:lang w:val="en-US" w:eastAsia="zh-CN"/>
        </w:rPr>
        <w:t>29</w:t>
      </w:r>
      <w:r>
        <w:rPr>
          <w:rFonts w:ascii="宋体" w:hAnsi="宋体" w:hint="eastAsia"/>
          <w:b/>
          <w:color w:val="00B0F0"/>
          <w:u w:val="single"/>
          <w:lang w:eastAsia="zh-CN"/>
        </w:rPr>
        <w:t xml:space="preserve">  </w:t>
      </w:r>
      <w:r>
        <w:rPr>
          <w:rFonts w:ascii="宋体" w:hAnsi="宋体" w:hint="eastAsia"/>
          <w:lang w:eastAsia="zh-CN"/>
        </w:rPr>
        <w:t>日</w:t>
      </w:r>
    </w:p>
    <w:p w14:paraId="29C01E1B">
      <w:pPr>
        <w:spacing w:line="360" w:lineRule="auto"/>
        <w:rPr>
          <w:rFonts w:ascii="宋体" w:hAnsi="宋体" w:cs="宋体"/>
          <w:lang w:eastAsia="zh-CN"/>
        </w:rPr>
      </w:pPr>
    </w:p>
    <w:p w14:paraId="5AD28C89">
      <w:pPr>
        <w:spacing w:line="360" w:lineRule="auto"/>
        <w:rPr>
          <w:rFonts w:ascii="宋体" w:hAnsi="宋体" w:cs="宋体"/>
          <w:lang w:eastAsia="zh-CN"/>
        </w:rPr>
      </w:pPr>
      <w:r>
        <w:rPr>
          <w:rFonts w:ascii="宋体" w:hAnsi="宋体" w:cs="宋体" w:hint="eastAsia"/>
          <w:lang w:eastAsia="zh-CN"/>
        </w:rPr>
        <w:t>注：</w:t>
      </w:r>
    </w:p>
    <w:p w14:paraId="40D9625A">
      <w:pPr>
        <w:spacing w:line="360" w:lineRule="auto"/>
        <w:ind w:firstLine="480" w:firstLineChars="200"/>
        <w:rPr>
          <w:rFonts w:ascii="宋体" w:hAnsi="宋体" w:cs="宋体"/>
          <w:lang w:eastAsia="zh-CN"/>
        </w:rPr>
      </w:pPr>
      <w:r>
        <w:rPr>
          <w:rFonts w:ascii="宋体" w:hAnsi="宋体" w:cs="宋体" w:hint="eastAsia"/>
          <w:lang w:eastAsia="zh-CN"/>
        </w:rPr>
        <w:t>（1）若划分标段，则填写标段序号；若划分为两个及以上标段，应分别明确各标段的具体内容、划分情况。</w:t>
      </w:r>
    </w:p>
    <w:p w14:paraId="215B38DC">
      <w:pPr>
        <w:spacing w:line="360" w:lineRule="auto"/>
        <w:ind w:firstLine="480" w:firstLineChars="200"/>
        <w:rPr>
          <w:rFonts w:ascii="宋体" w:hAnsi="宋体" w:cs="宋体"/>
          <w:lang w:eastAsia="zh-CN"/>
        </w:rPr>
      </w:pPr>
      <w:r>
        <w:rPr>
          <w:rFonts w:ascii="宋体" w:hAnsi="宋体" w:cs="宋体" w:hint="eastAsia"/>
          <w:lang w:eastAsia="zh-CN"/>
        </w:rPr>
        <w:t>（2）招标人对投标人的资质要求，应是国家对投标人资质的强制性规定。不是国家规定必须具备的资质，不得作为资质要求。</w:t>
      </w:r>
    </w:p>
    <w:p w14:paraId="2866AE89">
      <w:pPr>
        <w:spacing w:line="360" w:lineRule="auto"/>
        <w:ind w:firstLine="480" w:firstLineChars="200"/>
        <w:rPr>
          <w:rFonts w:ascii="宋体" w:hAnsi="宋体" w:cs="宋体"/>
          <w:lang w:eastAsia="zh-CN"/>
        </w:rPr>
      </w:pPr>
      <w:r>
        <w:rPr>
          <w:rFonts w:ascii="宋体" w:hAnsi="宋体" w:cs="宋体" w:hint="eastAsia"/>
          <w:lang w:eastAsia="zh-CN"/>
        </w:rPr>
        <w:t>（3）招标人对投标人的类似项目业绩要求，设置的投资额、面积、长度等规模量化指标不得高于本次招标工程相应指标，类似项目业绩的定义应明确，用语准确无歧义。</w:t>
      </w:r>
    </w:p>
    <w:p w14:paraId="5F004B3C">
      <w:pPr>
        <w:spacing w:line="360" w:lineRule="auto"/>
        <w:ind w:firstLine="480" w:firstLineChars="200"/>
        <w:rPr>
          <w:rFonts w:ascii="宋体" w:hAnsi="宋体" w:cs="宋体"/>
          <w:lang w:eastAsia="zh-CN"/>
        </w:rPr>
      </w:pPr>
      <w:r>
        <w:rPr>
          <w:rFonts w:ascii="宋体" w:hAnsi="宋体" w:cs="宋体" w:hint="eastAsia"/>
          <w:lang w:eastAsia="zh-CN"/>
        </w:rPr>
        <w:t>（4）招标人要求投标人需具备的资质一个项目（标段）为一个，因特殊情况需要两个以上资质的，应当接受投标人组成联合体投标，且限定的联合体成员数量不得少于设定的资质个数。</w:t>
      </w:r>
    </w:p>
    <w:p w14:paraId="36D6EE99">
      <w:pPr>
        <w:rPr>
          <w:rFonts w:ascii="宋体" w:hAnsi="宋体" w:cs="宋体"/>
          <w:color w:val="FF0000"/>
          <w:lang w:eastAsia="zh-CN"/>
        </w:rPr>
      </w:pPr>
    </w:p>
    <w:p w14:paraId="10745E53">
      <w:pPr>
        <w:pStyle w:val="Heading10"/>
        <w:spacing w:line="396" w:lineRule="auto"/>
        <w:jc w:val="center"/>
        <w:rPr>
          <w:rFonts w:ascii="宋体" w:hAnsi="宋体" w:cstheme="minorBidi"/>
          <w:sz w:val="32"/>
          <w:szCs w:val="32"/>
          <w:lang w:eastAsia="zh-CN"/>
        </w:rPr>
      </w:pPr>
      <w:sdt>
        <w:sdtPr>
          <w:rPr>
            <w:rFonts w:ascii="宋体" w:hAnsi="宋体" w:hint="eastAsia"/>
            <w:sz w:val="32"/>
            <w:szCs w:val="32"/>
            <w:lang w:eastAsia="zh-CN"/>
          </w:rPr>
          <w:id w:val="-544831902"/>
          <w14:checkbox>
            <w14:checked w14:val="0"/>
            <w14:checkedState w14:val="2611" w14:font="MS Gothic"/>
            <w14:uncheckedState w14:val="2610" w14:font="MS Gothic"/>
          </w14:checkbox>
        </w:sdtPr>
        <w:sdtEndPr>
          <w:rPr>
            <w:rFonts w:ascii="宋体" w:hAnsi="宋体" w:hint="eastAsia"/>
            <w:sz w:val="32"/>
            <w:szCs w:val="32"/>
            <w:lang w:eastAsia="zh-CN"/>
          </w:rPr>
        </w:sdtEndPr>
        <w:sdtContent>
          <w:r>
            <w:rPr>
              <w:rFonts w:ascii="MS Gothic" w:eastAsia="MS Gothic" w:hAnsi="MS Gothic" w:cs="MS Gothic" w:hint="eastAsia"/>
              <w:sz w:val="32"/>
              <w:szCs w:val="32"/>
              <w:lang w:eastAsia="zh-CN"/>
            </w:rPr>
            <w:t>☐</w:t>
          </w:r>
        </w:sdtContent>
      </w:sdt>
      <w:r>
        <w:rPr>
          <w:rFonts w:ascii="宋体" w:hAnsi="宋体" w:hint="eastAsia"/>
          <w:sz w:val="32"/>
          <w:szCs w:val="32"/>
          <w:lang w:eastAsia="zh-CN"/>
        </w:rPr>
        <w:t>第一章 投标邀请书（适用于邀请招标）</w:t>
      </w:r>
    </w:p>
    <w:p w14:paraId="3795CB9C">
      <w:pPr>
        <w:adjustRightInd w:val="0"/>
        <w:snapToGrid w:val="0"/>
        <w:spacing w:line="360" w:lineRule="auto"/>
        <w:jc w:val="center"/>
        <w:rPr>
          <w:rFonts w:ascii="宋体" w:hAnsi="宋体"/>
          <w:b/>
          <w:sz w:val="28"/>
          <w:szCs w:val="28"/>
          <w:u w:val="single"/>
          <w:lang w:eastAsia="zh-CN"/>
        </w:rPr>
      </w:pPr>
    </w:p>
    <w:p w14:paraId="2ACAB177">
      <w:pPr>
        <w:adjustRightInd w:val="0"/>
        <w:snapToGrid w:val="0"/>
        <w:spacing w:line="360" w:lineRule="auto"/>
        <w:jc w:val="center"/>
        <w:rPr>
          <w:rFonts w:ascii="宋体" w:hAnsi="宋体"/>
          <w:b/>
          <w:sz w:val="28"/>
          <w:szCs w:val="28"/>
          <w:lang w:eastAsia="zh-CN"/>
        </w:rPr>
      </w:pPr>
      <w:r>
        <w:rPr>
          <w:rFonts w:ascii="宋体" w:hAnsi="宋体" w:hint="eastAsia"/>
          <w:b/>
          <w:color w:val="00B0F0"/>
          <w:sz w:val="28"/>
          <w:szCs w:val="28"/>
          <w:u w:val="single"/>
          <w:lang w:eastAsia="zh-CN"/>
        </w:rPr>
        <w:t xml:space="preserve">                   </w:t>
      </w:r>
      <w:r>
        <w:rPr>
          <w:rFonts w:ascii="宋体" w:hAnsi="宋体" w:hint="eastAsia"/>
          <w:b/>
          <w:sz w:val="28"/>
          <w:szCs w:val="28"/>
          <w:lang w:eastAsia="zh-CN"/>
        </w:rPr>
        <w:t>(项目名称)施工</w:t>
      </w:r>
      <w:r>
        <w:rPr>
          <w:rFonts w:ascii="宋体" w:hAnsi="宋体" w:hint="eastAsia"/>
          <w:b/>
          <w:color w:val="00B0F0"/>
          <w:sz w:val="28"/>
          <w:szCs w:val="28"/>
          <w:u w:val="single"/>
          <w:lang w:eastAsia="zh-CN"/>
        </w:rPr>
        <w:t xml:space="preserve">      </w:t>
      </w:r>
      <w:r>
        <w:rPr>
          <w:rFonts w:ascii="宋体" w:hAnsi="宋体" w:hint="eastAsia"/>
          <w:b/>
          <w:sz w:val="28"/>
          <w:szCs w:val="28"/>
          <w:lang w:eastAsia="zh-CN"/>
        </w:rPr>
        <w:t>标段</w:t>
      </w:r>
    </w:p>
    <w:p w14:paraId="7FD74372">
      <w:pPr>
        <w:adjustRightInd w:val="0"/>
        <w:snapToGrid w:val="0"/>
        <w:spacing w:line="360" w:lineRule="auto"/>
        <w:jc w:val="center"/>
        <w:rPr>
          <w:rFonts w:ascii="宋体" w:hAnsi="宋体"/>
          <w:b/>
          <w:sz w:val="28"/>
          <w:szCs w:val="28"/>
          <w:lang w:eastAsia="zh-CN"/>
        </w:rPr>
      </w:pPr>
      <w:r>
        <w:rPr>
          <w:rFonts w:ascii="宋体" w:hAnsi="宋体" w:hint="eastAsia"/>
          <w:b/>
          <w:sz w:val="28"/>
          <w:szCs w:val="28"/>
          <w:lang w:eastAsia="zh-CN"/>
        </w:rPr>
        <w:t>投标邀请书</w:t>
      </w:r>
    </w:p>
    <w:p w14:paraId="532585B9">
      <w:pPr>
        <w:adjustRightInd w:val="0"/>
        <w:snapToGrid w:val="0"/>
        <w:spacing w:line="360" w:lineRule="auto"/>
        <w:jc w:val="center"/>
        <w:rPr>
          <w:rFonts w:ascii="宋体" w:hAnsi="宋体"/>
          <w:sz w:val="28"/>
          <w:szCs w:val="28"/>
          <w:lang w:eastAsia="zh-CN"/>
        </w:rPr>
      </w:pPr>
    </w:p>
    <w:p w14:paraId="10E8A26A">
      <w:pPr>
        <w:adjustRightInd w:val="0"/>
        <w:snapToGrid w:val="0"/>
        <w:spacing w:line="360" w:lineRule="auto"/>
        <w:rPr>
          <w:rFonts w:ascii="宋体" w:hAnsi="宋体"/>
          <w:lang w:eastAsia="zh-CN"/>
        </w:rPr>
      </w:pPr>
      <w:r>
        <w:rPr>
          <w:rFonts w:ascii="宋体" w:hAnsi="宋体" w:hint="eastAsia"/>
          <w:b/>
          <w:color w:val="00B0F0"/>
          <w:u w:val="single"/>
          <w:lang w:eastAsia="zh-CN"/>
        </w:rPr>
        <w:t xml:space="preserve">                   </w:t>
      </w:r>
      <w:r>
        <w:rPr>
          <w:rFonts w:ascii="宋体" w:hAnsi="宋体" w:hint="eastAsia"/>
          <w:b/>
          <w:u w:val="single"/>
          <w:lang w:eastAsia="zh-CN"/>
        </w:rPr>
        <w:t>（被邀请单位名称）</w:t>
      </w:r>
      <w:r>
        <w:rPr>
          <w:rFonts w:ascii="宋体" w:hAnsi="宋体" w:hint="eastAsia"/>
          <w:b/>
          <w:lang w:eastAsia="zh-CN"/>
        </w:rPr>
        <w:t>：</w:t>
      </w:r>
    </w:p>
    <w:p w14:paraId="51EAE44D">
      <w:pPr>
        <w:spacing w:line="360" w:lineRule="auto"/>
        <w:rPr>
          <w:rFonts w:ascii="宋体" w:hAnsi="宋体"/>
          <w:b/>
          <w:lang w:eastAsia="zh-CN"/>
        </w:rPr>
      </w:pPr>
      <w:r>
        <w:rPr>
          <w:rFonts w:ascii="宋体" w:hAnsi="宋体" w:hint="eastAsia"/>
          <w:b/>
          <w:lang w:eastAsia="zh-CN"/>
        </w:rPr>
        <w:t>1. 招标条件</w:t>
      </w:r>
    </w:p>
    <w:p w14:paraId="43673E91">
      <w:pPr>
        <w:spacing w:line="360" w:lineRule="auto"/>
        <w:rPr>
          <w:rFonts w:ascii="宋体" w:hAnsi="宋体"/>
          <w:lang w:eastAsia="zh-CN"/>
        </w:rPr>
      </w:pPr>
      <w:r>
        <w:rPr>
          <w:rFonts w:ascii="宋体" w:hAnsi="宋体" w:hint="eastAsia"/>
          <w:lang w:eastAsia="zh-CN"/>
        </w:rPr>
        <w:t xml:space="preserve">    1.1本招标项目</w:t>
      </w:r>
      <w:r>
        <w:rPr>
          <w:rFonts w:ascii="宋体" w:hAnsi="宋体" w:hint="eastAsia"/>
          <w:b/>
          <w:color w:val="00B0F0"/>
          <w:u w:val="single"/>
          <w:lang w:eastAsia="zh-CN"/>
        </w:rPr>
        <w:t xml:space="preserve">              </w:t>
      </w:r>
      <w:r>
        <w:rPr>
          <w:rFonts w:ascii="宋体" w:hAnsi="宋体" w:hint="eastAsia"/>
          <w:lang w:eastAsia="zh-CN"/>
        </w:rPr>
        <w:t>(项目名称)已由</w:t>
      </w:r>
      <w:r>
        <w:rPr>
          <w:rFonts w:ascii="宋体" w:hAnsi="宋体" w:hint="eastAsia"/>
          <w:b/>
          <w:color w:val="00B0F0"/>
          <w:u w:val="single"/>
          <w:lang w:eastAsia="zh-CN"/>
        </w:rPr>
        <w:t xml:space="preserve">   </w:t>
      </w:r>
      <w:r>
        <w:rPr>
          <w:rFonts w:ascii="宋体" w:hAnsi="宋体" w:hint="eastAsia"/>
          <w:lang w:eastAsia="zh-CN"/>
        </w:rPr>
        <w:t>(项目审批、核准或备案机关名称)以</w:t>
      </w:r>
      <w:r>
        <w:rPr>
          <w:rFonts w:ascii="宋体" w:hAnsi="宋体" w:hint="eastAsia"/>
          <w:b/>
          <w:color w:val="00B0F0"/>
          <w:u w:val="single"/>
          <w:lang w:eastAsia="zh-CN"/>
        </w:rPr>
        <w:t xml:space="preserve">   </w:t>
      </w:r>
      <w:r>
        <w:rPr>
          <w:rFonts w:ascii="宋体" w:hAnsi="宋体" w:hint="eastAsia"/>
          <w:lang w:eastAsia="zh-CN"/>
        </w:rPr>
        <w:t>（批文名称及编号）批准建设，项目业主为</w:t>
      </w:r>
      <w:r>
        <w:rPr>
          <w:rFonts w:ascii="宋体" w:hAnsi="宋体" w:hint="eastAsia"/>
          <w:color w:val="00B0F0"/>
          <w:u w:val="single"/>
          <w:lang w:eastAsia="zh-CN"/>
        </w:rPr>
        <w:t xml:space="preserve">           </w:t>
      </w:r>
      <w:r>
        <w:rPr>
          <w:rFonts w:ascii="宋体" w:hAnsi="宋体" w:hint="eastAsia"/>
          <w:lang w:eastAsia="zh-CN"/>
        </w:rPr>
        <w:t>，建设资金来自</w:t>
      </w:r>
      <w:r>
        <w:rPr>
          <w:rFonts w:ascii="宋体" w:hAnsi="宋体" w:hint="eastAsia"/>
          <w:b/>
          <w:color w:val="00B0F0"/>
          <w:u w:val="single"/>
          <w:lang w:eastAsia="zh-CN"/>
        </w:rPr>
        <w:t xml:space="preserve">  </w:t>
      </w:r>
      <w:r>
        <w:rPr>
          <w:rFonts w:ascii="宋体" w:hAnsi="宋体" w:hint="eastAsia"/>
          <w:lang w:eastAsia="zh-CN"/>
        </w:rPr>
        <w:t>（资金来源），项目出资比例为</w:t>
      </w:r>
      <w:r>
        <w:rPr>
          <w:rFonts w:ascii="宋体" w:hAnsi="宋体" w:hint="eastAsia"/>
          <w:color w:val="00B0F0"/>
          <w:u w:val="single"/>
          <w:lang w:eastAsia="zh-CN"/>
        </w:rPr>
        <w:t xml:space="preserve">    </w:t>
      </w:r>
      <w:r>
        <w:rPr>
          <w:rFonts w:ascii="宋体" w:hAnsi="宋体" w:hint="eastAsia"/>
          <w:lang w:eastAsia="zh-CN"/>
        </w:rPr>
        <w:t>，招标人为</w:t>
      </w:r>
      <w:r>
        <w:rPr>
          <w:rFonts w:ascii="宋体" w:hAnsi="宋体" w:hint="eastAsia"/>
          <w:color w:val="00B0F0"/>
          <w:u w:val="single"/>
          <w:lang w:eastAsia="zh-CN"/>
        </w:rPr>
        <w:t xml:space="preserve">   </w:t>
      </w:r>
      <w:r>
        <w:rPr>
          <w:rFonts w:ascii="宋体" w:hAnsi="宋体" w:hint="eastAsia"/>
          <w:lang w:eastAsia="zh-CN"/>
        </w:rPr>
        <w:t>。项目已具备招标条件，现邀请你单位参加该项目的施工总承包投标。</w:t>
      </w:r>
    </w:p>
    <w:p w14:paraId="336873A1">
      <w:pPr>
        <w:spacing w:line="360" w:lineRule="auto"/>
        <w:ind w:firstLine="420"/>
        <w:rPr>
          <w:rFonts w:ascii="宋体" w:hAnsi="宋体"/>
          <w:b/>
          <w:u w:val="single"/>
          <w:lang w:eastAsia="zh-CN"/>
        </w:rPr>
      </w:pPr>
      <w:r>
        <w:rPr>
          <w:rFonts w:ascii="宋体" w:hAnsi="宋体" w:hint="eastAsia"/>
          <w:lang w:eastAsia="zh-CN"/>
        </w:rPr>
        <w:t>1.2本招标项目由</w:t>
      </w:r>
      <w:r>
        <w:rPr>
          <w:rFonts w:ascii="宋体" w:hAnsi="宋体" w:hint="eastAsia"/>
          <w:b/>
          <w:color w:val="00B0F0"/>
          <w:u w:val="single"/>
          <w:lang w:eastAsia="zh-CN"/>
        </w:rPr>
        <w:t xml:space="preserve">      </w:t>
      </w:r>
      <w:r>
        <w:rPr>
          <w:rFonts w:ascii="宋体" w:hAnsi="宋体" w:hint="eastAsia"/>
          <w:lang w:eastAsia="zh-CN"/>
        </w:rPr>
        <w:t>（核准机关名称）核准（招标事项核准文号为</w:t>
      </w:r>
      <w:r>
        <w:rPr>
          <w:rFonts w:ascii="宋体" w:hAnsi="宋体" w:hint="eastAsia"/>
          <w:b/>
          <w:color w:val="00B0F0"/>
          <w:u w:val="single"/>
          <w:lang w:eastAsia="zh-CN"/>
        </w:rPr>
        <w:t xml:space="preserve">   </w:t>
      </w:r>
      <w:r>
        <w:rPr>
          <w:rFonts w:ascii="宋体" w:hAnsi="宋体" w:hint="eastAsia"/>
          <w:lang w:eastAsia="zh-CN"/>
        </w:rPr>
        <w:t>）的招标组织形式为</w:t>
      </w:r>
      <w:r>
        <w:rPr>
          <w:rFonts w:ascii="宋体" w:hAnsi="宋体" w:hint="eastAsia"/>
          <w:color w:val="00B0F0"/>
          <w:u w:val="single"/>
          <w:lang w:eastAsia="zh-CN"/>
        </w:rPr>
        <w:t xml:space="preserve">         </w:t>
      </w:r>
      <w:r>
        <w:rPr>
          <w:rFonts w:ascii="宋体" w:hAnsi="宋体" w:hint="eastAsia"/>
          <w:lang w:eastAsia="zh-CN"/>
        </w:rPr>
        <w:t>（</w:t>
      </w:r>
      <w:sdt>
        <w:sdtPr>
          <w:rPr>
            <w:rFonts w:ascii="宋体" w:hAnsi="宋体" w:hint="eastAsia"/>
            <w:lang w:eastAsia="zh-CN"/>
          </w:rPr>
          <w:id w:val="-66347457"/>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 xml:space="preserve">自行招标 </w:t>
      </w:r>
      <w:sdt>
        <w:sdtPr>
          <w:rPr>
            <w:rFonts w:ascii="宋体" w:hAnsi="宋体" w:hint="eastAsia"/>
            <w:lang w:eastAsia="zh-CN"/>
          </w:rPr>
          <w:id w:val="110328817"/>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委托招标）。招标人选择的招标代理机构是</w:t>
      </w:r>
      <w:r>
        <w:rPr>
          <w:rFonts w:ascii="宋体" w:hAnsi="宋体" w:hint="eastAsia"/>
          <w:color w:val="00B0F0"/>
          <w:u w:val="single"/>
          <w:lang w:eastAsia="zh-CN"/>
        </w:rPr>
        <w:t xml:space="preserve">              </w:t>
      </w:r>
      <w:r>
        <w:rPr>
          <w:rFonts w:ascii="宋体" w:hAnsi="宋体" w:hint="eastAsia"/>
          <w:lang w:eastAsia="zh-CN"/>
        </w:rPr>
        <w:t>。</w:t>
      </w:r>
    </w:p>
    <w:p w14:paraId="1A43F264">
      <w:pPr>
        <w:spacing w:line="360" w:lineRule="auto"/>
        <w:rPr>
          <w:rFonts w:ascii="宋体" w:hAnsi="宋体"/>
          <w:b/>
          <w:lang w:eastAsia="zh-CN"/>
        </w:rPr>
      </w:pPr>
      <w:r>
        <w:rPr>
          <w:rFonts w:ascii="宋体" w:hAnsi="宋体" w:hint="eastAsia"/>
          <w:b/>
          <w:lang w:eastAsia="zh-CN"/>
        </w:rPr>
        <w:t>2. 项目概况与招标范围</w:t>
      </w:r>
    </w:p>
    <w:p w14:paraId="45A88BB5">
      <w:pPr>
        <w:spacing w:line="36" w:lineRule="auto"/>
        <w:rPr>
          <w:rFonts w:ascii="宋体" w:hAnsi="宋体"/>
          <w:u w:val="single"/>
          <w:lang w:eastAsia="zh-CN"/>
        </w:rPr>
      </w:pPr>
      <w:r>
        <w:rPr>
          <w:rFonts w:ascii="宋体" w:hAnsi="宋体" w:hint="eastAsia"/>
          <w:color w:val="00B0F0"/>
          <w:u w:val="single"/>
          <w:lang w:eastAsia="zh-CN"/>
        </w:rPr>
        <w:t xml:space="preserve">                                                                 </w:t>
      </w:r>
      <w:r>
        <w:rPr>
          <w:rFonts w:ascii="宋体" w:hAnsi="宋体" w:hint="eastAsia"/>
          <w:lang w:eastAsia="zh-CN"/>
        </w:rPr>
        <w:t>。</w:t>
      </w:r>
    </w:p>
    <w:p w14:paraId="1065FE31">
      <w:pPr>
        <w:rPr>
          <w:rFonts w:ascii="宋体" w:hAnsi="宋体"/>
          <w:lang w:eastAsia="zh-CN"/>
        </w:rPr>
      </w:pPr>
    </w:p>
    <w:p w14:paraId="437934CE">
      <w:pPr>
        <w:rPr>
          <w:rFonts w:ascii="宋体" w:hAnsi="宋体"/>
          <w:lang w:eastAsia="zh-CN"/>
        </w:rPr>
      </w:pPr>
      <w:r>
        <w:rPr>
          <w:rFonts w:ascii="宋体" w:hAnsi="宋体" w:hint="eastAsia"/>
          <w:lang w:eastAsia="zh-CN"/>
        </w:rPr>
        <w:t>（说明本次招标项目的建设地点、规模及投资额、计划工期、招标范围、标段划分及标段投资额等）。</w:t>
      </w:r>
    </w:p>
    <w:p w14:paraId="5FB7CE88">
      <w:pPr>
        <w:spacing w:line="360" w:lineRule="auto"/>
        <w:rPr>
          <w:rFonts w:ascii="宋体" w:hAnsi="宋体"/>
          <w:b/>
          <w:lang w:eastAsia="zh-CN"/>
        </w:rPr>
      </w:pPr>
      <w:r>
        <w:rPr>
          <w:rFonts w:ascii="宋体" w:hAnsi="宋体" w:hint="eastAsia"/>
          <w:b/>
          <w:lang w:eastAsia="zh-CN"/>
        </w:rPr>
        <w:t>3. 投标人资格要求</w:t>
      </w:r>
    </w:p>
    <w:p w14:paraId="6278CB06">
      <w:pPr>
        <w:spacing w:line="360" w:lineRule="auto"/>
        <w:ind w:firstLine="420"/>
        <w:rPr>
          <w:rFonts w:ascii="宋体" w:hAnsi="宋体"/>
          <w:lang w:eastAsia="zh-CN"/>
        </w:rPr>
      </w:pPr>
      <w:r>
        <w:rPr>
          <w:rFonts w:ascii="宋体" w:hAnsi="宋体" w:hint="eastAsia"/>
          <w:lang w:eastAsia="zh-CN"/>
        </w:rPr>
        <w:t>3.1本次招标要求投标人须具备</w:t>
      </w:r>
    </w:p>
    <w:p w14:paraId="14B28C8E">
      <w:pPr>
        <w:spacing w:line="360" w:lineRule="auto"/>
        <w:ind w:firstLine="420"/>
        <w:rPr>
          <w:rFonts w:ascii="宋体" w:hAnsi="宋体"/>
          <w:lang w:eastAsia="zh-CN"/>
        </w:rPr>
      </w:pPr>
      <w:r>
        <w:rPr>
          <w:rFonts w:ascii="宋体" w:hAnsi="宋体" w:hint="eastAsia"/>
          <w:lang w:eastAsia="zh-CN"/>
        </w:rPr>
        <w:t>3.1.1资质条件：</w:t>
      </w:r>
      <w:r>
        <w:rPr>
          <w:rFonts w:ascii="宋体" w:hAnsi="宋体" w:hint="eastAsia"/>
          <w:color w:val="00B0F0"/>
          <w:u w:val="single"/>
          <w:lang w:eastAsia="zh-CN"/>
        </w:rPr>
        <w:t xml:space="preserve">                </w:t>
      </w:r>
      <w:r>
        <w:rPr>
          <w:rFonts w:ascii="宋体" w:hAnsi="宋体" w:hint="eastAsia"/>
          <w:lang w:eastAsia="zh-CN"/>
        </w:rPr>
        <w:t>。</w:t>
      </w:r>
    </w:p>
    <w:p w14:paraId="0168AB7E">
      <w:pPr>
        <w:spacing w:line="360" w:lineRule="auto"/>
        <w:ind w:firstLine="420"/>
        <w:rPr>
          <w:rFonts w:ascii="宋体" w:hAnsi="宋体"/>
          <w:lang w:eastAsia="zh-CN"/>
        </w:rPr>
      </w:pPr>
      <w:r>
        <w:rPr>
          <w:rFonts w:ascii="宋体" w:hAnsi="宋体" w:hint="eastAsia"/>
          <w:lang w:eastAsia="zh-CN"/>
        </w:rPr>
        <w:t>3.1.2业绩要求：</w:t>
      </w:r>
    </w:p>
    <w:p w14:paraId="3E90BABC">
      <w:pPr>
        <w:spacing w:line="360" w:lineRule="auto"/>
        <w:ind w:firstLine="960" w:firstLineChars="400"/>
        <w:rPr>
          <w:rFonts w:ascii="宋体" w:hAnsi="宋体"/>
          <w:lang w:eastAsia="zh-CN"/>
        </w:rPr>
      </w:pPr>
      <w:sdt>
        <w:sdtPr>
          <w:rPr>
            <w:rFonts w:ascii="宋体" w:hAnsi="宋体" w:hint="eastAsia"/>
            <w:lang w:eastAsia="zh-CN"/>
          </w:rPr>
          <w:id w:val="-1774548497"/>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近年（</w:t>
      </w:r>
      <w:r>
        <w:rPr>
          <w:rFonts w:ascii="宋体" w:hAnsi="宋体" w:hint="eastAsia"/>
          <w:color w:val="00B0F0"/>
          <w:u w:val="single"/>
          <w:lang w:eastAsia="zh-CN"/>
        </w:rPr>
        <w:t xml:space="preserve">   </w:t>
      </w:r>
      <w:r>
        <w:rPr>
          <w:rFonts w:ascii="宋体" w:hAnsi="宋体" w:hint="eastAsia"/>
          <w:lang w:eastAsia="zh-CN"/>
        </w:rPr>
        <w:t>年</w:t>
      </w:r>
      <w:r>
        <w:rPr>
          <w:rFonts w:ascii="宋体" w:hAnsi="宋体" w:hint="eastAsia"/>
          <w:color w:val="00B0F0"/>
          <w:u w:val="single"/>
          <w:lang w:eastAsia="zh-CN"/>
        </w:rPr>
        <w:t xml:space="preserve">   </w:t>
      </w:r>
      <w:r>
        <w:rPr>
          <w:rFonts w:ascii="宋体" w:hAnsi="宋体" w:hint="eastAsia"/>
          <w:lang w:eastAsia="zh-CN"/>
        </w:rPr>
        <w:t>月</w:t>
      </w:r>
      <w:r>
        <w:rPr>
          <w:rFonts w:ascii="宋体" w:hAnsi="宋体" w:hint="eastAsia"/>
          <w:color w:val="00B0F0"/>
          <w:u w:val="single"/>
          <w:lang w:eastAsia="zh-CN"/>
        </w:rPr>
        <w:t xml:space="preserve">   </w:t>
      </w:r>
      <w:r>
        <w:rPr>
          <w:rFonts w:ascii="宋体" w:hAnsi="宋体" w:hint="eastAsia"/>
          <w:lang w:eastAsia="zh-CN"/>
        </w:rPr>
        <w:t>日至投标截止时间，不少于3年）（多项选择：</w:t>
      </w:r>
      <w:sdt>
        <w:sdtPr>
          <w:rPr>
            <w:rFonts w:ascii="宋体" w:hAnsi="宋体" w:hint="eastAsia"/>
            <w:lang w:eastAsia="zh-CN"/>
          </w:rPr>
          <w:id w:val="-1534345677"/>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 xml:space="preserve">已完成 </w:t>
      </w:r>
      <w:sdt>
        <w:sdtPr>
          <w:rPr>
            <w:rFonts w:ascii="宋体" w:hAnsi="宋体" w:hint="eastAsia"/>
            <w:lang w:eastAsia="zh-CN"/>
          </w:rPr>
          <w:id w:val="1815060272"/>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已完成或新承接或正在施工）不少于</w:t>
      </w:r>
      <w:r>
        <w:rPr>
          <w:rFonts w:ascii="宋体" w:hAnsi="宋体" w:hint="eastAsia"/>
          <w:color w:val="00B0F0"/>
          <w:u w:val="single"/>
          <w:lang w:eastAsia="zh-CN"/>
        </w:rPr>
        <w:t xml:space="preserve">    </w:t>
      </w:r>
      <w:r>
        <w:rPr>
          <w:rFonts w:ascii="宋体" w:hAnsi="宋体" w:hint="eastAsia"/>
          <w:lang w:eastAsia="zh-CN"/>
        </w:rPr>
        <w:t>（1 至3个）个类似项目。类似项目是指:</w:t>
      </w:r>
      <w:r>
        <w:rPr>
          <w:rFonts w:ascii="宋体" w:hAnsi="宋体" w:hint="eastAsia"/>
          <w:color w:val="00B0F0"/>
          <w:u w:val="single"/>
          <w:lang w:eastAsia="zh-CN"/>
        </w:rPr>
        <w:t xml:space="preserve">             </w:t>
      </w:r>
      <w:r>
        <w:rPr>
          <w:rFonts w:ascii="宋体" w:hAnsi="宋体" w:hint="eastAsia"/>
          <w:lang w:eastAsia="zh-CN"/>
        </w:rPr>
        <w:t>。</w:t>
      </w:r>
    </w:p>
    <w:p w14:paraId="39FB6E17">
      <w:pPr>
        <w:spacing w:line="360" w:lineRule="auto"/>
        <w:rPr>
          <w:rFonts w:ascii="宋体" w:hAnsi="宋体"/>
          <w:lang w:eastAsia="zh-CN"/>
        </w:rPr>
      </w:pPr>
      <w:r>
        <w:rPr>
          <w:rFonts w:ascii="宋体" w:hAnsi="宋体" w:hint="eastAsia"/>
          <w:lang w:eastAsia="zh-CN"/>
        </w:rPr>
        <w:t xml:space="preserve">        </w:t>
      </w:r>
      <w:sdt>
        <w:sdtPr>
          <w:rPr>
            <w:rFonts w:ascii="宋体" w:hAnsi="宋体" w:hint="eastAsia"/>
            <w:lang w:eastAsia="zh-CN"/>
          </w:rPr>
          <w:id w:val="362328990"/>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无业绩要求。</w:t>
      </w:r>
    </w:p>
    <w:p w14:paraId="36C009BD">
      <w:pPr>
        <w:spacing w:line="360" w:lineRule="auto"/>
        <w:ind w:firstLine="365" w:firstLineChars="152"/>
        <w:rPr>
          <w:rFonts w:ascii="宋体" w:hAnsi="宋体"/>
          <w:lang w:eastAsia="zh-CN"/>
        </w:rPr>
      </w:pPr>
      <w:r>
        <w:rPr>
          <w:rFonts w:ascii="宋体" w:hAnsi="宋体" w:hint="eastAsia"/>
          <w:lang w:eastAsia="zh-CN"/>
        </w:rPr>
        <w:t>3.1.3项目经理的资格要求：</w:t>
      </w:r>
    </w:p>
    <w:p w14:paraId="396684CD">
      <w:pPr>
        <w:spacing w:line="360" w:lineRule="auto"/>
        <w:ind w:firstLine="960" w:firstLineChars="400"/>
        <w:rPr>
          <w:rFonts w:ascii="宋体" w:hAnsi="宋体"/>
          <w:lang w:eastAsia="zh-CN"/>
        </w:rPr>
      </w:pPr>
      <w:sdt>
        <w:sdtPr>
          <w:rPr>
            <w:rFonts w:ascii="宋体" w:hAnsi="宋体" w:hint="eastAsia"/>
            <w:lang w:eastAsia="zh-CN"/>
          </w:rPr>
          <w:id w:val="2023421953"/>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项目经理（项目负责人）资格：</w:t>
      </w:r>
      <w:r>
        <w:rPr>
          <w:rFonts w:ascii="宋体" w:hAnsi="宋体" w:hint="eastAsia"/>
          <w:color w:val="00B0F0"/>
          <w:u w:val="single"/>
          <w:lang w:eastAsia="zh-CN"/>
        </w:rPr>
        <w:t xml:space="preserve">     </w:t>
      </w:r>
      <w:r>
        <w:rPr>
          <w:rFonts w:ascii="宋体" w:hAnsi="宋体" w:hint="eastAsia"/>
          <w:u w:val="single"/>
          <w:lang w:eastAsia="zh-CN"/>
        </w:rPr>
        <w:t>(注册专业)（级别）</w:t>
      </w:r>
      <w:r>
        <w:rPr>
          <w:rFonts w:ascii="宋体" w:hAnsi="宋体" w:hint="eastAsia"/>
          <w:lang w:eastAsia="zh-CN"/>
        </w:rPr>
        <w:t>建造师，具有省级及以上住房城乡建设主管部门颁发的安全生产考核合格证（B证），</w:t>
      </w:r>
      <w:r>
        <w:rPr>
          <w:rFonts w:ascii="宋体" w:hAnsi="宋体" w:hint="eastAsia"/>
          <w:b/>
          <w:color w:val="00B0F0"/>
          <w:u w:val="single"/>
          <w:lang w:eastAsia="zh-CN"/>
        </w:rPr>
        <w:t xml:space="preserve">     </w:t>
      </w:r>
      <w:r>
        <w:rPr>
          <w:rFonts w:ascii="宋体" w:hAnsi="宋体" w:hint="eastAsia"/>
          <w:bCs/>
          <w:u w:val="single"/>
          <w:lang w:eastAsia="zh-CN"/>
        </w:rPr>
        <w:t>（业绩要求）</w:t>
      </w:r>
      <w:r>
        <w:rPr>
          <w:rFonts w:ascii="宋体" w:hAnsi="宋体" w:hint="eastAsia"/>
          <w:lang w:eastAsia="zh-CN"/>
        </w:rPr>
        <w:t xml:space="preserve"> ，须为</w:t>
      </w:r>
      <w:r>
        <w:rPr>
          <w:rFonts w:ascii="宋体" w:hAnsi="宋体" w:hint="eastAsia"/>
          <w:bCs/>
          <w:lang w:eastAsia="zh-CN"/>
        </w:rPr>
        <w:t>本单位人员（若为联合体投标，须为联合体牵头</w:t>
      </w:r>
      <w:r>
        <w:rPr>
          <w:rFonts w:ascii="宋体" w:hAnsi="宋体" w:hint="eastAsia"/>
          <w:lang w:eastAsia="zh-CN"/>
        </w:rPr>
        <w:t>人人员）。</w:t>
      </w:r>
    </w:p>
    <w:p w14:paraId="4407F59B">
      <w:pPr>
        <w:spacing w:line="360" w:lineRule="auto"/>
        <w:ind w:firstLine="960" w:firstLineChars="400"/>
        <w:rPr>
          <w:rFonts w:ascii="宋体" w:hAnsi="宋体"/>
          <w:lang w:eastAsia="zh-CN"/>
        </w:rPr>
      </w:pPr>
      <w:sdt>
        <w:sdtPr>
          <w:rPr>
            <w:rFonts w:ascii="宋体" w:hAnsi="宋体" w:hint="eastAsia"/>
            <w:lang w:eastAsia="zh-CN"/>
          </w:rPr>
          <w:id w:val="-1130318571"/>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园林绿化工程项目经理（项目负责人）资格：</w:t>
      </w:r>
      <w:r>
        <w:rPr>
          <w:rFonts w:ascii="宋体" w:hAnsi="宋体" w:hint="eastAsia"/>
          <w:color w:val="00B0F0"/>
          <w:u w:val="single"/>
          <w:lang w:eastAsia="zh-CN"/>
        </w:rPr>
        <w:t xml:space="preserve">      </w:t>
      </w:r>
      <w:r>
        <w:rPr>
          <w:rFonts w:ascii="宋体" w:hAnsi="宋体" w:hint="eastAsia"/>
          <w:u w:val="single"/>
          <w:lang w:eastAsia="zh-CN"/>
        </w:rPr>
        <w:t>（职称级别）</w:t>
      </w:r>
      <w:r>
        <w:rPr>
          <w:rFonts w:ascii="宋体" w:hAnsi="宋体" w:hint="eastAsia"/>
          <w:lang w:eastAsia="zh-CN"/>
        </w:rPr>
        <w:t>专业技术职称，</w:t>
      </w:r>
      <w:r>
        <w:rPr>
          <w:rFonts w:ascii="宋体" w:hAnsi="宋体" w:hint="eastAsia"/>
          <w:b/>
          <w:color w:val="00B0F0"/>
          <w:u w:val="single"/>
          <w:lang w:eastAsia="zh-CN"/>
        </w:rPr>
        <w:t xml:space="preserve">     </w:t>
      </w:r>
      <w:r>
        <w:rPr>
          <w:rFonts w:ascii="宋体" w:hAnsi="宋体" w:hint="eastAsia"/>
          <w:bCs/>
          <w:u w:val="single"/>
          <w:lang w:eastAsia="zh-CN"/>
        </w:rPr>
        <w:t>（业绩要求）</w:t>
      </w:r>
      <w:r>
        <w:rPr>
          <w:rFonts w:ascii="宋体" w:hAnsi="宋体" w:hint="eastAsia"/>
          <w:lang w:eastAsia="zh-CN"/>
        </w:rPr>
        <w:t xml:space="preserve"> ，须为</w:t>
      </w:r>
      <w:r>
        <w:rPr>
          <w:rFonts w:ascii="宋体" w:hAnsi="宋体" w:hint="eastAsia"/>
          <w:bCs/>
          <w:lang w:eastAsia="zh-CN"/>
        </w:rPr>
        <w:t>本单位人员（若为联合体投标，须为联合体牵头</w:t>
      </w:r>
      <w:r>
        <w:rPr>
          <w:rFonts w:ascii="宋体" w:hAnsi="宋体" w:hint="eastAsia"/>
          <w:lang w:eastAsia="zh-CN"/>
        </w:rPr>
        <w:t>人人员）。</w:t>
      </w:r>
    </w:p>
    <w:p w14:paraId="36144A11">
      <w:pPr>
        <w:spacing w:line="360" w:lineRule="auto"/>
        <w:rPr>
          <w:rFonts w:ascii="宋体" w:hAnsi="宋体"/>
          <w:lang w:eastAsia="zh-CN"/>
        </w:rPr>
      </w:pPr>
      <w:r>
        <w:rPr>
          <w:rFonts w:ascii="宋体" w:hAnsi="宋体" w:hint="eastAsia"/>
          <w:lang w:eastAsia="zh-CN"/>
        </w:rPr>
        <w:t xml:space="preserve">   3.2本次招标</w:t>
      </w:r>
      <w:sdt>
        <w:sdtPr>
          <w:rPr>
            <w:rFonts w:ascii="宋体" w:hAnsi="宋体" w:hint="eastAsia"/>
            <w:lang w:eastAsia="zh-CN"/>
          </w:rPr>
          <w:id w:val="-554465686"/>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 xml:space="preserve">接受 </w:t>
      </w:r>
      <w:sdt>
        <w:sdtPr>
          <w:rPr>
            <w:rFonts w:ascii="宋体" w:hAnsi="宋体" w:hint="eastAsia"/>
            <w:lang w:eastAsia="zh-CN"/>
          </w:rPr>
          <w:id w:val="933709274"/>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不接受联合体投标。联合体投标的，应满足下列要求：</w:t>
      </w:r>
      <w:r>
        <w:rPr>
          <w:rFonts w:ascii="宋体" w:hAnsi="宋体" w:hint="eastAsia"/>
          <w:color w:val="00B0F0"/>
          <w:u w:val="single"/>
          <w:lang w:eastAsia="zh-CN"/>
        </w:rPr>
        <w:t xml:space="preserve">            </w:t>
      </w:r>
      <w:r>
        <w:rPr>
          <w:rFonts w:ascii="宋体" w:hAnsi="宋体" w:hint="eastAsia"/>
          <w:lang w:eastAsia="zh-CN"/>
        </w:rPr>
        <w:t>。</w:t>
      </w:r>
    </w:p>
    <w:p w14:paraId="7581E1B6">
      <w:pPr>
        <w:spacing w:line="360" w:lineRule="auto"/>
        <w:rPr>
          <w:rFonts w:ascii="宋体" w:hAnsi="宋体" w:hint="eastAsia"/>
          <w:lang w:eastAsia="zh-CN"/>
        </w:rPr>
      </w:pPr>
      <w:r>
        <w:rPr>
          <w:rFonts w:ascii="宋体" w:hAnsi="宋体" w:hint="eastAsia"/>
          <w:lang w:eastAsia="zh-CN"/>
        </w:rPr>
        <w:t xml:space="preserve">   3.3各投标人均可就上述</w:t>
      </w:r>
      <w:r>
        <w:rPr>
          <w:rFonts w:ascii="宋体" w:hAnsi="宋体" w:hint="eastAsia"/>
          <w:color w:val="00B0F0"/>
          <w:u w:val="single"/>
          <w:lang w:eastAsia="zh-CN"/>
        </w:rPr>
        <w:t xml:space="preserve">           </w:t>
      </w:r>
      <w:r>
        <w:rPr>
          <w:rFonts w:ascii="宋体" w:hAnsi="宋体" w:hint="eastAsia"/>
          <w:lang w:eastAsia="zh-CN"/>
        </w:rPr>
        <w:t>(具体数量)标段投标 。</w:t>
      </w:r>
    </w:p>
    <w:p w14:paraId="53A55BC1">
      <w:pPr>
        <w:spacing w:line="360" w:lineRule="auto"/>
        <w:rPr>
          <w:rFonts w:ascii="宋体" w:hAnsi="宋体" w:hint="eastAsia"/>
          <w:sz w:val="24"/>
          <w:szCs w:val="24"/>
        </w:rPr>
      </w:pPr>
      <w:sdt>
        <w:sdtPr>
          <w:rPr>
            <w:rFonts w:ascii="宋体" w:hAnsi="宋体" w:eastAsiaTheme="minorEastAsia" w:cs="Times New Roman" w:hint="eastAsia"/>
            <w:sz w:val="24"/>
            <w:szCs w:val="24"/>
            <w:highlight w:val="yellow"/>
            <w:lang w:val="en-US" w:eastAsia="en-US" w:bidi="ar-SA"/>
          </w:rPr>
          <w:id w:val="147461201"/>
          <w14:checkbox>
            <w14:checked w14:val="0"/>
            <w14:checkedState w14:val="2611" w14:font="MS Gothic"/>
            <w14:uncheckedState w14:val="2610" w14:font="MS Gothic"/>
          </w14:checkbox>
        </w:sdtPr>
        <w:sdtEndPr>
          <w:rPr>
            <w:rFonts w:ascii="宋体" w:hAnsi="宋体" w:eastAsiaTheme="minorEastAsia" w:cs="Times New Roman" w:hint="eastAsia"/>
            <w:sz w:val="24"/>
            <w:szCs w:val="24"/>
            <w:highlight w:val="yellow"/>
            <w:lang w:val="en-US" w:eastAsia="en-US" w:bidi="ar-SA"/>
          </w:rPr>
        </w:sdtEndPr>
        <w:sdtContent>
          <w:r>
            <w:rPr>
              <w:rFonts w:ascii="MS Gothic" w:eastAsia="MS Gothic" w:hAnsi="MS Gothic" w:cs="MS Gothic"/>
            </w:rPr>
            <w:t>☐</w:t>
          </w:r>
        </w:sdtContent>
      </w:sdt>
      <w:r>
        <w:rPr>
          <w:rFonts w:ascii="宋体" w:hAnsi="宋体" w:hint="eastAsia"/>
          <w:sz w:val="24"/>
          <w:szCs w:val="24"/>
          <w:highlight w:val="none"/>
          <w:lang w:val="en-US" w:eastAsia="zh-CN"/>
        </w:rPr>
        <w:t xml:space="preserve"> 3.4本次招标仅面向中小企业发包（其中属于大企业的分支机构、存在控股股东为大企业、与大企业的负责人为同一人的情形的企业均不属于中小企业。若为联合体投标的，联合体所有单位均应属于中小企业）。具体标准以《工业和信息化部、国家统计局、国家发展和改革委员会、财政部关于印发中小企业划型标准规定的通知》（工信部联企业〔2011〕300号）中的“建筑业”划型标准为准，投标人应提供中小企业声明函。（除技术复杂、存在特殊要求外，我省依法必须招标的国家投资工程，招标控制价在3000万元以下的施工项目(标段) 应勾选此项。）</w:t>
      </w:r>
    </w:p>
    <w:p w14:paraId="3EFDDFD6">
      <w:pPr>
        <w:spacing w:line="360" w:lineRule="auto"/>
        <w:rPr>
          <w:rFonts w:ascii="宋体" w:hAnsi="宋体" w:hint="eastAsia"/>
          <w:lang w:eastAsia="zh-CN"/>
        </w:rPr>
      </w:pPr>
    </w:p>
    <w:p w14:paraId="74EA36CD">
      <w:pPr>
        <w:spacing w:line="360" w:lineRule="auto"/>
        <w:rPr>
          <w:rFonts w:ascii="宋体" w:hAnsi="宋体"/>
          <w:b/>
          <w:lang w:eastAsia="zh-CN"/>
        </w:rPr>
      </w:pPr>
      <w:r>
        <w:rPr>
          <w:rFonts w:ascii="宋体" w:hAnsi="宋体" w:hint="eastAsia"/>
          <w:b/>
          <w:lang w:eastAsia="zh-CN"/>
        </w:rPr>
        <w:t>4. 招标文件的获取</w:t>
      </w:r>
    </w:p>
    <w:p w14:paraId="698E41E4">
      <w:pPr>
        <w:spacing w:line="360" w:lineRule="auto"/>
        <w:rPr>
          <w:rFonts w:ascii="宋体" w:hAnsi="宋体" w:cs="宋体"/>
          <w:szCs w:val="22"/>
          <w:lang w:eastAsia="zh-CN"/>
        </w:rPr>
      </w:pPr>
      <w:r>
        <w:rPr>
          <w:rFonts w:ascii="宋体" w:hAnsi="宋体" w:hint="eastAsia"/>
          <w:lang w:eastAsia="zh-CN"/>
        </w:rPr>
        <w:t xml:space="preserve">   4.1 </w:t>
      </w:r>
      <w:r>
        <w:rPr>
          <w:rFonts w:ascii="宋体" w:hAnsi="宋体" w:cs="宋体" w:hint="eastAsia"/>
          <w:lang w:eastAsia="zh-CN"/>
        </w:rPr>
        <w:t>凡有意参加投标者，请于</w:t>
      </w:r>
      <w:r>
        <w:rPr>
          <w:rFonts w:ascii="宋体" w:hAnsi="宋体" w:cs="宋体" w:hint="eastAsia"/>
          <w:color w:val="00B0F0"/>
          <w:u w:val="single"/>
          <w:lang w:eastAsia="zh-CN"/>
        </w:rPr>
        <w:t xml:space="preserve">    </w:t>
      </w:r>
      <w:r>
        <w:rPr>
          <w:rFonts w:ascii="宋体" w:hAnsi="宋体" w:cs="宋体" w:hint="eastAsia"/>
          <w:lang w:eastAsia="zh-CN"/>
        </w:rPr>
        <w:t>年</w:t>
      </w:r>
      <w:r>
        <w:rPr>
          <w:rFonts w:ascii="宋体" w:hAnsi="宋体" w:cs="宋体" w:hint="eastAsia"/>
          <w:color w:val="00B0F0"/>
          <w:u w:val="single"/>
          <w:lang w:eastAsia="zh-CN"/>
        </w:rPr>
        <w:t xml:space="preserve">    </w:t>
      </w:r>
      <w:r>
        <w:rPr>
          <w:rFonts w:ascii="宋体" w:hAnsi="宋体" w:cs="宋体" w:hint="eastAsia"/>
          <w:lang w:eastAsia="zh-CN"/>
        </w:rPr>
        <w:t>月</w:t>
      </w:r>
      <w:r>
        <w:rPr>
          <w:rFonts w:ascii="宋体" w:hAnsi="宋体" w:cs="宋体" w:hint="eastAsia"/>
          <w:color w:val="00B0F0"/>
          <w:u w:val="single"/>
          <w:lang w:eastAsia="zh-CN"/>
        </w:rPr>
        <w:t xml:space="preserve">    </w:t>
      </w:r>
      <w:r>
        <w:rPr>
          <w:rFonts w:ascii="宋体" w:hAnsi="宋体" w:cs="宋体" w:hint="eastAsia"/>
          <w:lang w:eastAsia="zh-CN"/>
        </w:rPr>
        <w:t>日开始登陆：□全国公共资源交易平台（四川省）（网址：http://ggzyjy.sc.gov.cn）—“登录”——“交易主体”—“建设工程”，通过数字证书免费下载招标资料（招标文件、技术资料等）。</w:t>
      </w:r>
      <w:sdt>
        <w:sdtPr>
          <w:rPr>
            <w:rFonts w:ascii="宋体" w:hAnsi="宋体" w:cs="宋体" w:hint="eastAsia"/>
            <w:lang w:eastAsia="zh-CN"/>
          </w:rPr>
          <w:id w:val="1112948570"/>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全国公共资源交易平台（四川省· 遂宁市）（网址：http://www.snsggzyjy.cn ）—“登录”—“</w:t>
      </w:r>
      <w:bookmarkStart w:id="3" w:name="_Hlk57733707"/>
      <w:r>
        <w:rPr>
          <w:rFonts w:ascii="宋体" w:hAnsi="宋体" w:cs="宋体" w:hint="eastAsia"/>
          <w:lang w:eastAsia="zh-CN"/>
        </w:rPr>
        <w:t>遂宁市建设工程网上交易后台管理系统</w:t>
      </w:r>
      <w:bookmarkEnd w:id="3"/>
      <w:r>
        <w:rPr>
          <w:rFonts w:ascii="宋体" w:hAnsi="宋体" w:cs="宋体" w:hint="eastAsia"/>
          <w:lang w:eastAsia="zh-CN"/>
        </w:rPr>
        <w:t>”，通过数字证书免费下载招标资料（招标文件、技术资料等）。</w:t>
      </w:r>
    </w:p>
    <w:p w14:paraId="58084B58">
      <w:pPr>
        <w:spacing w:line="360" w:lineRule="auto"/>
        <w:ind w:firstLine="480" w:firstLineChars="200"/>
        <w:rPr>
          <w:rFonts w:ascii="宋体" w:hAnsi="宋体"/>
          <w:lang w:eastAsia="zh-CN"/>
        </w:rPr>
      </w:pPr>
      <w:r>
        <w:rPr>
          <w:rFonts w:ascii="宋体" w:hAnsi="宋体" w:hint="eastAsia"/>
          <w:lang w:eastAsia="zh-CN"/>
        </w:rPr>
        <w:t>4.2 招标人不提供招标文件获取的其他方式。</w:t>
      </w:r>
    </w:p>
    <w:p w14:paraId="5B9EEAE3">
      <w:pPr>
        <w:spacing w:line="360" w:lineRule="auto"/>
        <w:rPr>
          <w:rFonts w:ascii="宋体" w:hAnsi="宋体"/>
          <w:b/>
          <w:lang w:eastAsia="zh-CN"/>
        </w:rPr>
      </w:pPr>
      <w:r>
        <w:rPr>
          <w:rFonts w:ascii="宋体" w:hAnsi="宋体" w:hint="eastAsia"/>
          <w:b/>
          <w:lang w:eastAsia="zh-CN"/>
        </w:rPr>
        <w:t>5. 投标文件的递交</w:t>
      </w:r>
    </w:p>
    <w:p w14:paraId="1005463C">
      <w:pPr>
        <w:adjustRightInd w:val="0"/>
        <w:snapToGrid w:val="0"/>
        <w:spacing w:line="360" w:lineRule="auto"/>
        <w:ind w:firstLine="480"/>
        <w:rPr>
          <w:rFonts w:ascii="宋体" w:hAnsi="宋体"/>
          <w:szCs w:val="22"/>
          <w:lang w:eastAsia="zh-CN"/>
        </w:rPr>
      </w:pPr>
      <w:r>
        <w:rPr>
          <w:rFonts w:ascii="宋体" w:hAnsi="宋体" w:hint="eastAsia"/>
          <w:lang w:eastAsia="zh-CN"/>
        </w:rPr>
        <w:t>投标文件递交的截止时间（投标截止时间，下同）为</w:t>
      </w:r>
      <w:r>
        <w:rPr>
          <w:rFonts w:ascii="宋体" w:hAnsi="宋体" w:hint="eastAsia"/>
          <w:b/>
          <w:color w:val="00B0F0"/>
          <w:u w:val="single"/>
          <w:lang w:eastAsia="zh-CN"/>
        </w:rPr>
        <w:t xml:space="preserve">   </w:t>
      </w:r>
      <w:r>
        <w:rPr>
          <w:rFonts w:ascii="宋体" w:hAnsi="宋体" w:hint="eastAsia"/>
          <w:lang w:eastAsia="zh-CN"/>
        </w:rPr>
        <w:t>年</w:t>
      </w:r>
      <w:r>
        <w:rPr>
          <w:rFonts w:ascii="宋体" w:hAnsi="宋体" w:hint="eastAsia"/>
          <w:b/>
          <w:color w:val="00B0F0"/>
          <w:u w:val="single"/>
          <w:lang w:eastAsia="zh-CN"/>
        </w:rPr>
        <w:t xml:space="preserve">   </w:t>
      </w:r>
      <w:r>
        <w:rPr>
          <w:rFonts w:ascii="宋体" w:hAnsi="宋体" w:hint="eastAsia"/>
          <w:lang w:eastAsia="zh-CN"/>
        </w:rPr>
        <w:t>月</w:t>
      </w:r>
      <w:r>
        <w:rPr>
          <w:rFonts w:ascii="宋体" w:hAnsi="宋体" w:hint="eastAsia"/>
          <w:b/>
          <w:color w:val="00B0F0"/>
          <w:u w:val="single"/>
          <w:lang w:eastAsia="zh-CN"/>
        </w:rPr>
        <w:t xml:space="preserve">   </w:t>
      </w:r>
      <w:r>
        <w:rPr>
          <w:rFonts w:ascii="宋体" w:hAnsi="宋体" w:hint="eastAsia"/>
          <w:lang w:eastAsia="zh-CN"/>
        </w:rPr>
        <w:t>日</w:t>
      </w:r>
      <w:r>
        <w:rPr>
          <w:rFonts w:ascii="宋体" w:hAnsi="宋体" w:hint="eastAsia"/>
          <w:b/>
          <w:color w:val="00B0F0"/>
          <w:u w:val="single"/>
          <w:lang w:eastAsia="zh-CN"/>
        </w:rPr>
        <w:t xml:space="preserve">   </w:t>
      </w:r>
      <w:r>
        <w:rPr>
          <w:rFonts w:ascii="宋体" w:hAnsi="宋体" w:hint="eastAsia"/>
          <w:lang w:eastAsia="zh-CN"/>
        </w:rPr>
        <w:t>时</w:t>
      </w:r>
      <w:r>
        <w:rPr>
          <w:rFonts w:ascii="宋体" w:hAnsi="宋体" w:hint="eastAsia"/>
          <w:b/>
          <w:color w:val="00B0F0"/>
          <w:u w:val="single"/>
          <w:lang w:eastAsia="zh-CN"/>
        </w:rPr>
        <w:t xml:space="preserve">   </w:t>
      </w:r>
      <w:r>
        <w:rPr>
          <w:rFonts w:ascii="宋体" w:hAnsi="宋体" w:hint="eastAsia"/>
          <w:lang w:eastAsia="zh-CN"/>
        </w:rPr>
        <w:t>分，投标人应在投标截止时间前在线递交经投标人数字证书加密的数据电文形式投标文件。</w:t>
      </w:r>
    </w:p>
    <w:p w14:paraId="1BE0254B">
      <w:pPr>
        <w:numPr>
          <w:ilvl w:val="0"/>
          <w:numId w:val="2"/>
        </w:numPr>
        <w:adjustRightInd w:val="0"/>
        <w:snapToGrid w:val="0"/>
        <w:spacing w:line="360" w:lineRule="auto"/>
        <w:rPr>
          <w:rFonts w:ascii="宋体" w:hAnsi="宋体"/>
          <w:b/>
        </w:rPr>
      </w:pPr>
      <w:bookmarkStart w:id="4" w:name="_Toc11101_WPSOffice_Level1"/>
      <w:r>
        <w:rPr>
          <w:rFonts w:ascii="宋体" w:hAnsi="宋体" w:hint="eastAsia"/>
          <w:b/>
        </w:rPr>
        <w:t>确认</w:t>
      </w:r>
      <w:bookmarkEnd w:id="4"/>
    </w:p>
    <w:p w14:paraId="70D94BA3">
      <w:pPr>
        <w:adjustRightInd w:val="0"/>
        <w:snapToGrid w:val="0"/>
        <w:spacing w:line="360" w:lineRule="auto"/>
        <w:rPr>
          <w:rFonts w:ascii="宋体" w:hAnsi="宋体"/>
          <w:highlight w:val="none"/>
          <w:lang w:eastAsia="zh-CN"/>
        </w:rPr>
      </w:pPr>
      <w:r>
        <w:rPr>
          <w:lang w:eastAsia="zh-CN"/>
        </w:rPr>
        <w:t xml:space="preserve">    </w:t>
      </w:r>
      <w:r>
        <w:rPr>
          <w:rFonts w:ascii="宋体" w:hAnsi="宋体" w:hint="eastAsia"/>
          <w:lang w:eastAsia="zh-CN"/>
        </w:rPr>
        <w:t>你单位收到本邀请书后，请于</w:t>
      </w:r>
      <w:r>
        <w:rPr>
          <w:rFonts w:ascii="宋体" w:hAnsi="宋体" w:hint="eastAsia"/>
          <w:b/>
          <w:color w:val="00B0F0"/>
          <w:u w:val="single"/>
          <w:lang w:eastAsia="zh-CN"/>
        </w:rPr>
        <w:t xml:space="preserve">   </w:t>
      </w:r>
      <w:r>
        <w:rPr>
          <w:rFonts w:ascii="宋体" w:hAnsi="宋体" w:hint="eastAsia"/>
          <w:lang w:eastAsia="zh-CN"/>
        </w:rPr>
        <w:t>年</w:t>
      </w:r>
      <w:r>
        <w:rPr>
          <w:rFonts w:ascii="宋体" w:hAnsi="宋体" w:hint="eastAsia"/>
          <w:b/>
          <w:color w:val="00B0F0"/>
          <w:u w:val="single"/>
          <w:lang w:eastAsia="zh-CN"/>
        </w:rPr>
        <w:t xml:space="preserve">   </w:t>
      </w:r>
      <w:r>
        <w:rPr>
          <w:rFonts w:ascii="宋体" w:hAnsi="宋体" w:hint="eastAsia"/>
          <w:lang w:eastAsia="zh-CN"/>
        </w:rPr>
        <w:t>月</w:t>
      </w:r>
      <w:r>
        <w:rPr>
          <w:rFonts w:ascii="宋体" w:hAnsi="宋体" w:hint="eastAsia"/>
          <w:b/>
          <w:color w:val="00B0F0"/>
          <w:u w:val="single"/>
          <w:lang w:eastAsia="zh-CN"/>
        </w:rPr>
        <w:t xml:space="preserve">   </w:t>
      </w:r>
      <w:r>
        <w:rPr>
          <w:rFonts w:ascii="宋体" w:hAnsi="宋体" w:hint="eastAsia"/>
          <w:lang w:eastAsia="zh-CN"/>
        </w:rPr>
        <w:t>日</w:t>
      </w:r>
      <w:r>
        <w:rPr>
          <w:rFonts w:ascii="宋体" w:hAnsi="宋体" w:hint="eastAsia"/>
          <w:b/>
          <w:color w:val="00B0F0"/>
          <w:u w:val="single"/>
          <w:lang w:eastAsia="zh-CN"/>
        </w:rPr>
        <w:t xml:space="preserve">   </w:t>
      </w:r>
      <w:r>
        <w:rPr>
          <w:rFonts w:ascii="宋体" w:hAnsi="宋体" w:hint="eastAsia"/>
          <w:lang w:eastAsia="zh-CN"/>
        </w:rPr>
        <w:t>时前，以书面形式确认是否参加投标。在本邀请书规定的时间内未表示是否参加投标或明确表示不参加投标的，不得</w:t>
      </w:r>
      <w:r>
        <w:rPr>
          <w:rFonts w:ascii="宋体" w:hAnsi="宋体" w:hint="eastAsia"/>
          <w:highlight w:val="none"/>
          <w:lang w:eastAsia="zh-CN"/>
        </w:rPr>
        <w:t>再参加投标。</w:t>
      </w:r>
    </w:p>
    <w:p w14:paraId="6FBE546F">
      <w:pPr>
        <w:adjustRightInd w:val="0"/>
        <w:snapToGrid w:val="0"/>
        <w:spacing w:line="360" w:lineRule="auto"/>
        <w:rPr>
          <w:rFonts w:ascii="仿宋" w:eastAsia="仿宋" w:hAnsi="仿宋" w:cs="仿宋" w:hint="eastAsia"/>
          <w:color w:val="auto"/>
          <w:kern w:val="2"/>
          <w:sz w:val="24"/>
          <w:szCs w:val="24"/>
          <w:highlight w:val="none"/>
          <w:lang w:val="en-US" w:eastAsia="zh-CN" w:bidi="ar-SA"/>
        </w:rPr>
      </w:pPr>
      <w:bookmarkStart w:id="5" w:name="_Toc21710_WPSOffice_Level1"/>
      <w:r>
        <w:rPr>
          <w:rFonts w:ascii="宋体" w:eastAsia="宋体" w:hAnsi="宋体" w:cs="宋体" w:hint="eastAsia"/>
          <w:b/>
          <w:sz w:val="24"/>
          <w:szCs w:val="24"/>
          <w:highlight w:val="none"/>
          <w:lang w:val="en-US" w:eastAsia="zh-CN"/>
        </w:rPr>
        <w:t>7.行政监督部门</w:t>
      </w:r>
    </w:p>
    <w:p w14:paraId="12E1113B">
      <w:pPr>
        <w:numPr>
          <w:ilvl w:val="0"/>
          <w:numId w:val="0"/>
        </w:numPr>
        <w:spacing w:line="360" w:lineRule="auto"/>
        <w:rPr>
          <w:rFonts w:ascii="仿宋" w:eastAsia="仿宋" w:hAnsi="仿宋" w:cs="仿宋" w:hint="eastAsia"/>
          <w:color w:val="auto"/>
          <w:kern w:val="2"/>
          <w:sz w:val="24"/>
          <w:szCs w:val="24"/>
          <w:highlight w:val="none"/>
          <w:u w:val="single"/>
          <w:lang w:val="en-US" w:eastAsia="zh-CN" w:bidi="ar-SA"/>
        </w:rPr>
      </w:pPr>
      <w:r>
        <w:rPr>
          <w:rFonts w:ascii="宋体" w:eastAsia="宋体" w:hAnsi="宋体" w:hint="eastAsia"/>
          <w:sz w:val="24"/>
          <w:szCs w:val="24"/>
          <w:highlight w:val="none"/>
          <w:lang w:val="en-US" w:eastAsia="zh-CN"/>
        </w:rPr>
        <w:t>单位名称</w:t>
      </w:r>
      <w:r>
        <w:rPr>
          <w:rFonts w:ascii="仿宋" w:eastAsia="仿宋" w:hAnsi="仿宋" w:cs="仿宋" w:hint="eastAsia"/>
          <w:color w:val="auto"/>
          <w:kern w:val="2"/>
          <w:sz w:val="24"/>
          <w:szCs w:val="24"/>
          <w:highlight w:val="none"/>
          <w:lang w:val="en-US" w:eastAsia="zh-CN" w:bidi="ar-SA"/>
        </w:rPr>
        <w:t>：</w:t>
      </w:r>
      <w:r>
        <w:rPr>
          <w:rFonts w:ascii="仿宋" w:eastAsia="仿宋" w:hAnsi="仿宋" w:cs="仿宋" w:hint="eastAsia"/>
          <w:color w:val="auto"/>
          <w:kern w:val="2"/>
          <w:sz w:val="24"/>
          <w:szCs w:val="24"/>
          <w:highlight w:val="none"/>
          <w:u w:val="single"/>
          <w:lang w:val="en-US" w:eastAsia="zh-CN" w:bidi="ar-SA"/>
        </w:rPr>
        <w:t xml:space="preserve">                </w:t>
      </w:r>
    </w:p>
    <w:p w14:paraId="6382F71B">
      <w:pPr>
        <w:numPr>
          <w:ilvl w:val="0"/>
          <w:numId w:val="0"/>
        </w:numPr>
        <w:spacing w:line="480" w:lineRule="auto"/>
        <w:rPr>
          <w:rFonts w:ascii="宋体" w:eastAsia="宋体" w:hAnsi="宋体" w:cs="宋体" w:hint="default"/>
          <w:b/>
          <w:sz w:val="24"/>
          <w:szCs w:val="24"/>
          <w:highlight w:val="none"/>
          <w:lang w:val="en-US" w:eastAsia="zh-CN"/>
        </w:rPr>
      </w:pPr>
      <w:r>
        <w:rPr>
          <w:rFonts w:ascii="宋体" w:eastAsia="宋体" w:hAnsi="宋体" w:hint="eastAsia"/>
          <w:sz w:val="24"/>
          <w:szCs w:val="24"/>
          <w:highlight w:val="none"/>
          <w:lang w:val="en-US" w:eastAsia="zh-CN"/>
        </w:rPr>
        <w:t>联系电话</w:t>
      </w:r>
      <w:r>
        <w:rPr>
          <w:rFonts w:ascii="仿宋" w:eastAsia="仿宋" w:hAnsi="仿宋" w:cs="仿宋" w:hint="eastAsia"/>
          <w:color w:val="auto"/>
          <w:kern w:val="2"/>
          <w:sz w:val="24"/>
          <w:szCs w:val="24"/>
          <w:highlight w:val="none"/>
          <w:lang w:val="en-US" w:eastAsia="zh-CN" w:bidi="ar-SA"/>
        </w:rPr>
        <w:t>：</w:t>
      </w:r>
      <w:r>
        <w:rPr>
          <w:rFonts w:ascii="仿宋" w:eastAsia="仿宋" w:hAnsi="仿宋" w:cs="仿宋" w:hint="eastAsia"/>
          <w:color w:val="auto"/>
          <w:kern w:val="2"/>
          <w:sz w:val="24"/>
          <w:szCs w:val="24"/>
          <w:highlight w:val="none"/>
          <w:u w:val="single"/>
          <w:lang w:val="en-US" w:eastAsia="zh-CN" w:bidi="ar-SA"/>
        </w:rPr>
        <w:t xml:space="preserve">                </w:t>
      </w:r>
      <w:r>
        <w:rPr>
          <w:rFonts w:ascii="仿宋" w:eastAsia="仿宋" w:hAnsi="仿宋" w:cs="仿宋" w:hint="eastAsia"/>
          <w:color w:val="auto"/>
          <w:kern w:val="2"/>
          <w:sz w:val="24"/>
          <w:szCs w:val="24"/>
          <w:highlight w:val="none"/>
          <w:lang w:val="en-US" w:eastAsia="zh-CN" w:bidi="ar-SA"/>
        </w:rPr>
        <w:t xml:space="preserve">  </w:t>
      </w:r>
    </w:p>
    <w:p w14:paraId="1624D91D">
      <w:pPr>
        <w:adjustRightInd w:val="0"/>
        <w:snapToGrid w:val="0"/>
        <w:spacing w:line="360" w:lineRule="auto"/>
        <w:rPr>
          <w:rFonts w:ascii="宋体" w:hAnsi="宋体"/>
          <w:b/>
          <w:sz w:val="24"/>
          <w:szCs w:val="24"/>
        </w:rPr>
      </w:pPr>
      <w:r>
        <w:rPr>
          <w:rFonts w:ascii="宋体" w:eastAsia="宋体" w:hAnsi="宋体" w:cs="宋体" w:hint="eastAsia"/>
          <w:b/>
          <w:sz w:val="24"/>
          <w:szCs w:val="24"/>
          <w:highlight w:val="none"/>
          <w:lang w:val="en-US" w:eastAsia="zh-CN"/>
        </w:rPr>
        <w:t>8</w:t>
      </w:r>
      <w:r>
        <w:rPr>
          <w:rFonts w:ascii="宋体" w:eastAsia="宋体" w:hAnsi="宋体" w:cs="宋体" w:hint="eastAsia"/>
          <w:b/>
          <w:sz w:val="24"/>
          <w:szCs w:val="24"/>
          <w:highlight w:val="none"/>
        </w:rPr>
        <w:t xml:space="preserve">. </w:t>
      </w:r>
      <w:r>
        <w:rPr>
          <w:rFonts w:ascii="宋体" w:hAnsi="宋体" w:hint="eastAsia"/>
          <w:b/>
          <w:sz w:val="24"/>
          <w:szCs w:val="24"/>
        </w:rPr>
        <w:t>联系方式</w:t>
      </w:r>
      <w:bookmarkEnd w:id="5"/>
    </w:p>
    <w:p w14:paraId="59248BFD">
      <w:pPr>
        <w:adjustRightInd w:val="0"/>
        <w:snapToGrid w:val="0"/>
        <w:spacing w:line="360" w:lineRule="auto"/>
        <w:ind w:firstLine="240" w:firstLineChars="100"/>
        <w:rPr>
          <w:rFonts w:ascii="宋体" w:hAnsi="宋体"/>
          <w:lang w:eastAsia="zh-CN"/>
        </w:rPr>
      </w:pPr>
      <w:r>
        <w:rPr>
          <w:rFonts w:ascii="宋体" w:hAnsi="宋体" w:hint="eastAsia"/>
          <w:lang w:eastAsia="zh-CN"/>
        </w:rPr>
        <w:t>招 标 人：</w:t>
      </w:r>
      <w:r>
        <w:rPr>
          <w:rFonts w:ascii="宋体" w:hAnsi="宋体" w:hint="eastAsia"/>
          <w:b/>
          <w:color w:val="00B0F0"/>
          <w:u w:val="single"/>
          <w:lang w:eastAsia="zh-CN"/>
        </w:rPr>
        <w:t xml:space="preserve">         </w:t>
      </w:r>
    </w:p>
    <w:p w14:paraId="0D78D30D">
      <w:pPr>
        <w:adjustRightInd w:val="0"/>
        <w:snapToGrid w:val="0"/>
        <w:spacing w:line="360" w:lineRule="auto"/>
        <w:ind w:firstLine="240" w:firstLineChars="100"/>
        <w:rPr>
          <w:rFonts w:ascii="宋体" w:hAnsi="宋体"/>
          <w:lang w:eastAsia="zh-CN"/>
        </w:rPr>
      </w:pPr>
      <w:r>
        <w:rPr>
          <w:rFonts w:ascii="宋体" w:hAnsi="宋体" w:hint="eastAsia"/>
          <w:lang w:eastAsia="zh-CN"/>
        </w:rPr>
        <w:t>地    址：</w:t>
      </w:r>
      <w:r>
        <w:rPr>
          <w:rFonts w:ascii="宋体" w:hAnsi="宋体" w:hint="eastAsia"/>
          <w:b/>
          <w:color w:val="00B0F0"/>
          <w:u w:val="single"/>
          <w:lang w:eastAsia="zh-CN"/>
        </w:rPr>
        <w:t xml:space="preserve">         </w:t>
      </w:r>
    </w:p>
    <w:p w14:paraId="19831B90">
      <w:pPr>
        <w:adjustRightInd w:val="0"/>
        <w:snapToGrid w:val="0"/>
        <w:spacing w:line="360" w:lineRule="auto"/>
        <w:ind w:firstLine="240" w:firstLineChars="100"/>
        <w:rPr>
          <w:rFonts w:ascii="宋体" w:hAnsi="宋体"/>
          <w:lang w:eastAsia="zh-CN"/>
        </w:rPr>
      </w:pPr>
      <w:r>
        <w:rPr>
          <w:rFonts w:ascii="宋体" w:hAnsi="宋体" w:hint="eastAsia"/>
          <w:lang w:eastAsia="zh-CN"/>
        </w:rPr>
        <w:t>邮    编：</w:t>
      </w:r>
      <w:r>
        <w:rPr>
          <w:rFonts w:ascii="宋体" w:hAnsi="宋体" w:hint="eastAsia"/>
          <w:b/>
          <w:color w:val="00B0F0"/>
          <w:u w:val="single"/>
          <w:lang w:eastAsia="zh-CN"/>
        </w:rPr>
        <w:t xml:space="preserve">         </w:t>
      </w:r>
    </w:p>
    <w:p w14:paraId="675BE963">
      <w:pPr>
        <w:adjustRightInd w:val="0"/>
        <w:snapToGrid w:val="0"/>
        <w:spacing w:line="360" w:lineRule="auto"/>
        <w:ind w:firstLine="240" w:firstLineChars="100"/>
        <w:rPr>
          <w:rFonts w:ascii="宋体" w:hAnsi="宋体"/>
          <w:lang w:eastAsia="zh-CN"/>
        </w:rPr>
      </w:pPr>
      <w:r>
        <w:rPr>
          <w:rFonts w:ascii="宋体" w:hAnsi="宋体" w:hint="eastAsia"/>
          <w:lang w:eastAsia="zh-CN"/>
        </w:rPr>
        <w:t>联 系 人：</w:t>
      </w:r>
      <w:r>
        <w:rPr>
          <w:rFonts w:ascii="宋体" w:hAnsi="宋体" w:hint="eastAsia"/>
          <w:b/>
          <w:color w:val="00B0F0"/>
          <w:u w:val="single"/>
          <w:lang w:eastAsia="zh-CN"/>
        </w:rPr>
        <w:t xml:space="preserve">         </w:t>
      </w:r>
    </w:p>
    <w:p w14:paraId="632056F4">
      <w:pPr>
        <w:adjustRightInd w:val="0"/>
        <w:snapToGrid w:val="0"/>
        <w:spacing w:line="360" w:lineRule="auto"/>
        <w:ind w:firstLine="240" w:firstLineChars="100"/>
        <w:rPr>
          <w:rFonts w:ascii="宋体" w:hAnsi="宋体"/>
          <w:lang w:eastAsia="zh-CN"/>
        </w:rPr>
      </w:pPr>
      <w:r>
        <w:rPr>
          <w:rFonts w:ascii="宋体" w:hAnsi="宋体" w:hint="eastAsia"/>
          <w:lang w:eastAsia="zh-CN"/>
        </w:rPr>
        <w:t>电    话：</w:t>
      </w:r>
      <w:r>
        <w:rPr>
          <w:rFonts w:ascii="宋体" w:hAnsi="宋体" w:hint="eastAsia"/>
          <w:b/>
          <w:color w:val="00B0F0"/>
          <w:u w:val="single"/>
          <w:lang w:eastAsia="zh-CN"/>
        </w:rPr>
        <w:t xml:space="preserve">         </w:t>
      </w:r>
    </w:p>
    <w:p w14:paraId="334F989B">
      <w:pPr>
        <w:adjustRightInd w:val="0"/>
        <w:snapToGrid w:val="0"/>
        <w:spacing w:line="360" w:lineRule="auto"/>
        <w:ind w:firstLine="240" w:firstLineChars="100"/>
        <w:rPr>
          <w:rFonts w:ascii="宋体" w:hAnsi="宋体"/>
          <w:lang w:eastAsia="zh-CN"/>
        </w:rPr>
      </w:pPr>
      <w:r>
        <w:rPr>
          <w:rFonts w:ascii="宋体" w:hAnsi="宋体" w:hint="eastAsia"/>
          <w:lang w:eastAsia="zh-CN"/>
        </w:rPr>
        <w:t>传    真：</w:t>
      </w:r>
      <w:r>
        <w:rPr>
          <w:rFonts w:ascii="宋体" w:hAnsi="宋体" w:hint="eastAsia"/>
          <w:b/>
          <w:color w:val="00B0F0"/>
          <w:u w:val="single"/>
          <w:lang w:eastAsia="zh-CN"/>
        </w:rPr>
        <w:t xml:space="preserve">         </w:t>
      </w:r>
    </w:p>
    <w:p w14:paraId="5B3085D1">
      <w:pPr>
        <w:adjustRightInd w:val="0"/>
        <w:snapToGrid w:val="0"/>
        <w:spacing w:line="360" w:lineRule="auto"/>
        <w:ind w:firstLine="240" w:firstLineChars="100"/>
        <w:rPr>
          <w:rFonts w:ascii="宋体" w:hAnsi="宋体"/>
          <w:lang w:eastAsia="zh-CN"/>
        </w:rPr>
      </w:pPr>
      <w:r>
        <w:rPr>
          <w:rFonts w:ascii="宋体" w:hAnsi="宋体" w:hint="eastAsia"/>
          <w:lang w:eastAsia="zh-CN"/>
        </w:rPr>
        <w:t>电子邮件：</w:t>
      </w:r>
      <w:r>
        <w:rPr>
          <w:rFonts w:ascii="宋体" w:hAnsi="宋体" w:hint="eastAsia"/>
          <w:b/>
          <w:color w:val="00B0F0"/>
          <w:u w:val="single"/>
          <w:lang w:eastAsia="zh-CN"/>
        </w:rPr>
        <w:t xml:space="preserve">         </w:t>
      </w:r>
    </w:p>
    <w:p w14:paraId="2706016E">
      <w:pPr>
        <w:adjustRightInd w:val="0"/>
        <w:snapToGrid w:val="0"/>
        <w:spacing w:line="360" w:lineRule="auto"/>
        <w:ind w:firstLine="240" w:firstLineChars="100"/>
        <w:rPr>
          <w:rFonts w:ascii="宋体" w:hAnsi="宋体"/>
          <w:lang w:eastAsia="zh-CN"/>
        </w:rPr>
      </w:pPr>
      <w:r>
        <w:rPr>
          <w:rFonts w:ascii="宋体" w:hAnsi="宋体" w:hint="eastAsia"/>
          <w:lang w:eastAsia="zh-CN"/>
        </w:rPr>
        <w:t>网    址：</w:t>
      </w:r>
      <w:r>
        <w:rPr>
          <w:rFonts w:ascii="宋体" w:hAnsi="宋体" w:hint="eastAsia"/>
          <w:b/>
          <w:color w:val="00B0F0"/>
          <w:u w:val="single"/>
          <w:lang w:eastAsia="zh-CN"/>
        </w:rPr>
        <w:t xml:space="preserve">         </w:t>
      </w:r>
    </w:p>
    <w:p w14:paraId="41875F62">
      <w:pPr>
        <w:adjustRightInd w:val="0"/>
        <w:snapToGrid w:val="0"/>
        <w:spacing w:line="360" w:lineRule="auto"/>
        <w:ind w:firstLine="240" w:firstLineChars="100"/>
        <w:rPr>
          <w:rFonts w:ascii="宋体" w:hAnsi="宋体"/>
          <w:lang w:eastAsia="zh-CN"/>
        </w:rPr>
      </w:pPr>
      <w:r>
        <w:rPr>
          <w:rFonts w:ascii="宋体" w:hAnsi="宋体" w:hint="eastAsia"/>
          <w:lang w:eastAsia="zh-CN"/>
        </w:rPr>
        <w:t>开户银行：</w:t>
      </w:r>
      <w:r>
        <w:rPr>
          <w:rFonts w:ascii="宋体" w:hAnsi="宋体" w:hint="eastAsia"/>
          <w:b/>
          <w:color w:val="00B0F0"/>
          <w:u w:val="single"/>
          <w:lang w:eastAsia="zh-CN"/>
        </w:rPr>
        <w:t xml:space="preserve">         </w:t>
      </w:r>
    </w:p>
    <w:p w14:paraId="5A819051">
      <w:pPr>
        <w:adjustRightInd w:val="0"/>
        <w:snapToGrid w:val="0"/>
        <w:spacing w:line="360" w:lineRule="auto"/>
        <w:ind w:firstLine="240" w:firstLineChars="100"/>
        <w:rPr>
          <w:rFonts w:ascii="宋体" w:hAnsi="宋体"/>
          <w:lang w:eastAsia="zh-CN"/>
        </w:rPr>
      </w:pPr>
      <w:r>
        <w:rPr>
          <w:rFonts w:ascii="宋体" w:hAnsi="宋体" w:hint="eastAsia"/>
          <w:lang w:eastAsia="zh-CN"/>
        </w:rPr>
        <w:t>账    号：</w:t>
      </w:r>
      <w:r>
        <w:rPr>
          <w:rFonts w:ascii="宋体" w:hAnsi="宋体" w:hint="eastAsia"/>
          <w:b/>
          <w:color w:val="00B0F0"/>
          <w:u w:val="single"/>
          <w:lang w:eastAsia="zh-CN"/>
        </w:rPr>
        <w:t xml:space="preserve">         </w:t>
      </w:r>
    </w:p>
    <w:p w14:paraId="7432E1E6">
      <w:pPr>
        <w:adjustRightInd w:val="0"/>
        <w:snapToGrid w:val="0"/>
        <w:spacing w:line="360" w:lineRule="auto"/>
        <w:rPr>
          <w:rFonts w:ascii="宋体" w:hAnsi="宋体"/>
          <w:lang w:eastAsia="zh-CN"/>
        </w:rPr>
      </w:pPr>
    </w:p>
    <w:p w14:paraId="7FF415C9">
      <w:pPr>
        <w:adjustRightInd w:val="0"/>
        <w:snapToGrid w:val="0"/>
        <w:spacing w:line="360" w:lineRule="auto"/>
        <w:rPr>
          <w:rFonts w:ascii="宋体" w:hAnsi="宋体"/>
          <w:lang w:eastAsia="zh-CN"/>
        </w:rPr>
      </w:pPr>
      <w:sdt>
        <w:sdtPr>
          <w:rPr>
            <w:rFonts w:ascii="宋体" w:hAnsi="宋体" w:hint="eastAsia"/>
            <w:sz w:val="27"/>
            <w:lang w:eastAsia="zh-CN"/>
          </w:rPr>
          <w:id w:val="-333685131"/>
          <w14:checkbox>
            <w14:checked w14:val="0"/>
            <w14:checkedState w14:val="2611" w14:font="MS Gothic"/>
            <w14:uncheckedState w14:val="2610" w14:font="MS Gothic"/>
          </w14:checkbox>
        </w:sdtPr>
        <w:sdtEndPr>
          <w:rPr>
            <w:rFonts w:ascii="宋体" w:hAnsi="宋体" w:hint="eastAsia"/>
            <w:sz w:val="27"/>
            <w:lang w:eastAsia="zh-CN"/>
          </w:rPr>
        </w:sdtEndPr>
        <w:sdtContent>
          <w:r>
            <w:rPr>
              <w:rFonts w:ascii="MS Gothic" w:eastAsia="MS Gothic" w:hAnsi="MS Gothic" w:cs="MS Gothic" w:hint="eastAsia"/>
              <w:sz w:val="27"/>
              <w:lang w:eastAsia="zh-CN"/>
            </w:rPr>
            <w:t>☐</w:t>
          </w:r>
        </w:sdtContent>
      </w:sdt>
      <w:r>
        <w:rPr>
          <w:rFonts w:ascii="宋体" w:hAnsi="宋体" w:hint="eastAsia"/>
          <w:sz w:val="27"/>
          <w:lang w:eastAsia="zh-CN"/>
        </w:rPr>
        <w:t xml:space="preserve"> </w:t>
      </w:r>
      <w:r>
        <w:rPr>
          <w:rFonts w:ascii="宋体" w:hAnsi="宋体" w:hint="eastAsia"/>
          <w:lang w:eastAsia="zh-CN"/>
        </w:rPr>
        <w:t>招标代理机构：</w:t>
      </w:r>
      <w:r>
        <w:rPr>
          <w:rFonts w:ascii="宋体" w:hAnsi="宋体" w:hint="eastAsia"/>
          <w:b/>
          <w:color w:val="00B0F0"/>
          <w:u w:val="single"/>
          <w:lang w:eastAsia="zh-CN"/>
        </w:rPr>
        <w:t xml:space="preserve">   /      </w:t>
      </w:r>
    </w:p>
    <w:p w14:paraId="67B828F9">
      <w:pPr>
        <w:adjustRightInd w:val="0"/>
        <w:snapToGrid w:val="0"/>
        <w:spacing w:line="360" w:lineRule="auto"/>
        <w:jc w:val="center"/>
        <w:rPr>
          <w:rFonts w:ascii="宋体" w:hAnsi="宋体"/>
          <w:lang w:eastAsia="zh-CN"/>
        </w:rPr>
      </w:pPr>
    </w:p>
    <w:p w14:paraId="39A93A88">
      <w:pPr>
        <w:adjustRightInd w:val="0"/>
        <w:snapToGrid w:val="0"/>
        <w:spacing w:line="360" w:lineRule="auto"/>
        <w:rPr>
          <w:rFonts w:ascii="宋体" w:hAnsi="宋体"/>
          <w:lang w:eastAsia="zh-CN"/>
        </w:rPr>
      </w:pPr>
      <w:sdt>
        <w:sdtPr>
          <w:rPr>
            <w:rFonts w:ascii="宋体" w:hAnsi="宋体" w:hint="eastAsia"/>
            <w:sz w:val="27"/>
            <w:lang w:eastAsia="zh-CN"/>
          </w:rPr>
          <w:id w:val="-215129120"/>
          <w14:checkbox>
            <w14:checked w14:val="0"/>
            <w14:checkedState w14:val="2611" w14:font="MS Gothic"/>
            <w14:uncheckedState w14:val="2610" w14:font="MS Gothic"/>
          </w14:checkbox>
        </w:sdtPr>
        <w:sdtEndPr>
          <w:rPr>
            <w:rFonts w:ascii="宋体" w:hAnsi="宋体" w:hint="eastAsia"/>
            <w:sz w:val="27"/>
            <w:lang w:eastAsia="zh-CN"/>
          </w:rPr>
        </w:sdtEndPr>
        <w:sdtContent>
          <w:r>
            <w:rPr>
              <w:rFonts w:ascii="MS Gothic" w:eastAsia="MS Gothic" w:hAnsi="MS Gothic" w:cs="MS Gothic" w:hint="eastAsia"/>
              <w:sz w:val="27"/>
              <w:lang w:eastAsia="zh-CN"/>
            </w:rPr>
            <w:t>☐</w:t>
          </w:r>
        </w:sdtContent>
      </w:sdt>
      <w:r>
        <w:rPr>
          <w:rFonts w:ascii="宋体" w:hAnsi="宋体" w:hint="eastAsia"/>
          <w:sz w:val="27"/>
          <w:lang w:eastAsia="zh-CN"/>
        </w:rPr>
        <w:t xml:space="preserve"> </w:t>
      </w:r>
      <w:r>
        <w:rPr>
          <w:rFonts w:ascii="宋体" w:hAnsi="宋体" w:hint="eastAsia"/>
          <w:lang w:eastAsia="zh-CN"/>
        </w:rPr>
        <w:t>招标代理机构：</w:t>
      </w:r>
      <w:r>
        <w:rPr>
          <w:rFonts w:ascii="宋体" w:hAnsi="宋体" w:hint="eastAsia"/>
          <w:b/>
          <w:color w:val="00B0F0"/>
          <w:u w:val="single"/>
          <w:lang w:eastAsia="zh-CN"/>
        </w:rPr>
        <w:t xml:space="preserve">         </w:t>
      </w:r>
    </w:p>
    <w:p w14:paraId="5521713E">
      <w:pPr>
        <w:adjustRightInd w:val="0"/>
        <w:snapToGrid w:val="0"/>
        <w:spacing w:line="360" w:lineRule="auto"/>
        <w:ind w:firstLine="240" w:firstLineChars="100"/>
        <w:rPr>
          <w:rFonts w:ascii="宋体" w:hAnsi="宋体"/>
          <w:lang w:eastAsia="zh-CN"/>
        </w:rPr>
      </w:pPr>
      <w:r>
        <w:rPr>
          <w:rFonts w:ascii="宋体" w:hAnsi="宋体" w:hint="eastAsia"/>
          <w:lang w:eastAsia="zh-CN"/>
        </w:rPr>
        <w:t>地    址：</w:t>
      </w:r>
      <w:r>
        <w:rPr>
          <w:rFonts w:ascii="宋体" w:hAnsi="宋体" w:hint="eastAsia"/>
          <w:b/>
          <w:color w:val="00B0F0"/>
          <w:u w:val="single"/>
          <w:lang w:eastAsia="zh-CN"/>
        </w:rPr>
        <w:t xml:space="preserve">         </w:t>
      </w:r>
    </w:p>
    <w:p w14:paraId="5A2B3945">
      <w:pPr>
        <w:adjustRightInd w:val="0"/>
        <w:snapToGrid w:val="0"/>
        <w:spacing w:line="360" w:lineRule="auto"/>
        <w:ind w:firstLine="240" w:firstLineChars="100"/>
        <w:rPr>
          <w:rFonts w:ascii="宋体" w:hAnsi="宋体"/>
          <w:lang w:eastAsia="zh-CN"/>
        </w:rPr>
      </w:pPr>
      <w:r>
        <w:rPr>
          <w:rFonts w:ascii="宋体" w:hAnsi="宋体" w:hint="eastAsia"/>
          <w:lang w:eastAsia="zh-CN"/>
        </w:rPr>
        <w:t>邮    编：</w:t>
      </w:r>
      <w:r>
        <w:rPr>
          <w:rFonts w:ascii="宋体" w:hAnsi="宋体" w:hint="eastAsia"/>
          <w:b/>
          <w:color w:val="00B0F0"/>
          <w:u w:val="single"/>
          <w:lang w:eastAsia="zh-CN"/>
        </w:rPr>
        <w:t xml:space="preserve">         </w:t>
      </w:r>
    </w:p>
    <w:p w14:paraId="5AD53106">
      <w:pPr>
        <w:adjustRightInd w:val="0"/>
        <w:snapToGrid w:val="0"/>
        <w:spacing w:line="360" w:lineRule="auto"/>
        <w:ind w:firstLine="240" w:firstLineChars="100"/>
        <w:rPr>
          <w:rFonts w:ascii="宋体" w:hAnsi="宋体"/>
          <w:lang w:eastAsia="zh-CN"/>
        </w:rPr>
      </w:pPr>
      <w:r>
        <w:rPr>
          <w:rFonts w:ascii="宋体" w:hAnsi="宋体" w:hint="eastAsia"/>
          <w:lang w:eastAsia="zh-CN"/>
        </w:rPr>
        <w:t>联 系 人：</w:t>
      </w:r>
      <w:r>
        <w:rPr>
          <w:rFonts w:ascii="宋体" w:hAnsi="宋体" w:hint="eastAsia"/>
          <w:b/>
          <w:color w:val="00B0F0"/>
          <w:u w:val="single"/>
          <w:lang w:eastAsia="zh-CN"/>
        </w:rPr>
        <w:t xml:space="preserve">         </w:t>
      </w:r>
    </w:p>
    <w:p w14:paraId="32C2DA19">
      <w:pPr>
        <w:adjustRightInd w:val="0"/>
        <w:snapToGrid w:val="0"/>
        <w:spacing w:line="360" w:lineRule="auto"/>
        <w:ind w:firstLine="240" w:firstLineChars="100"/>
        <w:rPr>
          <w:rFonts w:ascii="宋体" w:hAnsi="宋体" w:hint="eastAsia"/>
          <w:highlight w:val="none"/>
          <w:lang w:eastAsia="zh-CN"/>
        </w:rPr>
      </w:pPr>
      <w:r>
        <w:rPr>
          <w:rFonts w:ascii="宋体" w:eastAsia="宋体" w:hAnsi="宋体" w:hint="eastAsia"/>
          <w:sz w:val="24"/>
          <w:szCs w:val="24"/>
          <w:highlight w:val="none"/>
          <w:lang w:val="en-US" w:eastAsia="zh-CN"/>
        </w:rPr>
        <w:t>项目负责人</w:t>
      </w:r>
      <w:r>
        <w:rPr>
          <w:rFonts w:ascii="仿宋" w:eastAsia="仿宋" w:hAnsi="仿宋" w:cs="仿宋" w:hint="eastAsia"/>
          <w:b/>
          <w:bCs/>
          <w:color w:val="auto"/>
          <w:sz w:val="24"/>
          <w:szCs w:val="24"/>
          <w:highlight w:val="none"/>
          <w:lang w:val="en-US" w:eastAsia="zh-CN"/>
        </w:rPr>
        <w:t>：</w:t>
      </w:r>
      <w:r>
        <w:rPr>
          <w:rFonts w:ascii="仿宋" w:eastAsia="仿宋" w:hAnsi="仿宋" w:cs="仿宋" w:hint="eastAsia"/>
          <w:color w:val="auto"/>
          <w:sz w:val="24"/>
          <w:szCs w:val="24"/>
          <w:highlight w:val="none"/>
          <w:u w:val="single"/>
          <w:lang w:val="en-US" w:eastAsia="zh-CN"/>
        </w:rPr>
        <w:t xml:space="preserve"> </w:t>
      </w:r>
      <w:r>
        <w:rPr>
          <w:rFonts w:ascii="宋体" w:hAnsi="宋体" w:hint="eastAsia"/>
          <w:b/>
          <w:color w:val="00B0F0"/>
          <w:u w:val="single"/>
          <w:lang w:eastAsia="zh-CN"/>
        </w:rPr>
        <w:t xml:space="preserve">        </w:t>
      </w:r>
      <w:r>
        <w:rPr>
          <w:rFonts w:ascii="仿宋" w:eastAsia="仿宋" w:hAnsi="仿宋" w:cs="仿宋" w:hint="eastAsia"/>
          <w:color w:val="auto"/>
          <w:sz w:val="24"/>
          <w:szCs w:val="24"/>
          <w:highlight w:val="none"/>
          <w:u w:val="single"/>
          <w:lang w:val="en-US" w:eastAsia="zh-CN"/>
        </w:rPr>
        <w:t xml:space="preserve">  </w:t>
      </w:r>
    </w:p>
    <w:p w14:paraId="2088095C">
      <w:pPr>
        <w:adjustRightInd w:val="0"/>
        <w:snapToGrid w:val="0"/>
        <w:spacing w:line="360" w:lineRule="auto"/>
        <w:ind w:firstLine="240" w:firstLineChars="100"/>
        <w:rPr>
          <w:rFonts w:ascii="宋体" w:hAnsi="宋体"/>
          <w:lang w:eastAsia="zh-CN"/>
        </w:rPr>
      </w:pPr>
      <w:r>
        <w:rPr>
          <w:rFonts w:ascii="宋体" w:hAnsi="宋体" w:hint="eastAsia"/>
          <w:lang w:eastAsia="zh-CN"/>
        </w:rPr>
        <w:t>电    话：</w:t>
      </w:r>
      <w:r>
        <w:rPr>
          <w:rFonts w:ascii="宋体" w:hAnsi="宋体" w:hint="eastAsia"/>
          <w:b/>
          <w:color w:val="00B0F0"/>
          <w:u w:val="single"/>
          <w:lang w:eastAsia="zh-CN"/>
        </w:rPr>
        <w:t xml:space="preserve">         </w:t>
      </w:r>
    </w:p>
    <w:p w14:paraId="6005224F">
      <w:pPr>
        <w:adjustRightInd w:val="0"/>
        <w:snapToGrid w:val="0"/>
        <w:spacing w:line="360" w:lineRule="auto"/>
        <w:ind w:firstLine="240" w:firstLineChars="100"/>
        <w:rPr>
          <w:rFonts w:ascii="宋体" w:hAnsi="宋体"/>
          <w:lang w:eastAsia="zh-CN"/>
        </w:rPr>
      </w:pPr>
      <w:r>
        <w:rPr>
          <w:rFonts w:ascii="宋体" w:hAnsi="宋体" w:hint="eastAsia"/>
          <w:lang w:eastAsia="zh-CN"/>
        </w:rPr>
        <w:t>传    真：</w:t>
      </w:r>
      <w:r>
        <w:rPr>
          <w:rFonts w:ascii="宋体" w:hAnsi="宋体" w:hint="eastAsia"/>
          <w:b/>
          <w:color w:val="00B0F0"/>
          <w:u w:val="single"/>
          <w:lang w:eastAsia="zh-CN"/>
        </w:rPr>
        <w:t xml:space="preserve">         </w:t>
      </w:r>
    </w:p>
    <w:p w14:paraId="461E9450">
      <w:pPr>
        <w:adjustRightInd w:val="0"/>
        <w:snapToGrid w:val="0"/>
        <w:spacing w:line="360" w:lineRule="auto"/>
        <w:ind w:firstLine="240" w:firstLineChars="100"/>
        <w:rPr>
          <w:rFonts w:ascii="宋体" w:hAnsi="宋体"/>
          <w:lang w:eastAsia="zh-CN"/>
        </w:rPr>
      </w:pPr>
      <w:r>
        <w:rPr>
          <w:rFonts w:ascii="宋体" w:hAnsi="宋体" w:hint="eastAsia"/>
          <w:lang w:eastAsia="zh-CN"/>
        </w:rPr>
        <w:t>电子邮件：</w:t>
      </w:r>
      <w:r>
        <w:rPr>
          <w:rFonts w:ascii="宋体" w:hAnsi="宋体" w:hint="eastAsia"/>
          <w:b/>
          <w:color w:val="00B0F0"/>
          <w:u w:val="single"/>
          <w:lang w:eastAsia="zh-CN"/>
        </w:rPr>
        <w:t xml:space="preserve">         </w:t>
      </w:r>
    </w:p>
    <w:p w14:paraId="62914ADC">
      <w:pPr>
        <w:adjustRightInd w:val="0"/>
        <w:snapToGrid w:val="0"/>
        <w:spacing w:line="360" w:lineRule="auto"/>
        <w:ind w:firstLine="240" w:firstLineChars="100"/>
        <w:rPr>
          <w:rFonts w:ascii="宋体" w:hAnsi="宋体"/>
          <w:lang w:eastAsia="zh-CN"/>
        </w:rPr>
      </w:pPr>
      <w:r>
        <w:rPr>
          <w:rFonts w:ascii="宋体" w:hAnsi="宋体" w:hint="eastAsia"/>
          <w:lang w:eastAsia="zh-CN"/>
        </w:rPr>
        <w:t>网    址：</w:t>
      </w:r>
      <w:r>
        <w:rPr>
          <w:rFonts w:ascii="宋体" w:hAnsi="宋体" w:hint="eastAsia"/>
          <w:b/>
          <w:color w:val="00B0F0"/>
          <w:u w:val="single"/>
          <w:lang w:eastAsia="zh-CN"/>
        </w:rPr>
        <w:t xml:space="preserve">         </w:t>
      </w:r>
    </w:p>
    <w:p w14:paraId="6CDFB6DD">
      <w:pPr>
        <w:adjustRightInd w:val="0"/>
        <w:snapToGrid w:val="0"/>
        <w:spacing w:line="360" w:lineRule="auto"/>
        <w:ind w:firstLine="240" w:firstLineChars="100"/>
        <w:rPr>
          <w:rFonts w:ascii="宋体" w:hAnsi="宋体"/>
          <w:lang w:eastAsia="zh-CN"/>
        </w:rPr>
      </w:pPr>
      <w:r>
        <w:rPr>
          <w:rFonts w:ascii="宋体" w:hAnsi="宋体" w:hint="eastAsia"/>
          <w:lang w:eastAsia="zh-CN"/>
        </w:rPr>
        <w:t>开户银行：</w:t>
      </w:r>
      <w:r>
        <w:rPr>
          <w:rFonts w:ascii="宋体" w:hAnsi="宋体" w:hint="eastAsia"/>
          <w:b/>
          <w:color w:val="00B0F0"/>
          <w:u w:val="single"/>
          <w:lang w:eastAsia="zh-CN"/>
        </w:rPr>
        <w:t xml:space="preserve">         </w:t>
      </w:r>
    </w:p>
    <w:p w14:paraId="371EF7BC">
      <w:pPr>
        <w:adjustRightInd w:val="0"/>
        <w:snapToGrid w:val="0"/>
        <w:spacing w:line="360" w:lineRule="auto"/>
        <w:ind w:firstLine="240" w:firstLineChars="100"/>
        <w:rPr>
          <w:rFonts w:ascii="宋体" w:hAnsi="宋体"/>
          <w:lang w:eastAsia="zh-CN"/>
        </w:rPr>
      </w:pPr>
      <w:r>
        <w:rPr>
          <w:rFonts w:ascii="宋体" w:hAnsi="宋体" w:hint="eastAsia"/>
          <w:lang w:eastAsia="zh-CN"/>
        </w:rPr>
        <w:t>账    号：</w:t>
      </w:r>
      <w:r>
        <w:rPr>
          <w:rFonts w:ascii="宋体" w:hAnsi="宋体" w:hint="eastAsia"/>
          <w:b/>
          <w:color w:val="00B0F0"/>
          <w:u w:val="single"/>
          <w:lang w:eastAsia="zh-CN"/>
        </w:rPr>
        <w:t xml:space="preserve">         </w:t>
      </w:r>
    </w:p>
    <w:p w14:paraId="08AC22A6">
      <w:pPr>
        <w:adjustRightInd w:val="0"/>
        <w:snapToGrid w:val="0"/>
        <w:spacing w:line="360" w:lineRule="auto"/>
        <w:jc w:val="center"/>
        <w:rPr>
          <w:rFonts w:ascii="宋体" w:hAnsi="宋体"/>
          <w:lang w:eastAsia="zh-CN"/>
        </w:rPr>
      </w:pPr>
    </w:p>
    <w:p w14:paraId="235705C2">
      <w:pPr>
        <w:adjustRightInd w:val="0"/>
        <w:snapToGrid w:val="0"/>
        <w:spacing w:line="360" w:lineRule="auto"/>
        <w:jc w:val="right"/>
        <w:rPr>
          <w:rFonts w:ascii="宋体" w:hAnsi="宋体"/>
          <w:lang w:eastAsia="zh-CN"/>
        </w:rPr>
      </w:pPr>
      <w:r>
        <w:rPr>
          <w:rFonts w:ascii="宋体" w:hAnsi="宋体" w:hint="eastAsia"/>
          <w:b/>
          <w:color w:val="00B0F0"/>
          <w:u w:val="single"/>
          <w:lang w:eastAsia="zh-CN"/>
        </w:rPr>
        <w:t xml:space="preserve">     </w:t>
      </w:r>
      <w:r>
        <w:rPr>
          <w:rFonts w:ascii="宋体" w:hAnsi="宋体" w:hint="eastAsia"/>
          <w:lang w:eastAsia="zh-CN"/>
        </w:rPr>
        <w:t>年</w:t>
      </w:r>
      <w:r>
        <w:rPr>
          <w:rFonts w:ascii="宋体" w:hAnsi="宋体" w:hint="eastAsia"/>
          <w:b/>
          <w:color w:val="00B0F0"/>
          <w:u w:val="single"/>
          <w:lang w:eastAsia="zh-CN"/>
        </w:rPr>
        <w:t xml:space="preserve">     </w:t>
      </w:r>
      <w:r>
        <w:rPr>
          <w:rFonts w:ascii="宋体" w:hAnsi="宋体" w:hint="eastAsia"/>
          <w:lang w:eastAsia="zh-CN"/>
        </w:rPr>
        <w:t>月</w:t>
      </w:r>
      <w:r>
        <w:rPr>
          <w:rFonts w:ascii="宋体" w:hAnsi="宋体" w:hint="eastAsia"/>
          <w:b/>
          <w:color w:val="00B0F0"/>
          <w:u w:val="single"/>
          <w:lang w:eastAsia="zh-CN"/>
        </w:rPr>
        <w:t xml:space="preserve">     </w:t>
      </w:r>
      <w:r>
        <w:rPr>
          <w:rFonts w:ascii="宋体" w:hAnsi="宋体" w:hint="eastAsia"/>
          <w:lang w:eastAsia="zh-CN"/>
        </w:rPr>
        <w:t>日</w:t>
      </w:r>
    </w:p>
    <w:p w14:paraId="7FBF2C32">
      <w:pPr>
        <w:adjustRightInd w:val="0"/>
        <w:snapToGrid w:val="0"/>
        <w:spacing w:line="360" w:lineRule="auto"/>
        <w:ind w:right="480"/>
        <w:jc w:val="right"/>
        <w:rPr>
          <w:rFonts w:ascii="宋体" w:hAnsi="宋体"/>
          <w:lang w:eastAsia="zh-CN"/>
        </w:rPr>
      </w:pPr>
    </w:p>
    <w:p w14:paraId="206AC227">
      <w:pPr>
        <w:adjustRightInd w:val="0"/>
        <w:snapToGrid w:val="0"/>
        <w:spacing w:line="360" w:lineRule="auto"/>
        <w:rPr>
          <w:rFonts w:ascii="Calibri" w:hAnsi="Calibri"/>
          <w:lang w:eastAsia="zh-CN"/>
        </w:rPr>
      </w:pPr>
      <w:r>
        <w:rPr>
          <w:rFonts w:ascii="宋体" w:hAnsi="宋体" w:hint="eastAsia"/>
          <w:lang w:eastAsia="zh-CN"/>
        </w:rPr>
        <w:t>注：</w:t>
      </w:r>
    </w:p>
    <w:p w14:paraId="37020EA4">
      <w:pPr>
        <w:adjustRightInd w:val="0"/>
        <w:snapToGrid w:val="0"/>
        <w:spacing w:line="360" w:lineRule="auto"/>
        <w:ind w:firstLine="480" w:firstLineChars="200"/>
        <w:rPr>
          <w:lang w:eastAsia="zh-CN"/>
        </w:rPr>
      </w:pPr>
      <w:r>
        <w:rPr>
          <w:rFonts w:ascii="宋体" w:hAnsi="宋体" w:hint="eastAsia"/>
          <w:lang w:eastAsia="zh-CN"/>
        </w:rPr>
        <w:t>（</w:t>
      </w:r>
      <w:r>
        <w:rPr>
          <w:lang w:eastAsia="zh-CN"/>
        </w:rPr>
        <w:t>1</w:t>
      </w:r>
      <w:r>
        <w:rPr>
          <w:rFonts w:ascii="宋体" w:hAnsi="宋体" w:hint="eastAsia"/>
          <w:lang w:eastAsia="zh-CN"/>
        </w:rPr>
        <w:t>）若划分标段，则填写标段序号；若划分为两个及以上标段，应分别明确各标段的具体内容、划分情况。</w:t>
      </w:r>
    </w:p>
    <w:p w14:paraId="0C3CDD50">
      <w:pPr>
        <w:adjustRightInd w:val="0"/>
        <w:snapToGrid w:val="0"/>
        <w:spacing w:line="360" w:lineRule="auto"/>
        <w:ind w:firstLine="480" w:firstLineChars="200"/>
        <w:rPr>
          <w:lang w:eastAsia="zh-CN"/>
        </w:rPr>
      </w:pPr>
      <w:r>
        <w:rPr>
          <w:rFonts w:ascii="宋体" w:hAnsi="宋体" w:hint="eastAsia"/>
          <w:lang w:eastAsia="zh-CN"/>
        </w:rPr>
        <w:t>（</w:t>
      </w:r>
      <w:r>
        <w:rPr>
          <w:lang w:eastAsia="zh-CN"/>
        </w:rPr>
        <w:t>2</w:t>
      </w:r>
      <w:r>
        <w:rPr>
          <w:rFonts w:ascii="宋体" w:hAnsi="宋体" w:hint="eastAsia"/>
          <w:lang w:eastAsia="zh-CN"/>
        </w:rPr>
        <w:t>）招标人对投标人的资质要求，应是国家对投标人资质的强制性规定。不是国家规定必须具备的资质，不得作为资质要求。</w:t>
      </w:r>
    </w:p>
    <w:p w14:paraId="2E5DD16B">
      <w:pPr>
        <w:adjustRightInd w:val="0"/>
        <w:snapToGrid w:val="0"/>
        <w:spacing w:line="360" w:lineRule="auto"/>
        <w:ind w:firstLine="480" w:firstLineChars="200"/>
        <w:rPr>
          <w:lang w:eastAsia="zh-CN"/>
        </w:rPr>
      </w:pPr>
      <w:r>
        <w:rPr>
          <w:rFonts w:ascii="宋体" w:hAnsi="宋体" w:hint="eastAsia"/>
          <w:lang w:eastAsia="zh-CN"/>
        </w:rPr>
        <w:t>（</w:t>
      </w:r>
      <w:r>
        <w:rPr>
          <w:lang w:eastAsia="zh-CN"/>
        </w:rPr>
        <w:t>3</w:t>
      </w:r>
      <w:r>
        <w:rPr>
          <w:rFonts w:ascii="宋体" w:hAnsi="宋体" w:hint="eastAsia"/>
          <w:lang w:eastAsia="zh-CN"/>
        </w:rPr>
        <w:t>）招标人对投标人的类似项目业绩要求，设置的投资额、面积、长度等规模量化指标不得高于本次招标工程相应指标，类似项目业绩的定义应明确，用语准确无歧义。</w:t>
      </w:r>
    </w:p>
    <w:p w14:paraId="712167B6">
      <w:pPr>
        <w:adjustRightInd w:val="0"/>
        <w:snapToGrid w:val="0"/>
        <w:spacing w:line="360" w:lineRule="auto"/>
        <w:ind w:firstLine="480" w:firstLineChars="200"/>
        <w:rPr>
          <w:rFonts w:ascii="宋体" w:hAnsi="宋体"/>
          <w:lang w:eastAsia="zh-CN"/>
        </w:rPr>
      </w:pPr>
      <w:r>
        <w:rPr>
          <w:rFonts w:ascii="宋体" w:hAnsi="宋体" w:hint="eastAsia"/>
          <w:lang w:eastAsia="zh-CN"/>
        </w:rPr>
        <w:t>（</w:t>
      </w:r>
      <w:r>
        <w:rPr>
          <w:lang w:eastAsia="zh-CN"/>
        </w:rPr>
        <w:t>4</w:t>
      </w:r>
      <w:r>
        <w:rPr>
          <w:rFonts w:ascii="宋体" w:hAnsi="宋体" w:hint="eastAsia"/>
          <w:lang w:eastAsia="zh-CN"/>
        </w:rPr>
        <w:t>）招标人要求投标人需具备的资质一个项目（标段）为一个，因特殊情况需要两个以上资质的，应当接受投标人组成联合体投标，</w:t>
      </w:r>
      <w:r>
        <w:rPr>
          <w:rFonts w:ascii="宋体" w:hAnsi="宋体" w:cs="宋体" w:hint="eastAsia"/>
          <w:lang w:eastAsia="zh-CN"/>
        </w:rPr>
        <w:t>且限定的联合体成员数量不得少于设定的资质个数。</w:t>
      </w:r>
    </w:p>
    <w:p w14:paraId="0F325558">
      <w:pPr>
        <w:spacing w:line="360" w:lineRule="auto"/>
        <w:rPr>
          <w:rFonts w:ascii="宋体" w:hAnsi="宋体"/>
          <w:lang w:eastAsia="zh-CN"/>
        </w:rPr>
        <w:sectPr>
          <w:pgSz w:w="11906" w:h="16838"/>
          <w:pgMar w:top="1417" w:right="1417" w:bottom="1417" w:left="1417" w:header="851" w:footer="850" w:gutter="0"/>
          <w:cols w:num="1" w:space="720"/>
          <w:docGrid w:type="lines" w:linePitch="312" w:charSpace="0"/>
        </w:sectPr>
      </w:pPr>
    </w:p>
    <w:p w14:paraId="76E6D9E4">
      <w:pPr>
        <w:spacing w:line="360" w:lineRule="auto"/>
        <w:rPr>
          <w:rFonts w:ascii="宋体" w:hAnsi="宋体" w:cs="宋体"/>
          <w:lang w:eastAsia="zh-CN"/>
        </w:rPr>
      </w:pPr>
      <w:r>
        <w:rPr>
          <w:rFonts w:ascii="宋体" w:hAnsi="宋体" w:cs="宋体" w:hint="eastAsia"/>
          <w:lang w:eastAsia="zh-CN"/>
        </w:rPr>
        <w:t>附件：确认通知</w:t>
      </w:r>
    </w:p>
    <w:p w14:paraId="30DC750E">
      <w:pPr>
        <w:spacing w:line="360" w:lineRule="auto"/>
        <w:jc w:val="center"/>
        <w:rPr>
          <w:rFonts w:ascii="宋体" w:hAnsi="宋体" w:cs="宋体"/>
          <w:b/>
          <w:bCs/>
          <w:lang w:eastAsia="zh-CN"/>
        </w:rPr>
      </w:pPr>
    </w:p>
    <w:p w14:paraId="2FC1641B">
      <w:pPr>
        <w:spacing w:line="360" w:lineRule="auto"/>
        <w:jc w:val="center"/>
        <w:rPr>
          <w:rFonts w:ascii="宋体" w:hAnsi="宋体" w:cs="宋体"/>
          <w:b/>
          <w:bCs/>
          <w:lang w:eastAsia="zh-CN"/>
        </w:rPr>
      </w:pPr>
      <w:bookmarkStart w:id="6" w:name="_Toc27914_WPSOffice_Level1"/>
      <w:r>
        <w:rPr>
          <w:rFonts w:ascii="宋体" w:hAnsi="宋体" w:cs="宋体" w:hint="eastAsia"/>
          <w:b/>
          <w:bCs/>
          <w:lang w:eastAsia="zh-CN"/>
        </w:rPr>
        <w:t>确认通知</w:t>
      </w:r>
      <w:bookmarkEnd w:id="6"/>
    </w:p>
    <w:p w14:paraId="102D51A7">
      <w:pPr>
        <w:spacing w:line="360" w:lineRule="auto"/>
        <w:jc w:val="center"/>
        <w:rPr>
          <w:rFonts w:ascii="宋体" w:hAnsi="宋体" w:cs="宋体"/>
          <w:b/>
          <w:bCs/>
          <w:lang w:eastAsia="zh-CN"/>
        </w:rPr>
      </w:pPr>
    </w:p>
    <w:p w14:paraId="465EC723">
      <w:pPr>
        <w:spacing w:line="360" w:lineRule="auto"/>
        <w:rPr>
          <w:rFonts w:ascii="宋体" w:hAnsi="宋体" w:cs="宋体"/>
          <w:b/>
          <w:bCs/>
          <w:lang w:eastAsia="zh-CN"/>
        </w:rPr>
      </w:pPr>
      <w:r>
        <w:rPr>
          <w:rFonts w:ascii="宋体" w:hAnsi="宋体" w:cs="宋体" w:hint="eastAsia"/>
          <w:b/>
          <w:u w:val="single"/>
          <w:lang w:eastAsia="zh-CN"/>
        </w:rPr>
        <w:t xml:space="preserve">                           </w:t>
      </w:r>
      <w:r>
        <w:rPr>
          <w:rFonts w:ascii="宋体" w:hAnsi="宋体" w:cs="宋体" w:hint="eastAsia"/>
          <w:b/>
          <w:lang w:eastAsia="zh-CN"/>
        </w:rPr>
        <w:t>（招标人名称）：</w:t>
      </w:r>
    </w:p>
    <w:p w14:paraId="7EB9332C">
      <w:pPr>
        <w:adjustRightInd w:val="0"/>
        <w:snapToGrid w:val="0"/>
        <w:spacing w:line="360" w:lineRule="auto"/>
        <w:rPr>
          <w:rFonts w:ascii="宋体" w:hAnsi="宋体" w:cs="宋体"/>
          <w:lang w:eastAsia="zh-CN"/>
        </w:rPr>
      </w:pPr>
    </w:p>
    <w:p w14:paraId="38618075">
      <w:pPr>
        <w:adjustRightInd w:val="0"/>
        <w:snapToGrid w:val="0"/>
        <w:spacing w:line="360" w:lineRule="auto"/>
        <w:ind w:firstLine="480" w:firstLineChars="200"/>
        <w:rPr>
          <w:rFonts w:ascii="宋体" w:hAnsi="宋体" w:cs="宋体"/>
          <w:lang w:eastAsia="zh-CN"/>
        </w:rPr>
      </w:pPr>
      <w:r>
        <w:rPr>
          <w:rFonts w:ascii="宋体" w:hAnsi="宋体" w:cs="宋体" w:hint="eastAsia"/>
          <w:lang w:eastAsia="zh-CN"/>
        </w:rPr>
        <w:t>我方已于</w:t>
      </w:r>
      <w:r>
        <w:rPr>
          <w:rFonts w:ascii="宋体" w:hAnsi="宋体" w:cs="宋体" w:hint="eastAsia"/>
          <w:b/>
          <w:u w:val="single"/>
          <w:lang w:eastAsia="zh-CN"/>
        </w:rPr>
        <w:t xml:space="preserve">   </w:t>
      </w:r>
      <w:r>
        <w:rPr>
          <w:rFonts w:ascii="宋体" w:hAnsi="宋体" w:cs="宋体" w:hint="eastAsia"/>
          <w:lang w:eastAsia="zh-CN"/>
        </w:rPr>
        <w:t>年</w:t>
      </w:r>
      <w:r>
        <w:rPr>
          <w:rFonts w:ascii="宋体" w:hAnsi="宋体" w:cs="宋体" w:hint="eastAsia"/>
          <w:b/>
          <w:u w:val="single"/>
          <w:lang w:eastAsia="zh-CN"/>
        </w:rPr>
        <w:t xml:space="preserve">  </w:t>
      </w:r>
      <w:r>
        <w:rPr>
          <w:rFonts w:ascii="宋体" w:hAnsi="宋体" w:cs="宋体" w:hint="eastAsia"/>
          <w:lang w:eastAsia="zh-CN"/>
        </w:rPr>
        <w:t>月</w:t>
      </w:r>
      <w:r>
        <w:rPr>
          <w:rFonts w:ascii="宋体" w:hAnsi="宋体" w:cs="宋体" w:hint="eastAsia"/>
          <w:b/>
          <w:u w:val="single"/>
          <w:lang w:eastAsia="zh-CN"/>
        </w:rPr>
        <w:t xml:space="preserve">  </w:t>
      </w:r>
      <w:r>
        <w:rPr>
          <w:rFonts w:ascii="宋体" w:hAnsi="宋体" w:cs="宋体" w:hint="eastAsia"/>
          <w:lang w:eastAsia="zh-CN"/>
        </w:rPr>
        <w:t>日收到你方</w:t>
      </w:r>
      <w:r>
        <w:rPr>
          <w:rFonts w:ascii="宋体" w:hAnsi="宋体" w:cs="宋体" w:hint="eastAsia"/>
          <w:b/>
          <w:u w:val="single"/>
          <w:lang w:eastAsia="zh-CN"/>
        </w:rPr>
        <w:t xml:space="preserve">  </w:t>
      </w:r>
      <w:r>
        <w:rPr>
          <w:rFonts w:ascii="宋体" w:hAnsi="宋体" w:cs="宋体" w:hint="eastAsia"/>
          <w:lang w:eastAsia="zh-CN"/>
        </w:rPr>
        <w:t>年</w:t>
      </w:r>
      <w:r>
        <w:rPr>
          <w:rFonts w:ascii="宋体" w:hAnsi="宋体" w:cs="宋体" w:hint="eastAsia"/>
          <w:b/>
          <w:u w:val="single"/>
          <w:lang w:eastAsia="zh-CN"/>
        </w:rPr>
        <w:t xml:space="preserve">  </w:t>
      </w:r>
      <w:r>
        <w:rPr>
          <w:rFonts w:ascii="宋体" w:hAnsi="宋体" w:cs="宋体" w:hint="eastAsia"/>
          <w:lang w:eastAsia="zh-CN"/>
        </w:rPr>
        <w:t>月</w:t>
      </w:r>
      <w:r>
        <w:rPr>
          <w:rFonts w:ascii="宋体" w:hAnsi="宋体" w:cs="宋体" w:hint="eastAsia"/>
          <w:b/>
          <w:u w:val="single"/>
          <w:lang w:eastAsia="zh-CN"/>
        </w:rPr>
        <w:t xml:space="preserve">  </w:t>
      </w:r>
      <w:r>
        <w:rPr>
          <w:rFonts w:ascii="宋体" w:hAnsi="宋体" w:cs="宋体" w:hint="eastAsia"/>
          <w:lang w:eastAsia="zh-CN"/>
        </w:rPr>
        <w:t>日发出的</w:t>
      </w:r>
      <w:r>
        <w:rPr>
          <w:rFonts w:ascii="宋体" w:hAnsi="宋体" w:hint="eastAsia"/>
          <w:b/>
          <w:u w:val="single"/>
          <w:lang w:eastAsia="zh-CN"/>
        </w:rPr>
        <w:t xml:space="preserve">          </w:t>
      </w:r>
      <w:r>
        <w:rPr>
          <w:rFonts w:ascii="宋体" w:hAnsi="宋体" w:hint="eastAsia"/>
          <w:lang w:eastAsia="zh-CN"/>
        </w:rPr>
        <w:t>(项目名称)施工</w:t>
      </w:r>
      <w:r>
        <w:rPr>
          <w:rFonts w:ascii="宋体" w:hAnsi="宋体" w:hint="eastAsia"/>
          <w:b/>
          <w:u w:val="single"/>
          <w:lang w:eastAsia="zh-CN"/>
        </w:rPr>
        <w:t xml:space="preserve">   </w:t>
      </w:r>
      <w:r>
        <w:rPr>
          <w:rFonts w:ascii="宋体" w:hAnsi="宋体" w:cs="宋体" w:hint="eastAsia"/>
          <w:lang w:eastAsia="zh-CN"/>
        </w:rPr>
        <w:t>标段招标的投标邀请书，并确认</w:t>
      </w:r>
      <w:r>
        <w:rPr>
          <w:rFonts w:ascii="宋体" w:hAnsi="宋体" w:cs="宋体" w:hint="eastAsia"/>
          <w:b/>
          <w:u w:val="single"/>
          <w:lang w:eastAsia="zh-CN"/>
        </w:rPr>
        <w:t xml:space="preserve">          </w:t>
      </w:r>
      <w:r>
        <w:rPr>
          <w:rFonts w:ascii="宋体" w:hAnsi="宋体" w:cs="宋体" w:hint="eastAsia"/>
          <w:bCs/>
          <w:lang w:eastAsia="zh-CN"/>
        </w:rPr>
        <w:t>（参加/不参加）投标</w:t>
      </w:r>
      <w:r>
        <w:rPr>
          <w:rFonts w:ascii="宋体" w:hAnsi="宋体" w:cs="宋体" w:hint="eastAsia"/>
          <w:lang w:eastAsia="zh-CN"/>
        </w:rPr>
        <w:t>。</w:t>
      </w:r>
    </w:p>
    <w:p w14:paraId="7E5F8936">
      <w:pPr>
        <w:spacing w:line="360" w:lineRule="auto"/>
        <w:ind w:firstLine="480" w:firstLineChars="200"/>
        <w:rPr>
          <w:rFonts w:ascii="宋体" w:hAnsi="宋体" w:cs="宋体"/>
          <w:lang w:eastAsia="zh-CN"/>
        </w:rPr>
      </w:pPr>
      <w:r>
        <w:rPr>
          <w:rFonts w:ascii="宋体" w:hAnsi="宋体" w:cs="宋体" w:hint="eastAsia"/>
          <w:lang w:eastAsia="zh-CN"/>
        </w:rPr>
        <w:t>特此确认。</w:t>
      </w:r>
    </w:p>
    <w:p w14:paraId="77505937">
      <w:pPr>
        <w:spacing w:line="360" w:lineRule="auto"/>
        <w:ind w:firstLine="480" w:firstLineChars="200"/>
        <w:rPr>
          <w:rFonts w:ascii="宋体" w:hAnsi="宋体" w:cs="宋体"/>
          <w:lang w:eastAsia="zh-CN"/>
        </w:rPr>
      </w:pPr>
    </w:p>
    <w:p w14:paraId="01006D1D">
      <w:pPr>
        <w:spacing w:line="360" w:lineRule="auto"/>
        <w:ind w:firstLine="480" w:firstLineChars="200"/>
        <w:rPr>
          <w:rFonts w:ascii="宋体" w:hAnsi="宋体" w:cs="宋体"/>
          <w:lang w:eastAsia="zh-CN"/>
        </w:rPr>
      </w:pPr>
    </w:p>
    <w:p w14:paraId="763A0584">
      <w:pPr>
        <w:spacing w:line="360" w:lineRule="auto"/>
        <w:ind w:firstLine="480" w:firstLineChars="200"/>
        <w:rPr>
          <w:rFonts w:ascii="宋体" w:hAnsi="宋体" w:cs="宋体"/>
          <w:lang w:eastAsia="zh-CN"/>
        </w:rPr>
      </w:pPr>
    </w:p>
    <w:p w14:paraId="01B4CAF4">
      <w:pPr>
        <w:adjustRightInd w:val="0"/>
        <w:snapToGrid w:val="0"/>
        <w:spacing w:line="360" w:lineRule="auto"/>
        <w:jc w:val="right"/>
        <w:rPr>
          <w:rFonts w:ascii="宋体" w:hAnsi="宋体"/>
          <w:bCs/>
          <w:lang w:eastAsia="zh-CN"/>
        </w:rPr>
      </w:pPr>
      <w:r>
        <w:rPr>
          <w:rFonts w:ascii="宋体" w:hAnsi="宋体" w:hint="eastAsia"/>
          <w:bCs/>
          <w:lang w:eastAsia="zh-CN"/>
        </w:rPr>
        <w:t>被邀请单位名称：</w:t>
      </w:r>
      <w:r>
        <w:rPr>
          <w:rFonts w:ascii="宋体" w:hAnsi="宋体" w:hint="eastAsia"/>
          <w:bCs/>
          <w:u w:val="single"/>
          <w:lang w:eastAsia="zh-CN"/>
        </w:rPr>
        <w:t xml:space="preserve">                 </w:t>
      </w:r>
      <w:r>
        <w:rPr>
          <w:rFonts w:ascii="宋体" w:hAnsi="宋体" w:hint="eastAsia"/>
          <w:bCs/>
          <w:lang w:eastAsia="zh-CN"/>
        </w:rPr>
        <w:t>（盖 单 位章）</w:t>
      </w:r>
    </w:p>
    <w:p w14:paraId="4DD4428E">
      <w:pPr>
        <w:adjustRightInd w:val="0"/>
        <w:snapToGrid w:val="0"/>
        <w:spacing w:line="360" w:lineRule="auto"/>
        <w:jc w:val="right"/>
        <w:rPr>
          <w:rFonts w:ascii="宋体" w:hAnsi="宋体"/>
          <w:bCs/>
          <w:lang w:eastAsia="zh-CN"/>
        </w:rPr>
      </w:pPr>
      <w:r>
        <w:rPr>
          <w:rFonts w:ascii="宋体" w:hAnsi="宋体" w:hint="eastAsia"/>
          <w:bCs/>
          <w:lang w:eastAsia="zh-CN"/>
        </w:rPr>
        <w:t>法定代表人：</w:t>
      </w:r>
      <w:r>
        <w:rPr>
          <w:rFonts w:ascii="宋体" w:hAnsi="宋体" w:hint="eastAsia"/>
          <w:bCs/>
          <w:u w:val="single"/>
          <w:lang w:eastAsia="zh-CN"/>
        </w:rPr>
        <w:t xml:space="preserve">                 </w:t>
      </w:r>
      <w:r>
        <w:rPr>
          <w:rFonts w:ascii="宋体" w:hAnsi="宋体" w:hint="eastAsia"/>
          <w:bCs/>
          <w:lang w:eastAsia="zh-CN"/>
        </w:rPr>
        <w:t>（签      字）</w:t>
      </w:r>
    </w:p>
    <w:p w14:paraId="51A7A4FE">
      <w:pPr>
        <w:rPr>
          <w:rFonts w:ascii="宋体" w:hAnsi="宋体" w:cs="宋体"/>
          <w:color w:val="FF0000"/>
          <w:lang w:eastAsia="zh-CN"/>
        </w:rPr>
      </w:pPr>
      <w:r>
        <w:rPr>
          <w:rFonts w:ascii="宋体" w:hAnsi="宋体" w:hint="eastAsia"/>
          <w:b/>
          <w:lang w:eastAsia="zh-CN"/>
        </w:rPr>
        <w:t xml:space="preserve">                                                  </w:t>
      </w:r>
      <w:r>
        <w:rPr>
          <w:rFonts w:ascii="宋体" w:hAnsi="宋体" w:hint="eastAsia"/>
          <w:b/>
          <w:u w:val="single"/>
          <w:lang w:eastAsia="zh-CN"/>
        </w:rPr>
        <w:t xml:space="preserve">     </w:t>
      </w:r>
      <w:r>
        <w:rPr>
          <w:rFonts w:ascii="宋体" w:hAnsi="宋体" w:hint="eastAsia"/>
          <w:lang w:eastAsia="zh-CN"/>
        </w:rPr>
        <w:t>年</w:t>
      </w:r>
      <w:r>
        <w:rPr>
          <w:rFonts w:ascii="宋体" w:hAnsi="宋体" w:hint="eastAsia"/>
          <w:b/>
          <w:u w:val="single"/>
          <w:lang w:eastAsia="zh-CN"/>
        </w:rPr>
        <w:t xml:space="preserve">   </w:t>
      </w:r>
      <w:r>
        <w:rPr>
          <w:rFonts w:ascii="宋体" w:hAnsi="宋体" w:hint="eastAsia"/>
          <w:lang w:eastAsia="zh-CN"/>
        </w:rPr>
        <w:t>月</w:t>
      </w:r>
      <w:r>
        <w:rPr>
          <w:rFonts w:ascii="宋体" w:hAnsi="宋体" w:hint="eastAsia"/>
          <w:b/>
          <w:u w:val="single"/>
          <w:lang w:eastAsia="zh-CN"/>
        </w:rPr>
        <w:t xml:space="preserve">   </w:t>
      </w:r>
      <w:r>
        <w:rPr>
          <w:rFonts w:ascii="宋体" w:hAnsi="宋体" w:hint="eastAsia"/>
          <w:lang w:eastAsia="zh-CN"/>
        </w:rPr>
        <w:t>日</w:t>
      </w:r>
    </w:p>
    <w:p w14:paraId="09825FA2">
      <w:pPr>
        <w:spacing w:line="360" w:lineRule="auto"/>
        <w:rPr>
          <w:rFonts w:ascii="宋体" w:hAnsi="宋体" w:cs="宋体"/>
          <w:color w:val="FF0000"/>
          <w:lang w:eastAsia="zh-CN"/>
        </w:rPr>
        <w:sectPr>
          <w:pgSz w:w="11906" w:h="16838"/>
          <w:pgMar w:top="1440" w:right="1080" w:bottom="1440" w:left="1080" w:header="851" w:footer="850" w:gutter="0"/>
          <w:cols w:num="1" w:space="720"/>
          <w:docGrid w:type="lines" w:linePitch="312" w:charSpace="0"/>
        </w:sectPr>
      </w:pPr>
    </w:p>
    <w:p w14:paraId="10BEDE5B">
      <w:pPr>
        <w:spacing w:line="360" w:lineRule="auto"/>
        <w:rPr>
          <w:rFonts w:ascii="宋体" w:hAnsi="宋体"/>
          <w:szCs w:val="22"/>
          <w:lang w:eastAsia="zh-CN"/>
        </w:rPr>
      </w:pPr>
    </w:p>
    <w:p w14:paraId="7033E2F5">
      <w:pPr>
        <w:pStyle w:val="Heading10"/>
        <w:spacing w:line="396" w:lineRule="auto"/>
        <w:jc w:val="center"/>
        <w:rPr>
          <w:rFonts w:ascii="宋体" w:hAnsi="宋体"/>
          <w:sz w:val="32"/>
          <w:szCs w:val="32"/>
          <w:lang w:eastAsia="zh-CN"/>
        </w:rPr>
      </w:pPr>
      <w:r>
        <w:rPr>
          <w:rFonts w:ascii="宋体" w:hAnsi="宋体" w:hint="eastAsia"/>
          <w:sz w:val="32"/>
          <w:szCs w:val="32"/>
          <w:lang w:eastAsia="zh-CN"/>
        </w:rPr>
        <w:t>第二章 投标人须知</w:t>
      </w:r>
    </w:p>
    <w:p w14:paraId="57BFB86C">
      <w:pPr>
        <w:pStyle w:val="Heading2"/>
        <w:spacing w:line="36" w:lineRule="auto"/>
        <w:jc w:val="center"/>
        <w:rPr>
          <w:rFonts w:ascii="宋体" w:hAnsi="宋体"/>
          <w:sz w:val="28"/>
          <w:szCs w:val="28"/>
        </w:rPr>
      </w:pPr>
      <w:bookmarkStart w:id="7" w:name="_Toc256000001"/>
      <w:r>
        <w:rPr>
          <w:rFonts w:ascii="宋体" w:hAnsi="宋体" w:hint="eastAsia"/>
          <w:sz w:val="28"/>
          <w:szCs w:val="28"/>
        </w:rPr>
        <w:t>投标人须知前附表</w:t>
      </w:r>
      <w:bookmarkEnd w:id="7"/>
    </w:p>
    <w:tbl>
      <w:tblPr>
        <w:tblStyle w:val="TableNormal"/>
        <w:tblW w:w="15173" w:type="dxa"/>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1050"/>
        <w:gridCol w:w="2069"/>
        <w:gridCol w:w="6027"/>
        <w:gridCol w:w="46"/>
        <w:gridCol w:w="5981"/>
      </w:tblGrid>
      <w:tr w14:paraId="7618D7A8">
        <w:tblPrEx>
          <w:tblW w:w="15173" w:type="dxa"/>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gridAfter w:val="2"/>
          <w:wAfter w:w="6027" w:type="dxa"/>
          <w:trHeight w:val="740"/>
        </w:trPr>
        <w:tc>
          <w:tcPr>
            <w:tcW w:w="1050" w:type="dxa"/>
            <w:tcBorders>
              <w:top w:val="single" w:sz="2" w:space="0" w:color="auto"/>
              <w:left w:val="single" w:sz="2" w:space="0" w:color="auto"/>
              <w:bottom w:val="single" w:sz="2" w:space="0" w:color="auto"/>
              <w:right w:val="single" w:sz="2" w:space="0" w:color="auto"/>
            </w:tcBorders>
            <w:vAlign w:val="center"/>
          </w:tcPr>
          <w:p w14:paraId="49BE2414">
            <w:pPr>
              <w:spacing w:line="360" w:lineRule="auto"/>
              <w:jc w:val="center"/>
              <w:rPr>
                <w:rFonts w:ascii="宋体" w:hAnsi="宋体"/>
                <w:b/>
              </w:rPr>
            </w:pPr>
            <w:r>
              <w:rPr>
                <w:rFonts w:ascii="宋体" w:hAnsi="宋体" w:hint="eastAsia"/>
                <w:b/>
              </w:rPr>
              <w:t>条款号</w:t>
            </w:r>
          </w:p>
        </w:tc>
        <w:tc>
          <w:tcPr>
            <w:tcW w:w="2069" w:type="dxa"/>
            <w:tcBorders>
              <w:top w:val="single" w:sz="2" w:space="0" w:color="auto"/>
              <w:left w:val="single" w:sz="2" w:space="0" w:color="auto"/>
              <w:bottom w:val="single" w:sz="2" w:space="0" w:color="auto"/>
              <w:right w:val="single" w:sz="2" w:space="0" w:color="auto"/>
            </w:tcBorders>
            <w:vAlign w:val="center"/>
          </w:tcPr>
          <w:p w14:paraId="07A1FB58">
            <w:pPr>
              <w:spacing w:line="360" w:lineRule="auto"/>
              <w:jc w:val="center"/>
              <w:rPr>
                <w:rFonts w:ascii="宋体" w:hAnsi="宋体"/>
                <w:b/>
              </w:rPr>
            </w:pPr>
            <w:r>
              <w:rPr>
                <w:rFonts w:ascii="宋体" w:hAnsi="宋体" w:hint="eastAsia"/>
                <w:b/>
              </w:rPr>
              <w:t>条款名称</w:t>
            </w:r>
          </w:p>
        </w:tc>
        <w:tc>
          <w:tcPr>
            <w:tcW w:w="6027" w:type="dxa"/>
            <w:tcBorders>
              <w:top w:val="single" w:sz="2" w:space="0" w:color="auto"/>
              <w:left w:val="single" w:sz="2" w:space="0" w:color="auto"/>
              <w:bottom w:val="single" w:sz="2" w:space="0" w:color="auto"/>
              <w:right w:val="single" w:sz="2" w:space="0" w:color="auto"/>
            </w:tcBorders>
            <w:vAlign w:val="center"/>
          </w:tcPr>
          <w:p w14:paraId="6A4C71AF">
            <w:pPr>
              <w:spacing w:line="360" w:lineRule="auto"/>
              <w:jc w:val="center"/>
              <w:rPr>
                <w:rFonts w:ascii="宋体" w:hAnsi="宋体"/>
                <w:b/>
              </w:rPr>
            </w:pPr>
            <w:r>
              <w:rPr>
                <w:rFonts w:ascii="宋体" w:hAnsi="宋体" w:hint="eastAsia"/>
                <w:b/>
              </w:rPr>
              <w:t>编列内容</w:t>
            </w:r>
          </w:p>
        </w:tc>
      </w:tr>
      <w:tr w14:paraId="7553B183">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79D61FD0">
            <w:pPr>
              <w:spacing w:line="360" w:lineRule="auto"/>
              <w:jc w:val="center"/>
              <w:rPr>
                <w:rFonts w:ascii="宋体" w:hAnsi="宋体"/>
              </w:rPr>
            </w:pPr>
            <w:r>
              <w:rPr>
                <w:rFonts w:ascii="宋体" w:hAnsi="宋体" w:hint="eastAsia"/>
              </w:rPr>
              <w:t>1.1.2</w:t>
            </w:r>
          </w:p>
        </w:tc>
        <w:tc>
          <w:tcPr>
            <w:tcW w:w="2069" w:type="dxa"/>
            <w:tcBorders>
              <w:top w:val="single" w:sz="2" w:space="0" w:color="auto"/>
              <w:left w:val="single" w:sz="2" w:space="0" w:color="auto"/>
              <w:bottom w:val="single" w:sz="2" w:space="0" w:color="auto"/>
              <w:right w:val="single" w:sz="2" w:space="0" w:color="auto"/>
            </w:tcBorders>
            <w:vAlign w:val="center"/>
          </w:tcPr>
          <w:p w14:paraId="1BA2FA4E">
            <w:pPr>
              <w:spacing w:line="360" w:lineRule="auto"/>
              <w:jc w:val="center"/>
              <w:rPr>
                <w:rFonts w:ascii="宋体" w:hAnsi="宋体"/>
              </w:rPr>
            </w:pPr>
            <w:r>
              <w:rPr>
                <w:rFonts w:ascii="宋体" w:hAnsi="宋体" w:hint="eastAsia"/>
              </w:rPr>
              <w:t>招标人</w:t>
            </w:r>
          </w:p>
        </w:tc>
        <w:tc>
          <w:tcPr>
            <w:tcW w:w="6027" w:type="dxa"/>
            <w:tcBorders>
              <w:top w:val="single" w:sz="2" w:space="0" w:color="auto"/>
              <w:left w:val="single" w:sz="2" w:space="0" w:color="auto"/>
              <w:bottom w:val="single" w:sz="2" w:space="0" w:color="auto"/>
              <w:right w:val="single" w:sz="2" w:space="0" w:color="auto"/>
            </w:tcBorders>
            <w:vAlign w:val="center"/>
          </w:tcPr>
          <w:p w14:paraId="48FF3B14">
            <w:pPr>
              <w:adjustRightInd w:val="0"/>
              <w:snapToGrid w:val="0"/>
              <w:spacing w:line="360" w:lineRule="auto"/>
              <w:rPr>
                <w:rFonts w:ascii="宋体" w:hAnsi="宋体" w:cs="宋体"/>
                <w:lang w:eastAsia="zh-CN"/>
              </w:rPr>
            </w:pPr>
            <w:r>
              <w:rPr>
                <w:rFonts w:ascii="宋体" w:hAnsi="宋体" w:cs="宋体" w:hint="eastAsia"/>
                <w:lang w:eastAsia="zh-CN"/>
              </w:rPr>
              <w:t>名  称：</w:t>
            </w:r>
            <w:r>
              <w:rPr>
                <w:rFonts w:ascii="宋体" w:hAnsi="宋体" w:cs="宋体" w:hint="eastAsia"/>
                <w:bCs/>
                <w:color w:val="00B0F0"/>
                <w:u w:val="single"/>
                <w:lang w:eastAsia="zh-CN"/>
              </w:rPr>
              <w:t xml:space="preserve"> 遂宁锦宜博众建筑装饰工程有限公司 </w:t>
            </w:r>
          </w:p>
          <w:p w14:paraId="60AD9AB3">
            <w:pPr>
              <w:adjustRightInd w:val="0"/>
              <w:snapToGrid w:val="0"/>
              <w:spacing w:line="360" w:lineRule="auto"/>
              <w:rPr>
                <w:rFonts w:ascii="宋体" w:hAnsi="宋体" w:cs="宋体"/>
                <w:lang w:eastAsia="zh-CN"/>
              </w:rPr>
            </w:pPr>
            <w:r>
              <w:rPr>
                <w:rFonts w:ascii="宋体" w:hAnsi="宋体" w:cs="宋体" w:hint="eastAsia"/>
                <w:lang w:eastAsia="zh-CN"/>
              </w:rPr>
              <w:t>地  址：</w:t>
            </w:r>
            <w:r>
              <w:rPr>
                <w:rFonts w:ascii="宋体" w:hAnsi="宋体" w:cs="宋体" w:hint="eastAsia"/>
                <w:bCs/>
                <w:color w:val="00B0F0"/>
                <w:u w:val="single"/>
                <w:lang w:eastAsia="zh-CN"/>
              </w:rPr>
              <w:t xml:space="preserve"> 遂宁市安居区小祠街26号(凤凰半岛三期商业楼) </w:t>
            </w:r>
          </w:p>
          <w:p w14:paraId="0F34F816">
            <w:pPr>
              <w:adjustRightInd w:val="0"/>
              <w:snapToGrid w:val="0"/>
              <w:spacing w:line="360" w:lineRule="auto"/>
              <w:rPr>
                <w:rFonts w:ascii="宋体" w:hAnsi="宋体" w:cs="宋体"/>
                <w:lang w:eastAsia="zh-CN"/>
              </w:rPr>
            </w:pPr>
            <w:r>
              <w:rPr>
                <w:rFonts w:ascii="宋体" w:hAnsi="宋体" w:cs="宋体" w:hint="eastAsia"/>
                <w:lang w:eastAsia="zh-CN"/>
              </w:rPr>
              <w:t>联系人：</w:t>
            </w:r>
            <w:r>
              <w:rPr>
                <w:rFonts w:ascii="宋体" w:hAnsi="宋体" w:cs="宋体" w:hint="eastAsia"/>
                <w:bCs/>
                <w:color w:val="00B0F0"/>
                <w:u w:val="single"/>
                <w:lang w:eastAsia="zh-CN"/>
              </w:rPr>
              <w:t xml:space="preserve">  唐女士  </w:t>
            </w:r>
          </w:p>
          <w:p w14:paraId="5DD05E7F">
            <w:pPr>
              <w:spacing w:line="360" w:lineRule="auto"/>
              <w:rPr>
                <w:rFonts w:ascii="宋体" w:hAnsi="宋体"/>
              </w:rPr>
            </w:pPr>
            <w:r>
              <w:rPr>
                <w:rFonts w:ascii="宋体" w:hAnsi="宋体" w:cs="宋体" w:hint="eastAsia"/>
              </w:rPr>
              <w:t>电  话：</w:t>
            </w:r>
            <w:r>
              <w:rPr>
                <w:rFonts w:ascii="宋体" w:hAnsi="宋体" w:cs="宋体" w:hint="eastAsia"/>
                <w:bCs/>
                <w:color w:val="00B0F0"/>
                <w:u w:val="single"/>
              </w:rPr>
              <w:t xml:space="preserve">  0825- 8660550  </w:t>
            </w:r>
          </w:p>
        </w:tc>
      </w:tr>
      <w:tr w14:paraId="67DF770E">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51E133F">
            <w:pPr>
              <w:spacing w:line="360" w:lineRule="auto"/>
              <w:jc w:val="center"/>
              <w:rPr>
                <w:rFonts w:ascii="宋体" w:hAnsi="宋体"/>
              </w:rPr>
            </w:pPr>
            <w:r>
              <w:rPr>
                <w:rFonts w:ascii="宋体" w:hAnsi="宋体" w:hint="eastAsia"/>
              </w:rPr>
              <w:t>1.1.3</w:t>
            </w:r>
          </w:p>
        </w:tc>
        <w:tc>
          <w:tcPr>
            <w:tcW w:w="2069" w:type="dxa"/>
            <w:tcBorders>
              <w:top w:val="single" w:sz="2" w:space="0" w:color="auto"/>
              <w:left w:val="single" w:sz="2" w:space="0" w:color="auto"/>
              <w:bottom w:val="single" w:sz="2" w:space="0" w:color="auto"/>
              <w:right w:val="single" w:sz="2" w:space="0" w:color="auto"/>
            </w:tcBorders>
            <w:vAlign w:val="center"/>
          </w:tcPr>
          <w:p w14:paraId="44D4AEB8">
            <w:pPr>
              <w:spacing w:line="360" w:lineRule="auto"/>
              <w:jc w:val="center"/>
              <w:rPr>
                <w:rFonts w:ascii="宋体" w:hAnsi="宋体"/>
              </w:rPr>
            </w:pPr>
            <w:r>
              <w:rPr>
                <w:rFonts w:ascii="宋体" w:hAnsi="宋体" w:hint="eastAsia"/>
              </w:rPr>
              <w:t>招标代理机构</w:t>
            </w:r>
          </w:p>
        </w:tc>
        <w:tc>
          <w:tcPr>
            <w:tcW w:w="6027" w:type="dxa"/>
            <w:tcBorders>
              <w:top w:val="single" w:sz="2" w:space="0" w:color="auto"/>
              <w:left w:val="single" w:sz="2" w:space="0" w:color="auto"/>
              <w:bottom w:val="single" w:sz="2" w:space="0" w:color="auto"/>
              <w:right w:val="single" w:sz="2" w:space="0" w:color="auto"/>
            </w:tcBorders>
            <w:vAlign w:val="center"/>
          </w:tcPr>
          <w:p w14:paraId="52DFF927">
            <w:pPr>
              <w:adjustRightInd w:val="0"/>
              <w:snapToGrid w:val="0"/>
              <w:spacing w:line="360" w:lineRule="auto"/>
              <w:rPr>
                <w:rFonts w:ascii="宋体" w:hAnsi="宋体"/>
                <w:lang w:eastAsia="zh-CN"/>
              </w:rPr>
            </w:pPr>
            <w:sdt>
              <w:sdtPr>
                <w:rPr>
                  <w:rFonts w:ascii="宋体" w:hAnsi="宋体" w:cs="宋体" w:hint="eastAsia"/>
                  <w:bCs/>
                  <w:lang w:eastAsia="zh-CN"/>
                </w:rPr>
                <w:id w:val="-1611665258"/>
                <w14:checkbox>
                  <w14:checked w14:val="0"/>
                  <w14:checkedState w14:val="2611" w14:font="MS Gothic"/>
                  <w14:uncheckedState w14:val="2610" w14:font="MS Gothic"/>
                </w14:checkbox>
              </w:sdtPr>
              <w:sdtEndPr>
                <w:rPr>
                  <w:rFonts w:ascii="宋体" w:hAnsi="宋体" w:cs="宋体" w:hint="eastAsia"/>
                  <w:bCs/>
                  <w:lang w:eastAsia="zh-CN"/>
                </w:rPr>
              </w:sdtEndPr>
              <w:sdtContent>
                <w:r>
                  <w:rPr>
                    <w:rFonts w:ascii="MS Gothic" w:eastAsia="MS Gothic" w:hAnsi="MS Gothic" w:cs="MS Gothic" w:hint="eastAsia"/>
                    <w:bCs/>
                    <w:lang w:eastAsia="zh-CN"/>
                  </w:rPr>
                  <w:t>☐</w:t>
                </w:r>
              </w:sdtContent>
            </w:sdt>
            <w:r>
              <w:rPr>
                <w:rFonts w:ascii="宋体" w:hAnsi="宋体" w:cs="宋体" w:hint="eastAsia"/>
                <w:bCs/>
                <w:lang w:eastAsia="zh-CN"/>
              </w:rPr>
              <w:t xml:space="preserve"> </w:t>
            </w:r>
            <w:r>
              <w:rPr>
                <w:rFonts w:ascii="宋体" w:hAnsi="宋体" w:cs="宋体" w:hint="eastAsia"/>
                <w:bCs/>
                <w:color w:val="00B0F0"/>
                <w:u w:val="single"/>
                <w:lang w:eastAsia="zh-CN"/>
              </w:rPr>
              <w:t xml:space="preserve">     /           </w:t>
            </w:r>
          </w:p>
          <w:p w14:paraId="5C9349A0">
            <w:pPr>
              <w:adjustRightInd w:val="0"/>
              <w:snapToGrid w:val="0"/>
              <w:spacing w:line="360" w:lineRule="auto"/>
              <w:rPr>
                <w:rFonts w:ascii="宋体" w:hAnsi="宋体" w:cs="宋体"/>
                <w:lang w:eastAsia="zh-CN"/>
              </w:rPr>
            </w:pPr>
            <w:sdt>
              <w:sdtPr>
                <w:rPr>
                  <w:rFonts w:ascii="宋体" w:hAnsi="宋体" w:cs="宋体" w:hint="eastAsia"/>
                  <w:lang w:eastAsia="zh-CN"/>
                </w:rPr>
                <w:id w:val="-1717960014"/>
                <w14:checkbox>
                  <w14:checked w14:val="1"/>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cs="宋体" w:hint="eastAsia"/>
                <w:lang w:eastAsia="zh-CN"/>
              </w:rPr>
              <w:t>名  称：</w:t>
            </w:r>
            <w:r>
              <w:rPr>
                <w:rFonts w:ascii="宋体" w:hAnsi="宋体" w:cs="宋体" w:hint="eastAsia"/>
                <w:bCs/>
                <w:color w:val="00B0F0"/>
                <w:u w:val="single"/>
                <w:lang w:eastAsia="zh-CN"/>
              </w:rPr>
              <w:t xml:space="preserve"> 四川精正建设管理咨询有限公司  </w:t>
            </w:r>
          </w:p>
          <w:p w14:paraId="490FBDDE">
            <w:pPr>
              <w:adjustRightInd w:val="0"/>
              <w:snapToGrid w:val="0"/>
              <w:spacing w:line="360" w:lineRule="auto"/>
              <w:ind w:firstLine="240" w:firstLineChars="100"/>
              <w:rPr>
                <w:rFonts w:ascii="宋体" w:hAnsi="宋体" w:cs="宋体"/>
                <w:lang w:eastAsia="zh-CN"/>
              </w:rPr>
            </w:pPr>
            <w:r>
              <w:rPr>
                <w:rFonts w:ascii="宋体" w:hAnsi="宋体" w:cs="宋体" w:hint="eastAsia"/>
                <w:lang w:eastAsia="zh-CN"/>
              </w:rPr>
              <w:t>地  址：</w:t>
            </w:r>
            <w:r>
              <w:rPr>
                <w:rFonts w:ascii="宋体" w:hAnsi="宋体" w:cs="宋体" w:hint="eastAsia"/>
                <w:bCs/>
                <w:color w:val="00B0F0"/>
                <w:u w:val="single"/>
                <w:lang w:eastAsia="zh-CN"/>
              </w:rPr>
              <w:t xml:space="preserve"> 成都市青羊区敬业路218号8栋 </w:t>
            </w:r>
          </w:p>
          <w:p w14:paraId="55955B5C">
            <w:pPr>
              <w:adjustRightInd w:val="0"/>
              <w:snapToGrid w:val="0"/>
              <w:spacing w:line="360" w:lineRule="auto"/>
              <w:ind w:firstLine="240" w:firstLineChars="100"/>
              <w:rPr>
                <w:rFonts w:ascii="宋体" w:hAnsi="宋体" w:cs="宋体"/>
                <w:lang w:eastAsia="zh-CN"/>
              </w:rPr>
            </w:pPr>
            <w:r>
              <w:rPr>
                <w:rFonts w:ascii="宋体" w:hAnsi="宋体" w:cs="宋体" w:hint="eastAsia"/>
                <w:lang w:eastAsia="zh-CN"/>
              </w:rPr>
              <w:t>联系人：</w:t>
            </w:r>
            <w:r>
              <w:rPr>
                <w:rFonts w:ascii="宋体" w:hAnsi="宋体" w:cs="宋体" w:hint="eastAsia"/>
                <w:bCs/>
                <w:color w:val="00B0F0"/>
                <w:u w:val="single"/>
                <w:lang w:eastAsia="zh-CN"/>
              </w:rPr>
              <w:t xml:space="preserve">  毛女士  </w:t>
            </w:r>
          </w:p>
          <w:p w14:paraId="7A412C15">
            <w:pPr>
              <w:spacing w:line="360" w:lineRule="auto"/>
              <w:ind w:firstLine="240" w:firstLineChars="100"/>
              <w:rPr>
                <w:rFonts w:ascii="宋体" w:hAnsi="宋体"/>
              </w:rPr>
            </w:pPr>
            <w:r>
              <w:rPr>
                <w:rFonts w:ascii="宋体" w:hAnsi="宋体" w:cs="宋体" w:hint="eastAsia"/>
              </w:rPr>
              <w:t>电  话：</w:t>
            </w:r>
            <w:r>
              <w:rPr>
                <w:rFonts w:ascii="宋体" w:hAnsi="宋体" w:cs="宋体" w:hint="eastAsia"/>
                <w:bCs/>
                <w:color w:val="00B0F0"/>
                <w:u w:val="single"/>
              </w:rPr>
              <w:t xml:space="preserve">  028-86910746 </w:t>
            </w:r>
          </w:p>
        </w:tc>
      </w:tr>
      <w:tr w14:paraId="3CE9AD16">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09683BA3">
            <w:pPr>
              <w:spacing w:line="360" w:lineRule="auto"/>
              <w:jc w:val="center"/>
              <w:rPr>
                <w:rFonts w:ascii="宋体" w:hAnsi="宋体"/>
              </w:rPr>
            </w:pPr>
            <w:r>
              <w:rPr>
                <w:rFonts w:ascii="宋体" w:hAnsi="宋体" w:hint="eastAsia"/>
              </w:rPr>
              <w:t>1.1.4</w:t>
            </w:r>
          </w:p>
        </w:tc>
        <w:tc>
          <w:tcPr>
            <w:tcW w:w="2069" w:type="dxa"/>
            <w:tcBorders>
              <w:top w:val="single" w:sz="2" w:space="0" w:color="auto"/>
              <w:left w:val="single" w:sz="2" w:space="0" w:color="auto"/>
              <w:bottom w:val="single" w:sz="2" w:space="0" w:color="auto"/>
              <w:right w:val="single" w:sz="2" w:space="0" w:color="auto"/>
            </w:tcBorders>
            <w:vAlign w:val="center"/>
          </w:tcPr>
          <w:p w14:paraId="47D01C89">
            <w:pPr>
              <w:spacing w:line="360" w:lineRule="auto"/>
              <w:jc w:val="center"/>
              <w:rPr>
                <w:rFonts w:ascii="宋体" w:hAnsi="宋体"/>
              </w:rPr>
            </w:pPr>
            <w:r>
              <w:rPr>
                <w:rFonts w:ascii="宋体" w:hAnsi="宋体" w:hint="eastAsia"/>
              </w:rPr>
              <w:t>项目名称</w:t>
            </w:r>
          </w:p>
        </w:tc>
        <w:tc>
          <w:tcPr>
            <w:tcW w:w="6027" w:type="dxa"/>
            <w:tcBorders>
              <w:top w:val="single" w:sz="2" w:space="0" w:color="auto"/>
              <w:left w:val="single" w:sz="2" w:space="0" w:color="auto"/>
              <w:bottom w:val="single" w:sz="2" w:space="0" w:color="auto"/>
              <w:right w:val="single" w:sz="2" w:space="0" w:color="auto"/>
            </w:tcBorders>
            <w:vAlign w:val="center"/>
          </w:tcPr>
          <w:p w14:paraId="179ED30E">
            <w:pPr>
              <w:spacing w:line="360" w:lineRule="auto"/>
              <w:rPr>
                <w:rFonts w:ascii="宋体" w:hAnsi="宋体"/>
              </w:rPr>
            </w:pPr>
            <w:r>
              <w:rPr>
                <w:rFonts w:ascii="宋体" w:hAnsi="宋体" w:cs="宋体" w:hint="eastAsia"/>
                <w:bCs/>
                <w:color w:val="00B0F0"/>
                <w:u w:val="single"/>
              </w:rPr>
              <w:t xml:space="preserve"> 遂宁市安居区凤栖悦府建设项目 </w:t>
            </w:r>
            <w:r>
              <w:rPr>
                <w:rFonts w:ascii="宋体" w:hAnsi="宋体" w:cs="宋体" w:hint="eastAsia"/>
                <w:bCs/>
              </w:rPr>
              <w:t xml:space="preserve"> </w:t>
            </w:r>
            <w:r>
              <w:rPr>
                <w:rFonts w:ascii="宋体" w:hAnsi="宋体" w:cs="宋体" w:hint="eastAsia"/>
                <w:bCs/>
              </w:rPr>
              <w:t>(项目名称)施工</w:t>
            </w:r>
            <w:r>
              <w:rPr>
                <w:rFonts w:ascii="宋体" w:hAnsi="宋体" w:cs="宋体" w:hint="eastAsia"/>
                <w:bCs/>
                <w:color w:val="00B0F0"/>
                <w:u w:val="single"/>
              </w:rPr>
              <w:t xml:space="preserve"> </w:t>
            </w:r>
            <w:r>
              <w:rPr>
                <w:rFonts w:ascii="宋体" w:hAnsi="宋体" w:cs="宋体" w:hint="eastAsia"/>
                <w:bCs/>
                <w:color w:val="00B0F0"/>
                <w:u w:val="single"/>
                <w:lang w:val="en-US" w:eastAsia="zh-CN"/>
              </w:rPr>
              <w:t>/</w:t>
            </w:r>
            <w:r>
              <w:rPr>
                <w:rFonts w:ascii="宋体" w:hAnsi="宋体" w:cs="宋体" w:hint="eastAsia"/>
                <w:bCs/>
                <w:color w:val="00B0F0"/>
                <w:u w:val="single"/>
              </w:rPr>
              <w:t xml:space="preserve"> </w:t>
            </w:r>
            <w:r>
              <w:rPr>
                <w:rFonts w:ascii="宋体" w:hAnsi="宋体" w:cs="宋体" w:hint="eastAsia"/>
                <w:bCs/>
              </w:rPr>
              <w:t>标段</w:t>
            </w:r>
          </w:p>
        </w:tc>
      </w:tr>
      <w:tr w14:paraId="39FDD2D1">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1F9CB7A0">
            <w:pPr>
              <w:spacing w:line="360" w:lineRule="auto"/>
              <w:jc w:val="center"/>
              <w:rPr>
                <w:rFonts w:ascii="宋体" w:hAnsi="宋体"/>
              </w:rPr>
            </w:pPr>
            <w:r>
              <w:rPr>
                <w:rFonts w:ascii="宋体" w:hAnsi="宋体" w:hint="eastAsia"/>
              </w:rPr>
              <w:t>1.1.5</w:t>
            </w:r>
          </w:p>
        </w:tc>
        <w:tc>
          <w:tcPr>
            <w:tcW w:w="2069" w:type="dxa"/>
            <w:tcBorders>
              <w:top w:val="single" w:sz="2" w:space="0" w:color="auto"/>
              <w:left w:val="single" w:sz="2" w:space="0" w:color="auto"/>
              <w:bottom w:val="single" w:sz="2" w:space="0" w:color="auto"/>
              <w:right w:val="single" w:sz="2" w:space="0" w:color="auto"/>
            </w:tcBorders>
            <w:vAlign w:val="center"/>
          </w:tcPr>
          <w:p w14:paraId="42FCF71C">
            <w:pPr>
              <w:spacing w:line="360" w:lineRule="auto"/>
              <w:jc w:val="center"/>
              <w:rPr>
                <w:rFonts w:ascii="宋体" w:hAnsi="宋体"/>
              </w:rPr>
            </w:pPr>
            <w:r>
              <w:rPr>
                <w:rFonts w:ascii="宋体" w:hAnsi="宋体" w:hint="eastAsia"/>
              </w:rPr>
              <w:t>建设地点</w:t>
            </w:r>
          </w:p>
        </w:tc>
        <w:tc>
          <w:tcPr>
            <w:tcW w:w="6027" w:type="dxa"/>
            <w:tcBorders>
              <w:top w:val="single" w:sz="2" w:space="0" w:color="auto"/>
              <w:left w:val="single" w:sz="2" w:space="0" w:color="auto"/>
              <w:bottom w:val="single" w:sz="2" w:space="0" w:color="auto"/>
              <w:right w:val="single" w:sz="2" w:space="0" w:color="auto"/>
            </w:tcBorders>
            <w:vAlign w:val="center"/>
          </w:tcPr>
          <w:p w14:paraId="5A15B511">
            <w:pPr>
              <w:spacing w:line="360" w:lineRule="auto"/>
              <w:rPr>
                <w:rFonts w:ascii="宋体" w:hAnsi="宋体"/>
              </w:rPr>
            </w:pPr>
            <w:r>
              <w:rPr>
                <w:rFonts w:ascii="宋体" w:hAnsi="宋体" w:cs="宋体" w:hint="eastAsia"/>
                <w:bCs/>
                <w:color w:val="00B0F0"/>
                <w:u w:val="single"/>
              </w:rPr>
              <w:t xml:space="preserve"> 凤凰大道中段西侧，琼江路南侧   </w:t>
            </w:r>
          </w:p>
        </w:tc>
      </w:tr>
      <w:tr w14:paraId="153CCF86">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6243C32C">
            <w:pPr>
              <w:spacing w:line="360" w:lineRule="auto"/>
              <w:jc w:val="center"/>
              <w:rPr>
                <w:rFonts w:ascii="宋体" w:hAnsi="宋体"/>
              </w:rPr>
            </w:pPr>
            <w:r>
              <w:rPr>
                <w:rFonts w:ascii="宋体" w:hAnsi="宋体" w:hint="eastAsia"/>
              </w:rPr>
              <w:t>1.2.1</w:t>
            </w:r>
          </w:p>
        </w:tc>
        <w:tc>
          <w:tcPr>
            <w:tcW w:w="2069" w:type="dxa"/>
            <w:tcBorders>
              <w:top w:val="single" w:sz="2" w:space="0" w:color="auto"/>
              <w:left w:val="single" w:sz="2" w:space="0" w:color="auto"/>
              <w:bottom w:val="single" w:sz="2" w:space="0" w:color="auto"/>
              <w:right w:val="single" w:sz="2" w:space="0" w:color="auto"/>
            </w:tcBorders>
            <w:vAlign w:val="center"/>
          </w:tcPr>
          <w:p w14:paraId="7169AD26">
            <w:pPr>
              <w:spacing w:line="360" w:lineRule="auto"/>
              <w:jc w:val="center"/>
              <w:rPr>
                <w:rFonts w:ascii="宋体" w:hAnsi="宋体"/>
              </w:rPr>
            </w:pPr>
            <w:r>
              <w:rPr>
                <w:rFonts w:ascii="宋体" w:hAnsi="宋体" w:hint="eastAsia"/>
              </w:rPr>
              <w:t>资金来源</w:t>
            </w:r>
          </w:p>
        </w:tc>
        <w:tc>
          <w:tcPr>
            <w:tcW w:w="6027" w:type="dxa"/>
            <w:tcBorders>
              <w:top w:val="single" w:sz="2" w:space="0" w:color="auto"/>
              <w:left w:val="single" w:sz="2" w:space="0" w:color="auto"/>
              <w:bottom w:val="single" w:sz="2" w:space="0" w:color="auto"/>
              <w:right w:val="single" w:sz="2" w:space="0" w:color="auto"/>
            </w:tcBorders>
            <w:vAlign w:val="center"/>
          </w:tcPr>
          <w:p w14:paraId="0D8F8F41">
            <w:pPr>
              <w:spacing w:line="360" w:lineRule="auto"/>
              <w:rPr>
                <w:rFonts w:ascii="宋体" w:hAnsi="宋体"/>
              </w:rPr>
            </w:pPr>
            <w:r>
              <w:rPr>
                <w:rFonts w:ascii="宋体" w:hAnsi="宋体" w:cs="宋体" w:hint="eastAsia"/>
                <w:bCs/>
                <w:color w:val="00B0F0"/>
                <w:u w:val="single"/>
              </w:rPr>
              <w:t xml:space="preserve">  企业自筹及国内贷款  </w:t>
            </w:r>
          </w:p>
        </w:tc>
      </w:tr>
      <w:tr w14:paraId="4B0AE0C0">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4435F94C">
            <w:pPr>
              <w:spacing w:line="360" w:lineRule="auto"/>
              <w:jc w:val="center"/>
              <w:rPr>
                <w:rFonts w:ascii="宋体" w:hAnsi="宋体"/>
              </w:rPr>
            </w:pPr>
            <w:r>
              <w:rPr>
                <w:rFonts w:ascii="宋体" w:hAnsi="宋体" w:hint="eastAsia"/>
              </w:rPr>
              <w:t>1.2.2</w:t>
            </w:r>
          </w:p>
        </w:tc>
        <w:tc>
          <w:tcPr>
            <w:tcW w:w="2069" w:type="dxa"/>
            <w:tcBorders>
              <w:top w:val="single" w:sz="2" w:space="0" w:color="auto"/>
              <w:left w:val="single" w:sz="2" w:space="0" w:color="auto"/>
              <w:bottom w:val="single" w:sz="2" w:space="0" w:color="auto"/>
              <w:right w:val="single" w:sz="2" w:space="0" w:color="auto"/>
            </w:tcBorders>
            <w:vAlign w:val="center"/>
          </w:tcPr>
          <w:p w14:paraId="3A54979E">
            <w:pPr>
              <w:spacing w:line="360" w:lineRule="auto"/>
              <w:jc w:val="center"/>
              <w:rPr>
                <w:rFonts w:ascii="宋体" w:hAnsi="宋体"/>
              </w:rPr>
            </w:pPr>
            <w:r>
              <w:rPr>
                <w:rFonts w:ascii="宋体" w:hAnsi="宋体" w:hint="eastAsia"/>
              </w:rPr>
              <w:t>出资比例</w:t>
            </w:r>
          </w:p>
        </w:tc>
        <w:tc>
          <w:tcPr>
            <w:tcW w:w="6027" w:type="dxa"/>
            <w:tcBorders>
              <w:top w:val="single" w:sz="2" w:space="0" w:color="auto"/>
              <w:left w:val="single" w:sz="2" w:space="0" w:color="auto"/>
              <w:bottom w:val="single" w:sz="2" w:space="0" w:color="auto"/>
              <w:right w:val="single" w:sz="2" w:space="0" w:color="auto"/>
            </w:tcBorders>
            <w:vAlign w:val="center"/>
          </w:tcPr>
          <w:p w14:paraId="27C167F7">
            <w:pPr>
              <w:spacing w:line="360" w:lineRule="auto"/>
              <w:rPr>
                <w:rFonts w:ascii="宋体" w:hAnsi="宋体"/>
                <w:u w:val="single"/>
              </w:rPr>
            </w:pPr>
            <w:r>
              <w:rPr>
                <w:rFonts w:ascii="宋体" w:hAnsi="宋体" w:cs="宋体" w:hint="eastAsia"/>
                <w:bCs/>
                <w:color w:val="00B0F0"/>
                <w:u w:val="single"/>
              </w:rPr>
              <w:t xml:space="preserve">  100%   </w:t>
            </w:r>
          </w:p>
        </w:tc>
      </w:tr>
      <w:tr w14:paraId="4EFEBB35">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22B77D9E">
            <w:pPr>
              <w:spacing w:line="360" w:lineRule="auto"/>
              <w:jc w:val="center"/>
              <w:rPr>
                <w:rFonts w:ascii="宋体" w:hAnsi="宋体"/>
              </w:rPr>
            </w:pPr>
            <w:r>
              <w:rPr>
                <w:rFonts w:ascii="宋体" w:hAnsi="宋体" w:hint="eastAsia"/>
              </w:rPr>
              <w:t>1.2.3</w:t>
            </w:r>
          </w:p>
        </w:tc>
        <w:tc>
          <w:tcPr>
            <w:tcW w:w="2069" w:type="dxa"/>
            <w:tcBorders>
              <w:top w:val="single" w:sz="2" w:space="0" w:color="auto"/>
              <w:left w:val="single" w:sz="2" w:space="0" w:color="auto"/>
              <w:bottom w:val="single" w:sz="2" w:space="0" w:color="auto"/>
              <w:right w:val="single" w:sz="2" w:space="0" w:color="auto"/>
            </w:tcBorders>
            <w:vAlign w:val="center"/>
          </w:tcPr>
          <w:p w14:paraId="573072D6">
            <w:pPr>
              <w:spacing w:line="360" w:lineRule="auto"/>
              <w:jc w:val="center"/>
              <w:rPr>
                <w:rFonts w:ascii="宋体" w:hAnsi="宋体"/>
              </w:rPr>
            </w:pPr>
            <w:r>
              <w:rPr>
                <w:rFonts w:ascii="宋体" w:hAnsi="宋体" w:hint="eastAsia"/>
              </w:rPr>
              <w:t>资金落实情况</w:t>
            </w:r>
          </w:p>
        </w:tc>
        <w:tc>
          <w:tcPr>
            <w:tcW w:w="6027" w:type="dxa"/>
            <w:tcBorders>
              <w:top w:val="single" w:sz="2" w:space="0" w:color="auto"/>
              <w:left w:val="single" w:sz="2" w:space="0" w:color="auto"/>
              <w:bottom w:val="single" w:sz="2" w:space="0" w:color="auto"/>
              <w:right w:val="single" w:sz="2" w:space="0" w:color="auto"/>
            </w:tcBorders>
            <w:vAlign w:val="center"/>
          </w:tcPr>
          <w:p w14:paraId="47AB5D84">
            <w:pPr>
              <w:spacing w:line="360" w:lineRule="auto"/>
              <w:rPr>
                <w:rFonts w:ascii="宋体" w:hAnsi="宋体"/>
                <w:u w:val="single"/>
              </w:rPr>
            </w:pPr>
            <w:r>
              <w:rPr>
                <w:rFonts w:ascii="宋体" w:hAnsi="宋体" w:cs="宋体" w:hint="eastAsia"/>
                <w:bCs/>
                <w:color w:val="00B0F0"/>
                <w:u w:val="single"/>
              </w:rPr>
              <w:t xml:space="preserve">  已落实  </w:t>
            </w:r>
          </w:p>
        </w:tc>
      </w:tr>
      <w:tr w14:paraId="4964C6C9">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1EFF649">
            <w:pPr>
              <w:spacing w:line="360" w:lineRule="auto"/>
              <w:jc w:val="center"/>
              <w:rPr>
                <w:rFonts w:ascii="宋体" w:hAnsi="宋体"/>
              </w:rPr>
            </w:pPr>
            <w:r>
              <w:rPr>
                <w:rFonts w:ascii="宋体" w:hAnsi="宋体" w:hint="eastAsia"/>
              </w:rPr>
              <w:t>1.3.1</w:t>
            </w:r>
          </w:p>
        </w:tc>
        <w:tc>
          <w:tcPr>
            <w:tcW w:w="2069" w:type="dxa"/>
            <w:tcBorders>
              <w:top w:val="single" w:sz="2" w:space="0" w:color="auto"/>
              <w:left w:val="single" w:sz="2" w:space="0" w:color="auto"/>
              <w:bottom w:val="single" w:sz="2" w:space="0" w:color="auto"/>
              <w:right w:val="single" w:sz="2" w:space="0" w:color="auto"/>
            </w:tcBorders>
            <w:vAlign w:val="center"/>
          </w:tcPr>
          <w:p w14:paraId="4A369968">
            <w:pPr>
              <w:spacing w:line="360" w:lineRule="auto"/>
              <w:jc w:val="center"/>
              <w:rPr>
                <w:rFonts w:ascii="宋体" w:hAnsi="宋体"/>
              </w:rPr>
            </w:pPr>
            <w:r>
              <w:rPr>
                <w:rFonts w:ascii="宋体" w:hAnsi="宋体" w:hint="eastAsia"/>
              </w:rPr>
              <w:t>招标范围</w:t>
            </w:r>
          </w:p>
        </w:tc>
        <w:tc>
          <w:tcPr>
            <w:tcW w:w="6027" w:type="dxa"/>
            <w:tcBorders>
              <w:top w:val="single" w:sz="2" w:space="0" w:color="auto"/>
              <w:left w:val="single" w:sz="2" w:space="0" w:color="auto"/>
              <w:bottom w:val="single" w:sz="2" w:space="0" w:color="auto"/>
              <w:right w:val="single" w:sz="2" w:space="0" w:color="auto"/>
            </w:tcBorders>
            <w:vAlign w:val="center"/>
          </w:tcPr>
          <w:p w14:paraId="317FBCCB">
            <w:pPr>
              <w:spacing w:line="360" w:lineRule="auto"/>
              <w:rPr>
                <w:rFonts w:ascii="宋体" w:hAnsi="宋体"/>
              </w:rPr>
            </w:pPr>
            <w:r>
              <w:rPr>
                <w:rFonts w:ascii="宋体" w:hAnsi="宋体" w:cs="宋体" w:hint="eastAsia"/>
                <w:bCs/>
                <w:color w:val="00B0F0"/>
                <w:u w:val="single"/>
              </w:rPr>
              <w:t xml:space="preserve">  同招标公告  </w:t>
            </w:r>
          </w:p>
        </w:tc>
      </w:tr>
      <w:tr w14:paraId="4BD9B84B">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2C10E55E">
            <w:pPr>
              <w:spacing w:line="360" w:lineRule="auto"/>
              <w:jc w:val="center"/>
              <w:rPr>
                <w:rFonts w:ascii="宋体" w:hAnsi="宋体"/>
              </w:rPr>
            </w:pPr>
            <w:r>
              <w:rPr>
                <w:rFonts w:ascii="宋体" w:hAnsi="宋体" w:hint="eastAsia"/>
              </w:rPr>
              <w:t>1.3.2</w:t>
            </w:r>
          </w:p>
        </w:tc>
        <w:tc>
          <w:tcPr>
            <w:tcW w:w="2069" w:type="dxa"/>
            <w:tcBorders>
              <w:top w:val="single" w:sz="2" w:space="0" w:color="auto"/>
              <w:left w:val="single" w:sz="2" w:space="0" w:color="auto"/>
              <w:bottom w:val="single" w:sz="2" w:space="0" w:color="auto"/>
              <w:right w:val="single" w:sz="2" w:space="0" w:color="auto"/>
            </w:tcBorders>
            <w:vAlign w:val="center"/>
          </w:tcPr>
          <w:p w14:paraId="38A918B8">
            <w:pPr>
              <w:spacing w:line="360" w:lineRule="auto"/>
              <w:jc w:val="center"/>
              <w:rPr>
                <w:rFonts w:ascii="宋体" w:hAnsi="宋体"/>
              </w:rPr>
            </w:pPr>
            <w:r>
              <w:rPr>
                <w:rFonts w:ascii="宋体" w:hAnsi="宋体" w:hint="eastAsia"/>
              </w:rPr>
              <w:t>计划工期</w:t>
            </w:r>
          </w:p>
        </w:tc>
        <w:tc>
          <w:tcPr>
            <w:tcW w:w="6027" w:type="dxa"/>
            <w:tcBorders>
              <w:top w:val="single" w:sz="2" w:space="0" w:color="auto"/>
              <w:left w:val="single" w:sz="2" w:space="0" w:color="auto"/>
              <w:bottom w:val="single" w:sz="2" w:space="0" w:color="auto"/>
              <w:right w:val="single" w:sz="2" w:space="0" w:color="auto"/>
            </w:tcBorders>
            <w:vAlign w:val="center"/>
          </w:tcPr>
          <w:p w14:paraId="356A0EDC">
            <w:pPr>
              <w:spacing w:line="360" w:lineRule="auto"/>
              <w:rPr>
                <w:rFonts w:ascii="宋体" w:hAnsi="宋体"/>
              </w:rPr>
            </w:pPr>
            <w:r>
              <w:rPr>
                <w:rFonts w:ascii="宋体" w:hAnsi="宋体" w:cs="宋体" w:hint="eastAsia"/>
                <w:bCs/>
                <w:color w:val="00B0F0"/>
                <w:u w:val="single"/>
              </w:rPr>
              <w:t xml:space="preserve">   720日历天  </w:t>
            </w:r>
          </w:p>
        </w:tc>
      </w:tr>
      <w:tr w14:paraId="2ABEC10C">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0628AF51">
            <w:pPr>
              <w:spacing w:line="360" w:lineRule="auto"/>
              <w:jc w:val="center"/>
              <w:rPr>
                <w:rFonts w:ascii="宋体" w:hAnsi="宋体"/>
              </w:rPr>
            </w:pPr>
            <w:r>
              <w:rPr>
                <w:rFonts w:ascii="宋体" w:hAnsi="宋体" w:hint="eastAsia"/>
              </w:rPr>
              <w:t>1.3.3</w:t>
            </w:r>
          </w:p>
        </w:tc>
        <w:tc>
          <w:tcPr>
            <w:tcW w:w="2069" w:type="dxa"/>
            <w:tcBorders>
              <w:top w:val="single" w:sz="2" w:space="0" w:color="auto"/>
              <w:left w:val="single" w:sz="2" w:space="0" w:color="auto"/>
              <w:bottom w:val="single" w:sz="2" w:space="0" w:color="auto"/>
              <w:right w:val="single" w:sz="2" w:space="0" w:color="auto"/>
            </w:tcBorders>
            <w:vAlign w:val="center"/>
          </w:tcPr>
          <w:p w14:paraId="68356BCF">
            <w:pPr>
              <w:spacing w:line="360" w:lineRule="auto"/>
              <w:jc w:val="center"/>
              <w:rPr>
                <w:rFonts w:ascii="宋体" w:hAnsi="宋体"/>
              </w:rPr>
            </w:pPr>
            <w:r>
              <w:rPr>
                <w:rFonts w:ascii="宋体" w:hAnsi="宋体" w:hint="eastAsia"/>
              </w:rPr>
              <w:t>质量要求</w:t>
            </w:r>
          </w:p>
        </w:tc>
        <w:tc>
          <w:tcPr>
            <w:tcW w:w="6027" w:type="dxa"/>
            <w:tcBorders>
              <w:top w:val="single" w:sz="2" w:space="0" w:color="auto"/>
              <w:left w:val="single" w:sz="2" w:space="0" w:color="auto"/>
              <w:bottom w:val="single" w:sz="2" w:space="0" w:color="auto"/>
              <w:right w:val="single" w:sz="2" w:space="0" w:color="auto"/>
            </w:tcBorders>
            <w:vAlign w:val="center"/>
          </w:tcPr>
          <w:p w14:paraId="38265F6E">
            <w:pPr>
              <w:spacing w:line="360" w:lineRule="auto"/>
              <w:rPr>
                <w:rFonts w:ascii="宋体" w:hAnsi="宋体"/>
              </w:rPr>
            </w:pPr>
            <w:r>
              <w:rPr>
                <w:rFonts w:ascii="宋体" w:hAnsi="宋体" w:cs="宋体" w:hint="eastAsia"/>
                <w:bCs/>
                <w:color w:val="00B0F0"/>
                <w:u w:val="single"/>
              </w:rPr>
              <w:t xml:space="preserve"> 达到国家现行施工质量验收规范合格标准 </w:t>
            </w:r>
          </w:p>
        </w:tc>
      </w:tr>
      <w:tr w14:paraId="2825C407">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300A99B5">
            <w:pPr>
              <w:spacing w:line="360" w:lineRule="auto"/>
              <w:jc w:val="center"/>
              <w:rPr>
                <w:rFonts w:ascii="宋体" w:hAnsi="宋体"/>
              </w:rPr>
            </w:pPr>
            <w:r>
              <w:rPr>
                <w:rFonts w:ascii="宋体" w:hAnsi="宋体" w:hint="eastAsia"/>
              </w:rPr>
              <w:t>1.4.1</w:t>
            </w:r>
          </w:p>
        </w:tc>
        <w:tc>
          <w:tcPr>
            <w:tcW w:w="2069" w:type="dxa"/>
            <w:tcBorders>
              <w:top w:val="single" w:sz="2" w:space="0" w:color="auto"/>
              <w:left w:val="single" w:sz="2" w:space="0" w:color="auto"/>
              <w:bottom w:val="single" w:sz="2" w:space="0" w:color="auto"/>
              <w:right w:val="single" w:sz="2" w:space="0" w:color="auto"/>
            </w:tcBorders>
            <w:vAlign w:val="center"/>
          </w:tcPr>
          <w:p w14:paraId="724CE551">
            <w:pPr>
              <w:spacing w:line="360" w:lineRule="auto"/>
              <w:rPr>
                <w:rFonts w:ascii="宋体" w:hAnsi="宋体"/>
                <w:lang w:eastAsia="zh-CN"/>
              </w:rPr>
            </w:pPr>
            <w:r>
              <w:rPr>
                <w:rFonts w:ascii="宋体" w:hAnsi="宋体" w:hint="eastAsia"/>
                <w:lang w:eastAsia="zh-CN"/>
              </w:rPr>
              <w:t>投标人资质条件、</w:t>
            </w:r>
          </w:p>
          <w:p w14:paraId="280BD59E">
            <w:pPr>
              <w:spacing w:line="360" w:lineRule="auto"/>
              <w:jc w:val="center"/>
              <w:rPr>
                <w:rFonts w:ascii="宋体" w:hAnsi="宋体"/>
                <w:lang w:eastAsia="zh-CN"/>
              </w:rPr>
            </w:pPr>
            <w:r>
              <w:rPr>
                <w:rFonts w:ascii="宋体" w:hAnsi="宋体" w:hint="eastAsia"/>
                <w:lang w:eastAsia="zh-CN"/>
              </w:rPr>
              <w:t>能力和信誉</w:t>
            </w:r>
          </w:p>
        </w:tc>
        <w:tc>
          <w:tcPr>
            <w:tcW w:w="6027" w:type="dxa"/>
            <w:tcBorders>
              <w:top w:val="single" w:sz="2" w:space="0" w:color="auto"/>
              <w:left w:val="single" w:sz="2" w:space="0" w:color="auto"/>
              <w:bottom w:val="single" w:sz="2" w:space="0" w:color="auto"/>
              <w:right w:val="single" w:sz="2" w:space="0" w:color="auto"/>
            </w:tcBorders>
            <w:vAlign w:val="center"/>
          </w:tcPr>
          <w:p w14:paraId="79FED566">
            <w:pPr>
              <w:pStyle w:val="ListParagraph"/>
              <w:numPr>
                <w:ilvl w:val="0"/>
                <w:numId w:val="3"/>
              </w:numPr>
              <w:spacing w:line="360" w:lineRule="auto"/>
              <w:ind w:firstLineChars="0"/>
              <w:rPr>
                <w:rFonts w:ascii="宋体" w:hAnsi="宋体"/>
                <w:sz w:val="24"/>
                <w:szCs w:val="24"/>
              </w:rPr>
            </w:pPr>
            <w:r>
              <w:rPr>
                <w:rFonts w:ascii="宋体" w:hAnsi="宋体" w:hint="eastAsia"/>
                <w:sz w:val="24"/>
                <w:szCs w:val="24"/>
              </w:rPr>
              <w:t>资质条件：同</w:t>
            </w:r>
            <w:r>
              <w:rPr>
                <w:rFonts w:ascii="宋体" w:hAnsi="宋体"/>
                <w:sz w:val="24"/>
                <w:szCs w:val="24"/>
              </w:rPr>
              <w:t>招标公告</w:t>
            </w:r>
            <w:r>
              <w:rPr>
                <w:rFonts w:ascii="宋体" w:hAnsi="宋体" w:cs="宋体" w:hint="eastAsia"/>
                <w:sz w:val="24"/>
                <w:szCs w:val="24"/>
              </w:rPr>
              <w:t>或投标邀请书</w:t>
            </w:r>
            <w:r>
              <w:rPr>
                <w:rFonts w:ascii="宋体" w:hAnsi="宋体" w:hint="eastAsia"/>
                <w:sz w:val="24"/>
                <w:szCs w:val="24"/>
              </w:rPr>
              <w:t>；</w:t>
            </w:r>
          </w:p>
          <w:p w14:paraId="3EBB9CAE">
            <w:pPr>
              <w:pStyle w:val="ListParagraph"/>
              <w:numPr>
                <w:ilvl w:val="0"/>
                <w:numId w:val="3"/>
              </w:numPr>
              <w:spacing w:line="360" w:lineRule="auto"/>
              <w:ind w:firstLineChars="0"/>
              <w:rPr>
                <w:rFonts w:ascii="宋体" w:hAnsi="宋体"/>
                <w:sz w:val="24"/>
                <w:szCs w:val="24"/>
              </w:rPr>
            </w:pPr>
            <w:r>
              <w:rPr>
                <w:rFonts w:ascii="宋体" w:hAnsi="宋体" w:hint="eastAsia"/>
                <w:sz w:val="24"/>
                <w:szCs w:val="24"/>
              </w:rPr>
              <w:t>财务要求</w:t>
            </w:r>
            <w:r>
              <w:rPr>
                <w:rFonts w:ascii="宋体" w:hAnsi="宋体"/>
                <w:sz w:val="24"/>
                <w:szCs w:val="24"/>
              </w:rPr>
              <w:t>：</w:t>
            </w:r>
          </w:p>
          <w:p w14:paraId="29430A47">
            <w:pPr>
              <w:adjustRightInd w:val="0"/>
              <w:snapToGrid w:val="0"/>
              <w:spacing w:line="360" w:lineRule="auto"/>
              <w:ind w:left="1920" w:hanging="1080" w:leftChars="350" w:hangingChars="450"/>
              <w:rPr>
                <w:rFonts w:ascii="宋体" w:hAnsi="宋体" w:cs="宋体"/>
              </w:rPr>
            </w:pPr>
            <w:sdt>
              <w:sdtPr>
                <w:rPr>
                  <w:rFonts w:ascii="宋体" w:hAnsi="宋体" w:cs="宋体" w:hint="eastAsia"/>
                </w:rPr>
                <w:id w:val="147480021"/>
                <w14:checkbox>
                  <w14:checked w14:val="0"/>
                  <w14:checkedState w14:val="2611" w14:font="MS Gothic"/>
                  <w14:uncheckedState w14:val="2610" w14:font="MS Gothic"/>
                </w14:checkbox>
              </w:sdtPr>
              <w:sdtEndPr>
                <w:rPr>
                  <w:rFonts w:ascii="宋体" w:hAnsi="宋体" w:cs="宋体" w:hint="eastAsia"/>
                </w:rPr>
              </w:sdtEndPr>
              <w:sdtContent>
                <w:r>
                  <w:rPr>
                    <w:rFonts w:ascii="MS Gothic" w:eastAsia="MS Gothic" w:hAnsi="MS Gothic" w:cs="MS Gothic"/>
                  </w:rPr>
                  <w:t>☐</w:t>
                </w:r>
              </w:sdtContent>
            </w:sdt>
            <w:r>
              <w:rPr>
                <w:rFonts w:ascii="宋体" w:hAnsi="宋体" w:cs="宋体" w:hint="eastAsia"/>
              </w:rPr>
              <w:t>近</w:t>
            </w:r>
            <w:r>
              <w:rPr>
                <w:rFonts w:ascii="宋体" w:hAnsi="宋体" w:cs="宋体" w:hint="eastAsia"/>
                <w:b/>
                <w:u w:val="single"/>
              </w:rPr>
              <w:t xml:space="preserve">    </w:t>
            </w:r>
            <w:r>
              <w:rPr>
                <w:rFonts w:ascii="宋体" w:hAnsi="宋体" w:cs="宋体" w:hint="eastAsia"/>
              </w:rPr>
              <w:t>年（限定在3年以内）无亏损；</w:t>
            </w:r>
          </w:p>
          <w:p w14:paraId="5A42600E">
            <w:pPr>
              <w:spacing w:line="360" w:lineRule="auto"/>
              <w:ind w:firstLine="756" w:firstLineChars="315"/>
              <w:rPr>
                <w:rFonts w:ascii="宋体" w:hAnsi="宋体"/>
              </w:rPr>
            </w:pPr>
            <w:sdt>
              <w:sdtPr>
                <w:rPr>
                  <w:rFonts w:ascii="宋体" w:hAnsi="宋体" w:cs="宋体" w:hint="eastAsia"/>
                </w:rPr>
                <w:id w:val="147480001"/>
                <w14:checkbox>
                  <w14:checked w14:val="1"/>
                  <w14:checkedState w14:val="2611" w14:font="MS Gothic"/>
                  <w14:uncheckedState w14:val="2610" w14:font="MS Gothic"/>
                </w14:checkbox>
              </w:sdtPr>
              <w:sdtEndPr>
                <w:rPr>
                  <w:rFonts w:ascii="宋体" w:hAnsi="宋体" w:cs="宋体" w:hint="eastAsia"/>
                </w:rPr>
              </w:sdtEndPr>
              <w:sdtContent>
                <w:r>
                  <w:rPr>
                    <w:rFonts w:ascii="MS Gothic" w:eastAsia="MS Gothic" w:hAnsi="MS Gothic" w:cs="MS Gothic"/>
                    <w:sz w:val="24"/>
                    <w:szCs w:val="24"/>
                    <w:lang w:val="en-US" w:eastAsia="en-US" w:bidi="ar-SA"/>
                  </w:rPr>
                  <w:t>☑</w:t>
                </w:r>
              </w:sdtContent>
            </w:sdt>
            <w:r>
              <w:rPr>
                <w:rFonts w:ascii="宋体" w:hAnsi="宋体" w:cs="宋体" w:hint="eastAsia"/>
              </w:rPr>
              <w:t>无财务要求</w:t>
            </w:r>
            <w:r>
              <w:rPr>
                <w:rFonts w:ascii="宋体" w:hAnsi="宋体" w:hint="eastAsia"/>
              </w:rPr>
              <w:t>；</w:t>
            </w:r>
          </w:p>
          <w:p w14:paraId="4213193B">
            <w:pPr>
              <w:pStyle w:val="ListParagraph"/>
              <w:numPr>
                <w:ilvl w:val="0"/>
                <w:numId w:val="3"/>
              </w:numPr>
              <w:spacing w:line="360" w:lineRule="auto"/>
              <w:ind w:firstLineChars="0"/>
              <w:rPr>
                <w:rFonts w:ascii="宋体" w:hAnsi="宋体"/>
                <w:sz w:val="24"/>
                <w:szCs w:val="24"/>
              </w:rPr>
            </w:pPr>
            <w:r>
              <w:rPr>
                <w:rFonts w:ascii="宋体" w:hAnsi="宋体" w:hint="eastAsia"/>
                <w:sz w:val="24"/>
                <w:szCs w:val="24"/>
              </w:rPr>
              <w:t>业绩</w:t>
            </w:r>
            <w:r>
              <w:rPr>
                <w:rFonts w:ascii="宋体" w:hAnsi="宋体"/>
                <w:sz w:val="24"/>
                <w:szCs w:val="24"/>
              </w:rPr>
              <w:t>要求：同招标公告</w:t>
            </w:r>
            <w:r>
              <w:rPr>
                <w:rFonts w:ascii="宋体" w:hAnsi="宋体" w:cs="宋体" w:hint="eastAsia"/>
                <w:sz w:val="24"/>
                <w:szCs w:val="24"/>
              </w:rPr>
              <w:t>或投标邀请书</w:t>
            </w:r>
            <w:r>
              <w:rPr>
                <w:rFonts w:ascii="宋体" w:hAnsi="宋体"/>
                <w:sz w:val="24"/>
                <w:szCs w:val="24"/>
              </w:rPr>
              <w:t>；</w:t>
            </w:r>
          </w:p>
          <w:p w14:paraId="5E1BEB62">
            <w:pPr>
              <w:pStyle w:val="ListParagraph"/>
              <w:numPr>
                <w:ilvl w:val="0"/>
                <w:numId w:val="3"/>
              </w:numPr>
              <w:spacing w:line="360" w:lineRule="auto"/>
              <w:ind w:firstLineChars="0"/>
              <w:rPr>
                <w:rFonts w:ascii="宋体" w:hAnsi="宋体"/>
                <w:sz w:val="24"/>
                <w:szCs w:val="24"/>
              </w:rPr>
            </w:pPr>
            <w:r>
              <w:rPr>
                <w:rFonts w:ascii="宋体" w:hAnsi="宋体" w:hint="eastAsia"/>
                <w:sz w:val="24"/>
                <w:szCs w:val="24"/>
              </w:rPr>
              <w:t>信誉要求：不存在投标人须知1.4.3规定的限制投标的情形；</w:t>
            </w:r>
          </w:p>
          <w:p w14:paraId="261E73F5">
            <w:pPr>
              <w:pStyle w:val="ListParagraph"/>
              <w:numPr>
                <w:ilvl w:val="0"/>
                <w:numId w:val="3"/>
              </w:numPr>
              <w:spacing w:line="360" w:lineRule="auto"/>
              <w:ind w:firstLineChars="0"/>
              <w:rPr>
                <w:rFonts w:ascii="宋体" w:hAnsi="宋体"/>
                <w:sz w:val="24"/>
                <w:szCs w:val="24"/>
              </w:rPr>
            </w:pPr>
            <w:r>
              <w:rPr>
                <w:rFonts w:ascii="宋体" w:hAnsi="宋体" w:hint="eastAsia"/>
                <w:sz w:val="24"/>
                <w:szCs w:val="24"/>
              </w:rPr>
              <w:t>项目经理</w:t>
            </w:r>
            <w:r>
              <w:rPr>
                <w:rFonts w:ascii="宋体" w:hAnsi="宋体"/>
                <w:sz w:val="24"/>
                <w:szCs w:val="24"/>
              </w:rPr>
              <w:t>的资格要求：同招标公告</w:t>
            </w:r>
            <w:r>
              <w:rPr>
                <w:rFonts w:ascii="宋体" w:hAnsi="宋体" w:cs="宋体" w:hint="eastAsia"/>
                <w:sz w:val="24"/>
                <w:szCs w:val="24"/>
              </w:rPr>
              <w:t>或投标邀请书</w:t>
            </w:r>
            <w:r>
              <w:rPr>
                <w:rFonts w:ascii="宋体" w:hAnsi="宋体"/>
                <w:sz w:val="24"/>
                <w:szCs w:val="24"/>
              </w:rPr>
              <w:t>；</w:t>
            </w:r>
          </w:p>
          <w:p w14:paraId="748B563E">
            <w:pPr>
              <w:pStyle w:val="NormalWeb"/>
              <w:spacing w:beforeAutospacing="0" w:afterAutospacing="0"/>
              <w:jc w:val="both"/>
              <w:rPr>
                <w:rFonts w:ascii="仿宋" w:eastAsia="仿宋" w:hAnsi="仿宋" w:cs="仿宋"/>
                <w:sz w:val="28"/>
                <w:szCs w:val="28"/>
              </w:rPr>
            </w:pPr>
            <w:r>
              <w:rPr>
                <w:rFonts w:hint="eastAsia"/>
                <w:sz w:val="24"/>
                <w:szCs w:val="24"/>
              </w:rPr>
              <w:t>（6）</w:t>
            </w:r>
            <w:r>
              <w:rPr>
                <w:rFonts w:ascii="仿宋" w:eastAsia="仿宋" w:hAnsi="仿宋" w:cs="仿宋" w:hint="eastAsia"/>
                <w:sz w:val="28"/>
                <w:szCs w:val="28"/>
              </w:rPr>
              <w:t>技术负责人的资格要求：</w:t>
            </w:r>
          </w:p>
          <w:p w14:paraId="003B1D39">
            <w:pPr>
              <w:pStyle w:val="NormalWeb"/>
              <w:spacing w:beforeAutospacing="0" w:afterAutospacing="0"/>
              <w:jc w:val="both"/>
              <w:rPr>
                <w:rFonts w:ascii="仿宋" w:eastAsia="仿宋" w:hAnsi="仿宋" w:cs="仿宋"/>
                <w:sz w:val="28"/>
                <w:szCs w:val="28"/>
              </w:rPr>
            </w:pPr>
            <w:sdt>
              <w:sdtPr>
                <w:rPr>
                  <w:rFonts w:ascii="仿宋" w:eastAsia="仿宋" w:hAnsi="仿宋" w:cs="仿宋" w:hint="eastAsia"/>
                  <w:sz w:val="28"/>
                  <w:szCs w:val="28"/>
                </w:rPr>
                <w:id w:val="147479985"/>
                <w14:checkbox>
                  <w14:checked w14:val="1"/>
                  <w14:checkedState w14:val="2611" w14:font="MS Gothic"/>
                  <w14:uncheckedState w14:val="2610" w14:font="MS Gothic"/>
                </w14:checkbox>
              </w:sdtPr>
              <w:sdtEndPr>
                <w:rPr>
                  <w:rFonts w:ascii="仿宋" w:eastAsia="仿宋" w:hAnsi="仿宋" w:cs="仿宋" w:hint="eastAsia"/>
                  <w:sz w:val="28"/>
                  <w:szCs w:val="28"/>
                </w:rPr>
              </w:sdtEndPr>
              <w:sdtContent>
                <w:r>
                  <w:rPr>
                    <w:rFonts w:ascii="MS Gothic" w:eastAsia="MS Gothic" w:hAnsi="MS Gothic" w:cs="MS Gothic"/>
                    <w:sz w:val="18"/>
                    <w:szCs w:val="18"/>
                    <w:lang w:val="en-US" w:eastAsia="zh-CN" w:bidi="ar-SA"/>
                  </w:rPr>
                  <w:t>☑</w:t>
                </w:r>
              </w:sdtContent>
            </w:sdt>
            <w:r>
              <w:rPr>
                <w:rFonts w:ascii="仿宋" w:eastAsia="仿宋" w:hAnsi="仿宋" w:cs="仿宋" w:hint="eastAsia"/>
                <w:sz w:val="28"/>
                <w:szCs w:val="28"/>
              </w:rPr>
              <w:t>具有</w:t>
            </w:r>
            <w:r>
              <w:rPr>
                <w:rFonts w:ascii="仿宋" w:eastAsia="仿宋" w:hAnsi="仿宋" w:cs="仿宋" w:hint="eastAsia"/>
                <w:sz w:val="28"/>
                <w:szCs w:val="28"/>
                <w:u w:val="single"/>
              </w:rPr>
              <w:t xml:space="preserve"> 工程类中级及以上  </w:t>
            </w:r>
            <w:r>
              <w:rPr>
                <w:rFonts w:ascii="仿宋" w:eastAsia="仿宋" w:hAnsi="仿宋" w:cs="仿宋" w:hint="eastAsia"/>
                <w:sz w:val="28"/>
                <w:szCs w:val="28"/>
              </w:rPr>
              <w:t>职称或者与项目经理要求相同的专业和等级的建造师；</w:t>
            </w:r>
          </w:p>
          <w:p w14:paraId="318AEF6A">
            <w:pPr>
              <w:spacing w:line="360" w:lineRule="auto"/>
              <w:rPr>
                <w:rFonts w:ascii="宋体" w:hAnsi="宋体"/>
              </w:rPr>
            </w:pPr>
            <w:sdt>
              <w:sdtPr>
                <w:rPr>
                  <w:rFonts w:ascii="仿宋" w:eastAsia="仿宋" w:hAnsi="仿宋" w:cs="仿宋" w:hint="eastAsia"/>
                  <w:sz w:val="28"/>
                  <w:szCs w:val="28"/>
                  <w:lang w:eastAsia="zh-CN"/>
                </w:rPr>
                <w:id w:val="147479975"/>
                <w14:checkbox>
                  <w14:checked w14:val="0"/>
                  <w14:checkedState w14:val="2611" w14:font="MS Gothic"/>
                  <w14:uncheckedState w14:val="2610" w14:font="MS Gothic"/>
                </w14:checkbox>
              </w:sdtPr>
              <w:sdtEndPr>
                <w:rPr>
                  <w:rFonts w:ascii="仿宋" w:eastAsia="仿宋" w:hAnsi="仿宋" w:cs="仿宋" w:hint="eastAsia"/>
                  <w:sz w:val="28"/>
                  <w:szCs w:val="28"/>
                  <w:lang w:eastAsia="zh-CN"/>
                </w:rPr>
              </w:sdtEndPr>
              <w:sdtContent>
                <w:r>
                  <w:rPr>
                    <w:rFonts w:ascii="MS Gothic" w:eastAsia="MS Gothic" w:hAnsi="MS Gothic" w:cs="MS Gothic"/>
                  </w:rPr>
                  <w:t>☐</w:t>
                </w:r>
              </w:sdtContent>
            </w:sdt>
            <w:r>
              <w:rPr>
                <w:rFonts w:ascii="仿宋" w:eastAsia="仿宋" w:hAnsi="仿宋" w:cs="仿宋" w:hint="eastAsia"/>
                <w:sz w:val="28"/>
                <w:szCs w:val="28"/>
                <w:lang w:eastAsia="zh-CN"/>
              </w:rPr>
              <w:t>无要求；</w:t>
            </w:r>
          </w:p>
          <w:p w14:paraId="1B8ED9BD">
            <w:pPr>
              <w:spacing w:line="360" w:lineRule="auto"/>
              <w:rPr>
                <w:rFonts w:ascii="宋体" w:hAnsi="宋体"/>
                <w:u w:val="single"/>
              </w:rPr>
            </w:pPr>
            <w:r>
              <w:rPr>
                <w:rFonts w:ascii="宋体" w:hAnsi="宋体" w:hint="eastAsia"/>
              </w:rPr>
              <w:t>（7）具备有效的安全生产许可证（园林绿化、电梯安装等不实行安全生产许可的除外）；</w:t>
            </w:r>
          </w:p>
          <w:p w14:paraId="54594AA3">
            <w:pPr>
              <w:spacing w:line="360" w:lineRule="auto"/>
              <w:rPr>
                <w:rFonts w:ascii="宋体" w:hAnsi="宋体"/>
              </w:rPr>
            </w:pPr>
            <w:r>
              <w:rPr>
                <w:rFonts w:ascii="宋体" w:hAnsi="宋体" w:hint="eastAsia"/>
              </w:rPr>
              <w:t>（8）其他要求（多项选择）</w:t>
            </w:r>
            <w:r>
              <w:rPr>
                <w:rFonts w:ascii="宋体" w:hAnsi="宋体"/>
              </w:rPr>
              <w:t>：</w:t>
            </w:r>
          </w:p>
          <w:p w14:paraId="7B944A91">
            <w:pPr>
              <w:adjustRightInd w:val="0"/>
              <w:snapToGrid w:val="0"/>
              <w:spacing w:line="360" w:lineRule="auto"/>
              <w:ind w:firstLine="600" w:firstLineChars="250"/>
              <w:rPr>
                <w:rFonts w:ascii="宋体" w:hAnsi="宋体" w:hint="eastAsia"/>
                <w:sz w:val="24"/>
                <w:szCs w:val="24"/>
                <w:highlight w:val="none"/>
                <w:lang w:val="en-US" w:eastAsia="zh-CN"/>
              </w:rPr>
            </w:pPr>
            <w:sdt>
              <w:sdtPr>
                <w:rPr>
                  <w:rFonts w:ascii="宋体" w:hAnsi="宋体" w:eastAsiaTheme="minorEastAsia" w:cs="Times New Roman" w:hint="eastAsia"/>
                  <w:sz w:val="24"/>
                  <w:szCs w:val="24"/>
                  <w:highlight w:val="none"/>
                  <w:lang w:val="en-US" w:eastAsia="en-US" w:bidi="ar-SA"/>
                </w:rPr>
                <w:id w:val="147460917"/>
                <w14:checkbox>
                  <w14:checked w14:val="0"/>
                  <w14:checkedState w14:val="2611" w14:font="MS Gothic"/>
                  <w14:uncheckedState w14:val="2610" w14:font="MS Gothic"/>
                </w14:checkbox>
              </w:sdtPr>
              <w:sdtEndPr>
                <w:rPr>
                  <w:rFonts w:ascii="宋体" w:hAnsi="宋体" w:eastAsiaTheme="minorEastAsia" w:cs="Times New Roman" w:hint="eastAsia"/>
                  <w:sz w:val="24"/>
                  <w:szCs w:val="24"/>
                  <w:highlight w:val="none"/>
                  <w:lang w:val="en-US" w:eastAsia="zh-CN" w:bidi="ar-SA"/>
                </w:rPr>
              </w:sdtEndPr>
              <w:sdtContent>
                <w:r>
                  <w:rPr>
                    <w:rFonts w:ascii="MS Gothic" w:eastAsia="MS Gothic" w:hAnsi="MS Gothic" w:cs="MS Gothic"/>
                  </w:rPr>
                  <w:t>☐</w:t>
                </w:r>
              </w:sdtContent>
            </w:sdt>
            <w:r>
              <w:rPr>
                <w:rFonts w:ascii="宋体" w:hAnsi="宋体" w:hint="eastAsia"/>
                <w:sz w:val="24"/>
                <w:szCs w:val="24"/>
                <w:highlight w:val="none"/>
                <w:lang w:val="en-US" w:eastAsia="zh-CN"/>
              </w:rPr>
              <w:t>本次招标仅面向中小企业发包（其中属于大企业的分支机构、存在控股股东为大企业、与大企业的负责人为同一人的情形的企业均不属于中小企业。若为联合体投标的，联合体所有单位均应属于中小企业）。具体标准以《工业和信息化部、国家统计局、国家发展和改革委员会、财政部关于印发中小企业划型标准规定的通知》（工信部联企业〔2011〕300号）中的“建筑业”划型标准为准，投标人应提供中小企业声明函。（除技术复杂、存在特殊要求外，我省依法必须招标的国家投资工程，招标控制价在3000万元以下的施工项目(标段) 应勾选此项。）</w:t>
            </w:r>
          </w:p>
          <w:p w14:paraId="02266924">
            <w:pPr>
              <w:adjustRightInd w:val="0"/>
              <w:snapToGrid w:val="0"/>
              <w:spacing w:line="360" w:lineRule="auto"/>
              <w:ind w:firstLine="600" w:firstLineChars="250"/>
              <w:rPr>
                <w:rFonts w:ascii="宋体" w:hAnsi="宋体" w:cs="宋体"/>
              </w:rPr>
            </w:pPr>
            <w:sdt>
              <w:sdtPr>
                <w:rPr>
                  <w:rFonts w:ascii="宋体" w:hAnsi="宋体" w:cs="宋体" w:hint="eastAsia"/>
                  <w:b/>
                  <w:u w:val="single"/>
                </w:rPr>
                <w:id w:val="147479923"/>
                <w14:checkbox>
                  <w14:checked w14:val="0"/>
                  <w14:checkedState w14:val="2611" w14:font="MS Gothic"/>
                  <w14:uncheckedState w14:val="2610" w14:font="MS Gothic"/>
                </w14:checkbox>
              </w:sdtPr>
              <w:sdtEndPr>
                <w:rPr>
                  <w:rFonts w:ascii="宋体" w:hAnsi="宋体" w:cs="宋体" w:hint="eastAsia"/>
                  <w:b/>
                  <w:u w:val="single"/>
                </w:rPr>
              </w:sdtEndPr>
              <w:sdtContent>
                <w:r>
                  <w:rPr>
                    <w:rFonts w:ascii="MS Gothic" w:eastAsia="MS Gothic" w:hAnsi="MS Gothic" w:cs="MS Gothic"/>
                  </w:rPr>
                  <w:t>☐</w:t>
                </w:r>
              </w:sdtContent>
            </w:sdt>
            <w:r>
              <w:rPr>
                <w:rFonts w:ascii="宋体" w:hAnsi="宋体" w:cs="宋体" w:hint="eastAsia"/>
                <w:b/>
                <w:u w:val="single"/>
              </w:rPr>
              <w:t xml:space="preserve">             </w:t>
            </w:r>
            <w:r>
              <w:rPr>
                <w:rFonts w:ascii="宋体" w:hAnsi="宋体" w:cs="宋体" w:hint="eastAsia"/>
              </w:rPr>
              <w:t>。</w:t>
            </w:r>
          </w:p>
          <w:p w14:paraId="2BF5D46F">
            <w:pPr>
              <w:adjustRightInd w:val="0"/>
              <w:snapToGrid w:val="0"/>
              <w:spacing w:line="360" w:lineRule="auto"/>
              <w:ind w:firstLine="600" w:firstLineChars="250"/>
              <w:rPr>
                <w:rFonts w:ascii="宋体" w:hAnsi="宋体"/>
              </w:rPr>
            </w:pPr>
          </w:p>
          <w:p w14:paraId="532AC0FD">
            <w:pPr>
              <w:spacing w:line="360" w:lineRule="auto"/>
              <w:rPr>
                <w:rFonts w:ascii="宋体" w:hAnsi="宋体"/>
              </w:rPr>
            </w:pPr>
            <w:r>
              <w:rPr>
                <w:rFonts w:ascii="宋体" w:hAnsi="宋体" w:hint="eastAsia"/>
              </w:rPr>
              <w:t>注</w:t>
            </w:r>
            <w:r>
              <w:rPr>
                <w:rFonts w:ascii="宋体" w:hAnsi="宋体"/>
              </w:rPr>
              <w:t>：</w:t>
            </w:r>
            <w:r>
              <w:rPr>
                <w:rFonts w:ascii="宋体" w:hAnsi="宋体" w:hint="eastAsia"/>
              </w:rPr>
              <w:t>（1）招标人在“投标人资质条件、能力和信誉”要求中，除 1.4.1 已列入的外，招标人不得脱离招标项目的具体特点和实际需要，随意和盲目地设定投标人要求，不得设定与招标项目具体特点和实际需要不相适应的资质资格、技术、商务条件或者业绩、奖项要求，不得设定企业股东背景、年平均承接项目数量或者金额、从业人员、纳税额、营业场所面积等规模条件，不得设定超过项目实际需要的企业注册资本、资产总额、净资产规模、营业收入、利润、授信额度等财务指标，不得设定与招标项目实际需要不相适应或者与合同履行无关的资质、人员资格等，不得设定特定行政区域或者特定行业的业绩、奖项，不得设定投标人在本地注册设立子公司、分公司、分支机构，在本地拥有一定办公面积，在本地缴纳社会保险等，不得限定或者指定特定的专利、商标、品牌、原产地或者供应商，不得限定潜在投标人或者投标人所有制形式或者组织形式，不得设定国家已经明令取消的资质资格、非国家法定的资格，不得设定政府部门、行业协会商会或者其他机构对投标人作出的荣誉奖励和慈善公益证明等，</w:t>
            </w:r>
            <w:r>
              <w:rPr>
                <w:rFonts w:ascii="仿宋" w:eastAsia="仿宋" w:hAnsi="仿宋" w:cs="仿宋" w:hint="eastAsia"/>
                <w:b/>
                <w:bCs/>
              </w:rPr>
              <w:t>不得设定国家职业资格目录中准入类职业资格以外的人员资格</w:t>
            </w:r>
            <w:r>
              <w:rPr>
                <w:rFonts w:ascii="宋体" w:hAnsi="宋体" w:hint="eastAsia"/>
              </w:rPr>
              <w:t>，不得设定要求投标人提供材料供应商授权书等，不得将施工员、质量员、安全员等现场专业管理人员配备情况列入招标文件中投标人响应承诺事项，否则属于以不合理条件限制、排斥潜在投标人或者投标人。</w:t>
            </w:r>
          </w:p>
          <w:p w14:paraId="7A134B64">
            <w:pPr>
              <w:spacing w:line="360" w:lineRule="auto"/>
              <w:rPr>
                <w:rFonts w:ascii="宋体" w:hAnsi="宋体"/>
              </w:rPr>
            </w:pPr>
            <w:r>
              <w:rPr>
                <w:rFonts w:ascii="宋体" w:hAnsi="宋体" w:hint="eastAsia"/>
              </w:rPr>
              <w:t>（2）招标人应该按照住房城乡建设部关于印发《建筑业企业资质标准》的通知（建市〔2014〕159 号）和《住房城乡建设部关于简化建筑业企业资质标准部分</w:t>
            </w:r>
            <w:r>
              <w:rPr>
                <w:rFonts w:ascii="宋体" w:hAnsi="宋体"/>
              </w:rPr>
              <w:t>指标</w:t>
            </w:r>
            <w:r>
              <w:rPr>
                <w:rFonts w:ascii="宋体" w:hAnsi="宋体" w:hint="eastAsia"/>
              </w:rPr>
              <w:t>的通知》（建市〔201</w:t>
            </w:r>
            <w:r>
              <w:rPr>
                <w:rFonts w:ascii="宋体" w:hAnsi="宋体"/>
              </w:rPr>
              <w:t>6</w:t>
            </w:r>
            <w:r>
              <w:rPr>
                <w:rFonts w:ascii="宋体" w:hAnsi="宋体" w:hint="eastAsia"/>
              </w:rPr>
              <w:t>〕</w:t>
            </w:r>
            <w:r>
              <w:rPr>
                <w:rFonts w:ascii="宋体" w:hAnsi="宋体"/>
              </w:rPr>
              <w:t>226</w:t>
            </w:r>
            <w:r>
              <w:rPr>
                <w:rFonts w:ascii="宋体" w:hAnsi="宋体" w:hint="eastAsia"/>
              </w:rPr>
              <w:t xml:space="preserve"> 号）及其配套规定确定对投标人的资质等级要求。</w:t>
            </w:r>
          </w:p>
          <w:p w14:paraId="4F21C13D">
            <w:pPr>
              <w:spacing w:line="360" w:lineRule="auto"/>
              <w:rPr>
                <w:rFonts w:ascii="宋体" w:hAnsi="宋体"/>
              </w:rPr>
            </w:pPr>
            <w:r>
              <w:rPr>
                <w:rFonts w:ascii="宋体" w:hAnsi="宋体" w:hint="eastAsia"/>
              </w:rPr>
              <w:t>（3）资质类别：资质类别应与招标工程内容相对应，当招标工程内容涉及多个资质时，应合理划分标段发包或通过总承包后专业分包的方式发包；确需整体发包要求投标人具备相应多个资质的，应接受投标人组成联合体投标，且不得限制联合体成员的数量。</w:t>
            </w:r>
          </w:p>
          <w:p w14:paraId="546F0A07">
            <w:pPr>
              <w:spacing w:line="360" w:lineRule="auto"/>
              <w:rPr>
                <w:rFonts w:ascii="宋体" w:hAnsi="宋体"/>
              </w:rPr>
            </w:pPr>
            <w:r>
              <w:rPr>
                <w:rFonts w:ascii="宋体" w:hAnsi="宋体" w:hint="eastAsia"/>
              </w:rPr>
              <w:t>施工总承包工程应由取得相应施工总承包资质的企业承担。设有专业承包资质的专业工程单独发包时，应由取得相应专业承包资质的企业承担。</w:t>
            </w:r>
          </w:p>
          <w:p w14:paraId="156FCCB8">
            <w:pPr>
              <w:spacing w:line="360" w:lineRule="auto"/>
              <w:rPr>
                <w:rFonts w:ascii="宋体" w:hAnsi="宋体"/>
              </w:rPr>
            </w:pPr>
            <w:r>
              <w:rPr>
                <w:rFonts w:ascii="宋体" w:hAnsi="宋体" w:hint="eastAsia"/>
              </w:rPr>
              <w:t>（4）不具备相应资质或超越资质等级取得的业绩，不作为有效业绩认定。</w:t>
            </w:r>
          </w:p>
          <w:p w14:paraId="62A276E8">
            <w:pPr>
              <w:spacing w:line="360" w:lineRule="auto"/>
              <w:rPr>
                <w:rFonts w:ascii="宋体" w:hAnsi="宋体"/>
                <w:lang w:eastAsia="zh-CN"/>
              </w:rPr>
            </w:pPr>
            <w:r>
              <w:rPr>
                <w:rFonts w:ascii="宋体" w:hAnsi="宋体" w:hint="eastAsia"/>
              </w:rPr>
              <w:t>（5）</w:t>
            </w:r>
            <w:r>
              <w:rPr>
                <w:rFonts w:ascii="宋体" w:hAnsi="宋体" w:cs="宋体" w:hint="eastAsia"/>
              </w:rPr>
              <w:t>重组、分立后的企业，其重组、分立前承接的工程项目不作为有效业绩认定；合并后的新企业，原企业在合并前承接的工程项目，提供了企业合并相关证明材料的，作为有效业绩认定</w:t>
            </w:r>
            <w:r>
              <w:rPr>
                <w:rFonts w:ascii="宋体" w:hAnsi="宋体" w:hint="eastAsia"/>
              </w:rPr>
              <w:t>。</w:t>
            </w:r>
          </w:p>
        </w:tc>
      </w:tr>
      <w:tr w14:paraId="23932E9E">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0381AA3E">
            <w:pPr>
              <w:spacing w:line="360" w:lineRule="auto"/>
              <w:jc w:val="center"/>
              <w:rPr>
                <w:rFonts w:ascii="宋体" w:hAnsi="宋体"/>
              </w:rPr>
            </w:pPr>
            <w:r>
              <w:rPr>
                <w:rFonts w:ascii="宋体" w:hAnsi="宋体" w:hint="eastAsia"/>
              </w:rPr>
              <w:t>1.4.2</w:t>
            </w:r>
          </w:p>
        </w:tc>
        <w:tc>
          <w:tcPr>
            <w:tcW w:w="2069" w:type="dxa"/>
            <w:tcBorders>
              <w:top w:val="single" w:sz="2" w:space="0" w:color="auto"/>
              <w:left w:val="single" w:sz="2" w:space="0" w:color="auto"/>
              <w:bottom w:val="single" w:sz="2" w:space="0" w:color="auto"/>
              <w:right w:val="single" w:sz="2" w:space="0" w:color="auto"/>
            </w:tcBorders>
            <w:vAlign w:val="center"/>
          </w:tcPr>
          <w:p w14:paraId="6BA78A7A">
            <w:pPr>
              <w:spacing w:line="360" w:lineRule="auto"/>
              <w:jc w:val="center"/>
              <w:rPr>
                <w:rFonts w:ascii="宋体" w:hAnsi="宋体"/>
              </w:rPr>
            </w:pPr>
            <w:r>
              <w:rPr>
                <w:rFonts w:ascii="宋体" w:hAnsi="宋体" w:hint="eastAsia"/>
              </w:rPr>
              <w:t>是否接受</w:t>
            </w:r>
          </w:p>
          <w:p w14:paraId="050C4089">
            <w:pPr>
              <w:spacing w:line="360" w:lineRule="auto"/>
              <w:jc w:val="center"/>
              <w:rPr>
                <w:rFonts w:ascii="宋体" w:hAnsi="宋体"/>
              </w:rPr>
            </w:pPr>
            <w:r>
              <w:rPr>
                <w:rFonts w:ascii="宋体" w:hAnsi="宋体" w:hint="eastAsia"/>
              </w:rPr>
              <w:t>联合体投标</w:t>
            </w:r>
          </w:p>
        </w:tc>
        <w:tc>
          <w:tcPr>
            <w:tcW w:w="6027" w:type="dxa"/>
            <w:tcBorders>
              <w:top w:val="single" w:sz="2" w:space="0" w:color="auto"/>
              <w:left w:val="single" w:sz="2" w:space="0" w:color="auto"/>
              <w:bottom w:val="single" w:sz="2" w:space="0" w:color="auto"/>
              <w:right w:val="single" w:sz="2" w:space="0" w:color="auto"/>
            </w:tcBorders>
            <w:vAlign w:val="center"/>
          </w:tcPr>
          <w:p w14:paraId="06ACB58D">
            <w:pPr>
              <w:spacing w:line="360" w:lineRule="auto"/>
              <w:rPr>
                <w:rFonts w:ascii="宋体" w:hAnsi="宋体"/>
                <w:lang w:eastAsia="zh-CN"/>
              </w:rPr>
            </w:pPr>
            <w:sdt>
              <w:sdtPr>
                <w:rPr>
                  <w:rFonts w:ascii="宋体" w:hAnsi="宋体" w:hint="eastAsia"/>
                  <w:lang w:eastAsia="zh-CN"/>
                </w:rPr>
                <w:id w:val="232134100"/>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不接受</w:t>
            </w:r>
          </w:p>
          <w:p w14:paraId="4F58F0FC">
            <w:pPr>
              <w:spacing w:line="360" w:lineRule="auto"/>
              <w:rPr>
                <w:rFonts w:ascii="宋体" w:hAnsi="宋体"/>
                <w:u w:val="single"/>
                <w:lang w:eastAsia="zh-CN"/>
              </w:rPr>
            </w:pPr>
            <w:sdt>
              <w:sdtPr>
                <w:rPr>
                  <w:rFonts w:ascii="宋体" w:hAnsi="宋体" w:hint="eastAsia"/>
                  <w:lang w:eastAsia="zh-CN"/>
                </w:rPr>
                <w:id w:val="175704366"/>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接受，应满足下列要求：</w:t>
            </w:r>
            <w:r>
              <w:rPr>
                <w:rFonts w:ascii="宋体" w:hAnsi="宋体" w:cs="宋体" w:hint="eastAsia"/>
                <w:bCs/>
                <w:color w:val="00B0F0"/>
                <w:u w:val="single"/>
                <w:lang w:eastAsia="zh-CN"/>
              </w:rPr>
              <w:t xml:space="preserve">                   </w:t>
            </w:r>
            <w:r>
              <w:rPr>
                <w:rFonts w:ascii="宋体" w:hAnsi="宋体" w:hint="eastAsia"/>
                <w:lang w:eastAsia="zh-CN"/>
              </w:rPr>
              <w:t>。</w:t>
            </w:r>
          </w:p>
          <w:p w14:paraId="603DD7AC">
            <w:pPr>
              <w:spacing w:line="360" w:lineRule="auto"/>
              <w:rPr>
                <w:rFonts w:ascii="宋体" w:hAnsi="宋体"/>
                <w:lang w:eastAsia="zh-CN"/>
              </w:rPr>
            </w:pPr>
            <w:r>
              <w:rPr>
                <w:rFonts w:ascii="宋体" w:hAnsi="宋体" w:hint="eastAsia"/>
                <w:lang w:eastAsia="zh-CN"/>
              </w:rPr>
              <w:t>（1）联合体资质应符合法律法规的规定，并按照联合体协议约定的职责分工予以认定。</w:t>
            </w:r>
          </w:p>
          <w:p w14:paraId="68912473">
            <w:pPr>
              <w:spacing w:line="360" w:lineRule="auto"/>
              <w:rPr>
                <w:rFonts w:ascii="宋体" w:hAnsi="宋体"/>
                <w:lang w:eastAsia="zh-CN"/>
              </w:rPr>
            </w:pPr>
            <w:r>
              <w:rPr>
                <w:rFonts w:ascii="宋体" w:hAnsi="宋体" w:hint="eastAsia"/>
                <w:lang w:eastAsia="zh-CN"/>
              </w:rPr>
              <w:t>（2）联合体投标，应由联合体牵头人获取招标文件和提交投标保证金，在制作数据电文形式投标文件时，投标人名称应填写联合体牵头人名称。如未按要求进行投标，导致投标文件无法读取，由投标人自行负责。</w:t>
            </w:r>
          </w:p>
        </w:tc>
      </w:tr>
      <w:tr w14:paraId="6E22CC72">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77831BA9">
            <w:pPr>
              <w:spacing w:line="360" w:lineRule="auto"/>
              <w:jc w:val="center"/>
              <w:rPr>
                <w:rFonts w:ascii="宋体" w:hAnsi="宋体"/>
              </w:rPr>
            </w:pPr>
            <w:r>
              <w:rPr>
                <w:rFonts w:ascii="宋体" w:hAnsi="宋体" w:hint="eastAsia"/>
              </w:rPr>
              <w:t>1.4.3</w:t>
            </w:r>
          </w:p>
        </w:tc>
        <w:tc>
          <w:tcPr>
            <w:tcW w:w="2069" w:type="dxa"/>
            <w:tcBorders>
              <w:top w:val="single" w:sz="2" w:space="0" w:color="auto"/>
              <w:left w:val="single" w:sz="2" w:space="0" w:color="auto"/>
              <w:bottom w:val="single" w:sz="2" w:space="0" w:color="auto"/>
              <w:right w:val="single" w:sz="2" w:space="0" w:color="auto"/>
            </w:tcBorders>
            <w:vAlign w:val="center"/>
          </w:tcPr>
          <w:p w14:paraId="17301AEF">
            <w:pPr>
              <w:spacing w:line="360" w:lineRule="auto"/>
              <w:jc w:val="center"/>
              <w:rPr>
                <w:rFonts w:ascii="宋体" w:hAnsi="宋体"/>
              </w:rPr>
            </w:pPr>
            <w:r>
              <w:rPr>
                <w:rFonts w:ascii="宋体" w:hAnsi="宋体" w:hint="eastAsia"/>
              </w:rPr>
              <w:t>限制投标的情形</w:t>
            </w:r>
          </w:p>
        </w:tc>
        <w:tc>
          <w:tcPr>
            <w:tcW w:w="6027" w:type="dxa"/>
            <w:tcBorders>
              <w:top w:val="single" w:sz="2" w:space="0" w:color="auto"/>
              <w:left w:val="single" w:sz="2" w:space="0" w:color="auto"/>
              <w:bottom w:val="single" w:sz="2" w:space="0" w:color="auto"/>
              <w:right w:val="single" w:sz="2" w:space="0" w:color="auto"/>
            </w:tcBorders>
            <w:vAlign w:val="center"/>
          </w:tcPr>
          <w:p w14:paraId="7466E403">
            <w:pPr>
              <w:spacing w:line="360" w:lineRule="auto"/>
              <w:rPr>
                <w:rFonts w:ascii="宋体" w:hAnsi="宋体"/>
                <w:lang w:eastAsia="zh-CN"/>
              </w:rPr>
            </w:pPr>
            <w:r>
              <w:rPr>
                <w:rFonts w:ascii="宋体" w:hAnsi="宋体" w:cs="宋体" w:hint="eastAsia"/>
                <w:lang w:eastAsia="zh-CN"/>
              </w:rPr>
              <w:t>除投标人不得存在的12种情形之一外，投标人也不得存在下列情形：</w:t>
            </w:r>
          </w:p>
          <w:p w14:paraId="7275592A">
            <w:pPr>
              <w:spacing w:line="360" w:lineRule="auto"/>
              <w:rPr>
                <w:rFonts w:ascii="宋体" w:hAnsi="宋体"/>
                <w:lang w:eastAsia="zh-CN"/>
              </w:rPr>
            </w:pPr>
            <w:r>
              <w:rPr>
                <w:rFonts w:ascii="宋体" w:hAnsi="宋体" w:hint="eastAsia"/>
                <w:lang w:eastAsia="zh-CN"/>
              </w:rPr>
              <w:t>（13）与招标人存在利害关系且可能影响招标公正性的；</w:t>
            </w:r>
          </w:p>
          <w:p w14:paraId="54CB8E22">
            <w:pPr>
              <w:spacing w:line="360" w:lineRule="auto"/>
              <w:rPr>
                <w:rFonts w:ascii="宋体" w:hAnsi="宋体" w:cs="宋体"/>
                <w:lang w:eastAsia="zh-CN"/>
              </w:rPr>
            </w:pPr>
            <w:r>
              <w:rPr>
                <w:rFonts w:ascii="宋体" w:hAnsi="宋体" w:cs="宋体" w:hint="eastAsia"/>
                <w:lang w:eastAsia="zh-CN"/>
              </w:rPr>
              <w:t>（14）在最近三年内投标人或其法定代表人、拟委任的项目经理有行贿犯罪行为的；</w:t>
            </w:r>
          </w:p>
          <w:p w14:paraId="11762D54">
            <w:pPr>
              <w:spacing w:line="360" w:lineRule="auto"/>
              <w:rPr>
                <w:rFonts w:ascii="宋体" w:hAnsi="宋体" w:cs="宋体"/>
                <w:lang w:eastAsia="zh-CN"/>
              </w:rPr>
            </w:pPr>
            <w:r>
              <w:rPr>
                <w:rFonts w:ascii="宋体" w:hAnsi="宋体" w:cs="宋体" w:hint="eastAsia"/>
                <w:lang w:eastAsia="zh-CN"/>
              </w:rPr>
              <w:t>（15）在最近一年内投标人拟委任的项目经理因违反《注册建造师管理规定》被建设主管部门或者其他有关部门行政处罚的；</w:t>
            </w:r>
          </w:p>
          <w:p w14:paraId="6F19680F">
            <w:pPr>
              <w:spacing w:line="360" w:lineRule="auto"/>
              <w:rPr>
                <w:rFonts w:ascii="宋体" w:hAnsi="宋体"/>
                <w:lang w:eastAsia="zh-CN"/>
              </w:rPr>
            </w:pPr>
            <w:r>
              <w:rPr>
                <w:rFonts w:ascii="宋体" w:hAnsi="宋体" w:hint="eastAsia"/>
                <w:lang w:eastAsia="zh-CN"/>
              </w:rPr>
              <w:t>（16）单位负责人为同一人或者存在控股、管理关系的不同单位，不得在同一标段或未划分标段的同一项目中同时投标。</w:t>
            </w:r>
          </w:p>
          <w:p w14:paraId="720F3FE5">
            <w:pPr>
              <w:spacing w:line="360" w:lineRule="auto"/>
              <w:rPr>
                <w:rFonts w:ascii="宋体" w:hAnsi="宋体"/>
                <w:lang w:eastAsia="zh-CN"/>
              </w:rPr>
            </w:pPr>
            <w:r>
              <w:rPr>
                <w:rFonts w:ascii="宋体" w:hAnsi="宋体" w:hint="eastAsia"/>
                <w:lang w:eastAsia="zh-CN"/>
              </w:rPr>
              <w:t>（17）拟任项目经理在参加本项目投标时（指提交投标文件截止时间），在其他合同履行期间（合同履行期间是指从工程项目签订承包合同之日起至工程项目验收合格之日止的时间)的工程项目中担任项目经理或施工负责人的（</w:t>
            </w:r>
            <w:sdt>
              <w:sdtPr>
                <w:rPr>
                  <w:rFonts w:ascii="宋体" w:hAnsi="宋体" w:hint="eastAsia"/>
                  <w:lang w:eastAsia="zh-CN"/>
                </w:rPr>
                <w:id w:val="-388577138"/>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在本项目其他标段担任项目经理的除外）。</w:t>
            </w:r>
          </w:p>
          <w:p w14:paraId="515924A7">
            <w:pPr>
              <w:spacing w:line="360" w:lineRule="auto"/>
              <w:rPr>
                <w:rFonts w:ascii="宋体" w:hAnsi="宋体" w:cs="宋体"/>
                <w:lang w:eastAsia="zh-CN"/>
              </w:rPr>
            </w:pPr>
            <w:sdt>
              <w:sdtPr>
                <w:rPr>
                  <w:rFonts w:ascii="宋体" w:hAnsi="宋体" w:hint="eastAsia"/>
                  <w:lang w:eastAsia="zh-CN"/>
                </w:rPr>
                <w:id w:val="-1775083086"/>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（18）</w:t>
            </w:r>
            <w:r>
              <w:rPr>
                <w:rFonts w:ascii="宋体" w:hAnsi="宋体" w:cs="宋体" w:hint="eastAsia"/>
                <w:lang w:eastAsia="zh-CN"/>
              </w:rPr>
              <w:t>根据国家或四川省有关部门制定的联合惩戒措施规范性文件（联合惩戒措施包括限制参与工程招投标或限制参与政府采购活动），被列为联合惩戒对象的；</w:t>
            </w:r>
          </w:p>
          <w:p w14:paraId="4D86FA71">
            <w:pPr>
              <w:spacing w:line="360" w:lineRule="auto"/>
              <w:rPr>
                <w:rFonts w:ascii="宋体" w:hAnsi="宋体" w:cs="宋体"/>
                <w:lang w:eastAsia="zh-CN"/>
              </w:rPr>
            </w:pPr>
          </w:p>
          <w:p w14:paraId="40225CA3">
            <w:pPr>
              <w:spacing w:line="360" w:lineRule="auto"/>
              <w:jc w:val="left"/>
              <w:rPr>
                <w:rFonts w:ascii="宋体" w:hAnsi="宋体" w:cs="宋体" w:hint="eastAsia"/>
                <w:szCs w:val="21"/>
                <w:lang w:eastAsia="zh-CN"/>
              </w:rPr>
            </w:pPr>
            <w:r>
              <w:rPr>
                <w:rFonts w:ascii="宋体" w:hAnsi="宋体" w:cs="宋体" w:hint="eastAsia"/>
                <w:color w:val="auto"/>
                <w:kern w:val="0"/>
                <w:sz w:val="24"/>
              </w:rPr>
              <w:t>（19）投标人电子投标文件计算机网卡MAC地址、硬盘系列号、已标价工程量清单电子文档记录的计价权健加密锁锁号、投标过程中下载招标文件或上传电子投标文件（包括解密电子投标文件）IP地址信息，对任意一项相同的投标人名单及信息，经开标现场相关人员确认后报该项目评标委员会，评标委员会应当予以否决其投标。</w:t>
            </w:r>
          </w:p>
          <w:p w14:paraId="5A7A4CA8">
            <w:pPr>
              <w:spacing w:line="360" w:lineRule="auto"/>
              <w:rPr>
                <w:rFonts w:ascii="宋体" w:hAnsi="宋体" w:cs="宋体"/>
                <w:sz w:val="21"/>
                <w:szCs w:val="21"/>
                <w:lang w:eastAsia="zh-CN"/>
              </w:rPr>
            </w:pPr>
            <w:r>
              <w:rPr>
                <w:rFonts w:ascii="宋体" w:hAnsi="宋体" w:cs="宋体" w:hint="eastAsia"/>
                <w:szCs w:val="21"/>
                <w:lang w:eastAsia="zh-CN"/>
              </w:rPr>
              <w:t>注：除此之外招标人不得另行增加其他限制投标情形。</w:t>
            </w:r>
          </w:p>
          <w:p w14:paraId="6A73E03E">
            <w:pPr>
              <w:spacing w:line="360" w:lineRule="auto"/>
              <w:rPr>
                <w:rFonts w:ascii="宋体" w:hAnsi="宋体"/>
                <w:lang w:eastAsia="zh-CN"/>
              </w:rPr>
            </w:pPr>
          </w:p>
          <w:p w14:paraId="32AB8027">
            <w:pPr>
              <w:spacing w:line="360" w:lineRule="auto"/>
              <w:rPr>
                <w:rFonts w:ascii="宋体" w:hAnsi="宋体"/>
                <w:lang w:eastAsia="zh-CN"/>
              </w:rPr>
            </w:pPr>
            <w:r>
              <w:rPr>
                <w:rFonts w:ascii="宋体" w:hAnsi="宋体" w:hint="eastAsia"/>
                <w:lang w:eastAsia="zh-CN"/>
              </w:rPr>
              <w:t>本条（12）、（15）规定的事项，</w:t>
            </w:r>
            <w:r>
              <w:rPr>
                <w:rFonts w:ascii="宋体" w:hAnsi="宋体" w:cs="宋体" w:hint="eastAsia"/>
                <w:lang w:eastAsia="zh-CN"/>
              </w:rPr>
              <w:t>应以有关行政主管部门出具的已生效的行政处罚决定书为依据，“近三年”“近一年”应以行政处罚决定书的出具时间起算</w:t>
            </w:r>
            <w:r>
              <w:rPr>
                <w:rFonts w:ascii="宋体" w:hAnsi="宋体" w:hint="eastAsia"/>
                <w:lang w:eastAsia="zh-CN"/>
              </w:rPr>
              <w:t>。</w:t>
            </w:r>
          </w:p>
          <w:p w14:paraId="7CA5E1AB">
            <w:pPr>
              <w:spacing w:line="360" w:lineRule="auto"/>
              <w:rPr>
                <w:rFonts w:ascii="宋体" w:hAnsi="宋体"/>
                <w:lang w:eastAsia="zh-CN"/>
              </w:rPr>
            </w:pPr>
            <w:r>
              <w:rPr>
                <w:rFonts w:ascii="宋体" w:hAnsi="宋体" w:hint="eastAsia"/>
                <w:lang w:eastAsia="zh-CN"/>
              </w:rPr>
              <w:t>“被暂停或取消投标资格的”是指：</w:t>
            </w:r>
          </w:p>
          <w:p w14:paraId="07584B1B">
            <w:pPr>
              <w:spacing w:line="360" w:lineRule="auto"/>
              <w:rPr>
                <w:rFonts w:ascii="宋体" w:hAnsi="宋体"/>
                <w:lang w:eastAsia="zh-CN"/>
              </w:rPr>
            </w:pPr>
            <w:r>
              <w:rPr>
                <w:rFonts w:ascii="宋体" w:hAnsi="宋体" w:hint="eastAsia"/>
                <w:lang w:eastAsia="zh-CN"/>
              </w:rPr>
              <w:t>投标人存在被行政主管部门依据法律、法规、规章作出暂停或取消一定时期投标资格的已生效行政处罚，其限制投标范围与所依据的法律、法规、规章适用范围相同，与行政处罚规定的限制投标行政区域无关。</w:t>
            </w:r>
          </w:p>
          <w:p w14:paraId="530990C5">
            <w:pPr>
              <w:spacing w:line="360" w:lineRule="auto"/>
              <w:rPr>
                <w:rFonts w:ascii="宋体" w:hAnsi="宋体"/>
                <w:lang w:eastAsia="zh-CN"/>
              </w:rPr>
            </w:pPr>
          </w:p>
        </w:tc>
      </w:tr>
      <w:tr w14:paraId="7F6E00C3">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35E1A5E">
            <w:pPr>
              <w:spacing w:line="360" w:lineRule="auto"/>
              <w:jc w:val="center"/>
              <w:rPr>
                <w:rFonts w:ascii="宋体" w:hAnsi="宋体"/>
              </w:rPr>
            </w:pPr>
            <w:r>
              <w:rPr>
                <w:rFonts w:ascii="宋体" w:hAnsi="宋体" w:hint="eastAsia"/>
              </w:rPr>
              <w:t>1.9.1</w:t>
            </w:r>
          </w:p>
        </w:tc>
        <w:tc>
          <w:tcPr>
            <w:tcW w:w="2069" w:type="dxa"/>
            <w:tcBorders>
              <w:top w:val="single" w:sz="2" w:space="0" w:color="auto"/>
              <w:left w:val="single" w:sz="2" w:space="0" w:color="auto"/>
              <w:bottom w:val="single" w:sz="2" w:space="0" w:color="auto"/>
              <w:right w:val="single" w:sz="2" w:space="0" w:color="auto"/>
            </w:tcBorders>
            <w:vAlign w:val="center"/>
          </w:tcPr>
          <w:p w14:paraId="01D3F15C">
            <w:pPr>
              <w:spacing w:line="360" w:lineRule="auto"/>
              <w:jc w:val="center"/>
              <w:rPr>
                <w:rFonts w:ascii="宋体" w:hAnsi="宋体"/>
              </w:rPr>
            </w:pPr>
            <w:r>
              <w:rPr>
                <w:rFonts w:ascii="宋体" w:hAnsi="宋体" w:hint="eastAsia"/>
              </w:rPr>
              <w:t>踏勘现场</w:t>
            </w:r>
          </w:p>
        </w:tc>
        <w:tc>
          <w:tcPr>
            <w:tcW w:w="6027" w:type="dxa"/>
            <w:tcBorders>
              <w:top w:val="single" w:sz="2" w:space="0" w:color="auto"/>
              <w:left w:val="single" w:sz="2" w:space="0" w:color="auto"/>
              <w:bottom w:val="single" w:sz="2" w:space="0" w:color="auto"/>
              <w:right w:val="single" w:sz="2" w:space="0" w:color="auto"/>
            </w:tcBorders>
            <w:vAlign w:val="center"/>
          </w:tcPr>
          <w:p w14:paraId="41855E05">
            <w:pPr>
              <w:tabs>
                <w:tab w:val="left" w:pos="1430"/>
              </w:tabs>
              <w:adjustRightInd w:val="0"/>
              <w:snapToGrid w:val="0"/>
              <w:spacing w:line="360" w:lineRule="auto"/>
              <w:rPr>
                <w:rFonts w:ascii="宋体" w:hAnsi="宋体" w:cs="宋体"/>
                <w:u w:val="single"/>
                <w:lang w:eastAsia="zh-CN"/>
              </w:rPr>
            </w:pPr>
            <w:sdt>
              <w:sdtPr>
                <w:rPr>
                  <w:rFonts w:ascii="宋体" w:hAnsi="宋体" w:cs="宋体" w:hint="eastAsia"/>
                  <w:lang w:eastAsia="zh-CN"/>
                </w:rPr>
                <w:id w:val="538481685"/>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组织，时间</w:t>
            </w:r>
            <w:r>
              <w:rPr>
                <w:rFonts w:ascii="宋体" w:hAnsi="宋体" w:cs="宋体" w:hint="eastAsia"/>
                <w:color w:val="00B0F0"/>
                <w:u w:val="single"/>
                <w:lang w:eastAsia="zh-CN"/>
              </w:rPr>
              <w:t xml:space="preserve">          </w:t>
            </w:r>
            <w:r>
              <w:rPr>
                <w:rFonts w:ascii="宋体" w:hAnsi="宋体" w:cs="宋体" w:hint="eastAsia"/>
                <w:lang w:eastAsia="zh-CN"/>
              </w:rPr>
              <w:t>地点</w:t>
            </w:r>
            <w:r>
              <w:rPr>
                <w:rFonts w:ascii="宋体" w:hAnsi="宋体" w:cs="宋体" w:hint="eastAsia"/>
                <w:color w:val="00B0F0"/>
                <w:u w:val="single"/>
                <w:lang w:eastAsia="zh-CN"/>
              </w:rPr>
              <w:t xml:space="preserve">          </w:t>
            </w:r>
          </w:p>
          <w:p w14:paraId="40C89B03">
            <w:pPr>
              <w:tabs>
                <w:tab w:val="left" w:pos="1430"/>
              </w:tabs>
              <w:adjustRightInd w:val="0"/>
              <w:snapToGrid w:val="0"/>
              <w:spacing w:line="360" w:lineRule="auto"/>
              <w:ind w:firstLine="960" w:firstLineChars="400"/>
              <w:rPr>
                <w:rFonts w:ascii="宋体" w:hAnsi="宋体" w:cs="宋体"/>
                <w:u w:val="single"/>
                <w:lang w:eastAsia="zh-CN"/>
              </w:rPr>
            </w:pPr>
            <w:r>
              <w:rPr>
                <w:rFonts w:ascii="宋体" w:hAnsi="宋体" w:cs="宋体" w:hint="eastAsia"/>
                <w:lang w:eastAsia="zh-CN"/>
              </w:rPr>
              <w:t>联系人</w:t>
            </w:r>
            <w:r>
              <w:rPr>
                <w:rFonts w:ascii="宋体" w:hAnsi="宋体" w:cs="宋体" w:hint="eastAsia"/>
                <w:color w:val="00B0F0"/>
                <w:u w:val="single"/>
                <w:lang w:eastAsia="zh-CN"/>
              </w:rPr>
              <w:t xml:space="preserve">          </w:t>
            </w:r>
            <w:r>
              <w:rPr>
                <w:rFonts w:ascii="宋体" w:hAnsi="宋体" w:cs="宋体" w:hint="eastAsia"/>
                <w:lang w:eastAsia="zh-CN"/>
              </w:rPr>
              <w:t>联系电话</w:t>
            </w:r>
            <w:r>
              <w:rPr>
                <w:rFonts w:ascii="宋体" w:hAnsi="宋体" w:cs="宋体" w:hint="eastAsia"/>
                <w:color w:val="00B0F0"/>
                <w:u w:val="single"/>
                <w:lang w:eastAsia="zh-CN"/>
              </w:rPr>
              <w:t xml:space="preserve">          </w:t>
            </w:r>
          </w:p>
          <w:p w14:paraId="1E4581EF">
            <w:pPr>
              <w:tabs>
                <w:tab w:val="left" w:pos="1430"/>
              </w:tabs>
              <w:adjustRightInd w:val="0"/>
              <w:snapToGrid w:val="0"/>
              <w:spacing w:line="360" w:lineRule="auto"/>
              <w:rPr>
                <w:rFonts w:ascii="宋体" w:hAnsi="宋体" w:cs="宋体"/>
                <w:lang w:eastAsia="zh-CN"/>
              </w:rPr>
            </w:pPr>
            <w:r>
              <w:rPr>
                <w:rFonts w:ascii="宋体" w:hAnsi="宋体" w:cs="宋体" w:hint="eastAsia"/>
                <w:lang w:eastAsia="zh-CN"/>
              </w:rPr>
              <w:t>招标人不组织潜在投标人签到、点名，不出具回执。</w:t>
            </w:r>
          </w:p>
          <w:p w14:paraId="02FB0CFA">
            <w:pPr>
              <w:tabs>
                <w:tab w:val="left" w:pos="1430"/>
              </w:tabs>
              <w:adjustRightInd w:val="0"/>
              <w:snapToGrid w:val="0"/>
              <w:spacing w:line="360" w:lineRule="auto"/>
              <w:rPr>
                <w:rFonts w:ascii="宋体" w:hAnsi="宋体" w:cs="宋体"/>
              </w:rPr>
            </w:pPr>
            <w:sdt>
              <w:sdtPr>
                <w:rPr>
                  <w:rFonts w:ascii="宋体" w:hAnsi="宋体" w:cs="宋体" w:hint="eastAsia"/>
                </w:rPr>
                <w:id w:val="-1007370641"/>
                <w14:checkbox>
                  <w14:checked w14:val="1"/>
                  <w14:checkedState w14:val="2611" w14:font="MS Gothic"/>
                  <w14:uncheckedState w14:val="2610" w14:font="MS Gothic"/>
                </w14:checkbox>
              </w:sdtPr>
              <w:sdtEndPr>
                <w:rPr>
                  <w:rFonts w:ascii="宋体" w:hAnsi="宋体" w:cs="宋体" w:hint="eastAsia"/>
                </w:rPr>
              </w:sdtEndPr>
              <w:sdtContent>
                <w:r>
                  <w:rPr>
                    <w:rFonts w:ascii="MS Gothic" w:eastAsia="MS Gothic" w:hAnsi="MS Gothic" w:cs="MS Gothic" w:hint="eastAsia"/>
                    <w:sz w:val="24"/>
                    <w:szCs w:val="24"/>
                    <w:lang w:val="en-US" w:eastAsia="en-US" w:bidi="ar-SA"/>
                  </w:rPr>
                  <w:t>☑</w:t>
                </w:r>
              </w:sdtContent>
            </w:sdt>
            <w:r>
              <w:rPr>
                <w:rFonts w:ascii="宋体" w:hAnsi="宋体" w:cs="宋体" w:hint="eastAsia"/>
              </w:rPr>
              <w:t>不组织</w:t>
            </w:r>
          </w:p>
        </w:tc>
      </w:tr>
      <w:tr w14:paraId="55123AFC">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14C6F050">
            <w:pPr>
              <w:spacing w:line="360" w:lineRule="auto"/>
              <w:jc w:val="center"/>
              <w:rPr>
                <w:rFonts w:ascii="宋体" w:hAnsi="宋体"/>
              </w:rPr>
            </w:pPr>
            <w:r>
              <w:rPr>
                <w:rFonts w:ascii="宋体" w:hAnsi="宋体" w:hint="eastAsia"/>
              </w:rPr>
              <w:t>1.10.1</w:t>
            </w:r>
          </w:p>
        </w:tc>
        <w:tc>
          <w:tcPr>
            <w:tcW w:w="2069" w:type="dxa"/>
            <w:tcBorders>
              <w:top w:val="single" w:sz="2" w:space="0" w:color="auto"/>
              <w:left w:val="single" w:sz="2" w:space="0" w:color="auto"/>
              <w:bottom w:val="single" w:sz="2" w:space="0" w:color="auto"/>
              <w:right w:val="single" w:sz="2" w:space="0" w:color="auto"/>
            </w:tcBorders>
            <w:vAlign w:val="center"/>
          </w:tcPr>
          <w:p w14:paraId="650105EA">
            <w:pPr>
              <w:spacing w:line="360" w:lineRule="auto"/>
              <w:jc w:val="center"/>
              <w:rPr>
                <w:rFonts w:ascii="宋体" w:hAnsi="宋体"/>
              </w:rPr>
            </w:pPr>
            <w:r>
              <w:rPr>
                <w:rFonts w:ascii="宋体" w:hAnsi="宋体" w:hint="eastAsia"/>
              </w:rPr>
              <w:t>投标预备会</w:t>
            </w:r>
          </w:p>
        </w:tc>
        <w:tc>
          <w:tcPr>
            <w:tcW w:w="6027" w:type="dxa"/>
            <w:tcBorders>
              <w:top w:val="single" w:sz="2" w:space="0" w:color="auto"/>
              <w:left w:val="single" w:sz="2" w:space="0" w:color="auto"/>
              <w:bottom w:val="single" w:sz="2" w:space="0" w:color="auto"/>
              <w:right w:val="single" w:sz="2" w:space="0" w:color="auto"/>
            </w:tcBorders>
            <w:vAlign w:val="center"/>
          </w:tcPr>
          <w:p w14:paraId="16A68976">
            <w:pPr>
              <w:spacing w:line="360" w:lineRule="auto"/>
              <w:rPr>
                <w:rFonts w:ascii="宋体" w:hAnsi="宋体"/>
              </w:rPr>
            </w:pPr>
            <w:r>
              <w:rPr>
                <w:rFonts w:ascii="宋体" w:hAnsi="宋体" w:hint="eastAsia"/>
              </w:rPr>
              <w:t>不召开</w:t>
            </w:r>
          </w:p>
        </w:tc>
      </w:tr>
      <w:tr w14:paraId="21D2C238">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78DA178D">
            <w:pPr>
              <w:spacing w:line="360" w:lineRule="auto"/>
              <w:jc w:val="center"/>
              <w:rPr>
                <w:rFonts w:ascii="宋体" w:hAnsi="宋体"/>
              </w:rPr>
            </w:pPr>
            <w:r>
              <w:rPr>
                <w:rFonts w:ascii="宋体" w:hAnsi="宋体" w:hint="eastAsia"/>
              </w:rPr>
              <w:t>1.11</w:t>
            </w:r>
          </w:p>
        </w:tc>
        <w:tc>
          <w:tcPr>
            <w:tcW w:w="2069" w:type="dxa"/>
            <w:tcBorders>
              <w:top w:val="single" w:sz="2" w:space="0" w:color="auto"/>
              <w:left w:val="single" w:sz="2" w:space="0" w:color="auto"/>
              <w:bottom w:val="single" w:sz="2" w:space="0" w:color="auto"/>
              <w:right w:val="single" w:sz="2" w:space="0" w:color="auto"/>
            </w:tcBorders>
            <w:vAlign w:val="center"/>
          </w:tcPr>
          <w:p w14:paraId="1003CC94">
            <w:pPr>
              <w:spacing w:line="360" w:lineRule="auto"/>
              <w:jc w:val="center"/>
              <w:rPr>
                <w:rFonts w:ascii="宋体" w:hAnsi="宋体"/>
              </w:rPr>
            </w:pPr>
            <w:r>
              <w:rPr>
                <w:rFonts w:ascii="宋体" w:hAnsi="宋体" w:hint="eastAsia"/>
              </w:rPr>
              <w:t>分包</w:t>
            </w:r>
          </w:p>
        </w:tc>
        <w:tc>
          <w:tcPr>
            <w:tcW w:w="6027" w:type="dxa"/>
            <w:tcBorders>
              <w:top w:val="single" w:sz="2" w:space="0" w:color="auto"/>
              <w:left w:val="single" w:sz="2" w:space="0" w:color="auto"/>
              <w:bottom w:val="single" w:sz="2" w:space="0" w:color="auto"/>
              <w:right w:val="single" w:sz="2" w:space="0" w:color="auto"/>
            </w:tcBorders>
            <w:vAlign w:val="center"/>
          </w:tcPr>
          <w:p w14:paraId="26D0A097">
            <w:pPr>
              <w:spacing w:line="360" w:lineRule="auto"/>
              <w:rPr>
                <w:rFonts w:ascii="宋体" w:hAnsi="宋体"/>
                <w:lang w:eastAsia="zh-CN"/>
              </w:rPr>
            </w:pPr>
            <w:sdt>
              <w:sdtPr>
                <w:rPr>
                  <w:rFonts w:ascii="宋体" w:hAnsi="宋体" w:hint="eastAsia"/>
                  <w:lang w:eastAsia="zh-CN"/>
                </w:rPr>
                <w:id w:val="-1534259024"/>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不允许</w:t>
            </w:r>
          </w:p>
          <w:p w14:paraId="281A611E">
            <w:pPr>
              <w:spacing w:line="360" w:lineRule="auto"/>
              <w:rPr>
                <w:rFonts w:ascii="宋体" w:hAnsi="宋体"/>
                <w:u w:val="single"/>
                <w:lang w:eastAsia="zh-CN"/>
              </w:rPr>
            </w:pPr>
            <w:sdt>
              <w:sdtPr>
                <w:rPr>
                  <w:rFonts w:ascii="宋体" w:hAnsi="宋体" w:hint="eastAsia"/>
                  <w:lang w:eastAsia="zh-CN"/>
                </w:rPr>
                <w:id w:val="486214150"/>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允许,分包内容要求：</w:t>
            </w:r>
            <w:r>
              <w:rPr>
                <w:rFonts w:ascii="宋体" w:hAnsi="宋体" w:cs="宋体" w:hint="eastAsia"/>
                <w:color w:val="00B0F0"/>
                <w:u w:val="single"/>
                <w:lang w:eastAsia="zh-CN"/>
              </w:rPr>
              <w:t xml:space="preserve"> 项目的非主体、非关键性施工工作允许分包，分包须经招标人同意 </w:t>
            </w:r>
            <w:r>
              <w:rPr>
                <w:rFonts w:ascii="宋体" w:hAnsi="宋体" w:hint="eastAsia"/>
                <w:lang w:eastAsia="zh-CN"/>
              </w:rPr>
              <w:t>。</w:t>
            </w:r>
          </w:p>
          <w:p w14:paraId="25C05274">
            <w:pPr>
              <w:spacing w:line="360" w:lineRule="auto"/>
              <w:ind w:firstLine="840" w:firstLineChars="350"/>
              <w:rPr>
                <w:rFonts w:ascii="宋体" w:hAnsi="宋体"/>
                <w:lang w:eastAsia="zh-CN"/>
              </w:rPr>
            </w:pPr>
            <w:r>
              <w:rPr>
                <w:rFonts w:ascii="宋体" w:hAnsi="宋体" w:hint="eastAsia"/>
                <w:lang w:eastAsia="zh-CN"/>
              </w:rPr>
              <w:t>接受分包的第三人资质要求：</w:t>
            </w:r>
            <w:r>
              <w:rPr>
                <w:rFonts w:ascii="宋体" w:hAnsi="宋体" w:cs="宋体" w:hint="eastAsia"/>
                <w:color w:val="00B0F0"/>
                <w:u w:val="single"/>
                <w:lang w:eastAsia="zh-CN"/>
              </w:rPr>
              <w:t xml:space="preserve"> 满足相应资质要求 </w:t>
            </w:r>
            <w:r>
              <w:rPr>
                <w:rFonts w:ascii="宋体" w:hAnsi="宋体" w:hint="eastAsia"/>
                <w:lang w:eastAsia="zh-CN"/>
              </w:rPr>
              <w:t>。</w:t>
            </w:r>
          </w:p>
          <w:p w14:paraId="02F194FF">
            <w:pPr>
              <w:spacing w:line="360" w:lineRule="auto"/>
              <w:rPr>
                <w:rFonts w:ascii="宋体" w:hAnsi="宋体"/>
                <w:lang w:eastAsia="zh-CN"/>
              </w:rPr>
            </w:pPr>
            <w:r>
              <w:rPr>
                <w:rFonts w:ascii="宋体" w:hAnsi="宋体" w:hint="eastAsia"/>
                <w:lang w:eastAsia="zh-CN"/>
              </w:rPr>
              <w:t>注：不得要求投标人在投标文件中提供拟分包人的营业执照、资质证书、分包协议等证明文件。</w:t>
            </w:r>
          </w:p>
        </w:tc>
      </w:tr>
      <w:tr w14:paraId="478D228B">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282F4004">
            <w:pPr>
              <w:spacing w:line="360" w:lineRule="auto"/>
              <w:jc w:val="center"/>
              <w:rPr>
                <w:rFonts w:ascii="宋体" w:hAnsi="宋体"/>
              </w:rPr>
            </w:pPr>
            <w:r>
              <w:rPr>
                <w:rFonts w:ascii="宋体" w:hAnsi="宋体" w:hint="eastAsia"/>
              </w:rPr>
              <w:t>1.12</w:t>
            </w:r>
          </w:p>
        </w:tc>
        <w:tc>
          <w:tcPr>
            <w:tcW w:w="2069" w:type="dxa"/>
            <w:tcBorders>
              <w:top w:val="single" w:sz="2" w:space="0" w:color="auto"/>
              <w:left w:val="single" w:sz="2" w:space="0" w:color="auto"/>
              <w:bottom w:val="single" w:sz="2" w:space="0" w:color="auto"/>
              <w:right w:val="single" w:sz="2" w:space="0" w:color="auto"/>
            </w:tcBorders>
            <w:vAlign w:val="center"/>
          </w:tcPr>
          <w:p w14:paraId="2E2C6642">
            <w:pPr>
              <w:spacing w:line="360" w:lineRule="auto"/>
              <w:jc w:val="center"/>
              <w:rPr>
                <w:rFonts w:ascii="宋体" w:hAnsi="宋体"/>
              </w:rPr>
            </w:pPr>
            <w:r>
              <w:rPr>
                <w:rFonts w:ascii="宋体" w:hAnsi="宋体" w:hint="eastAsia"/>
              </w:rPr>
              <w:t>偏离</w:t>
            </w:r>
          </w:p>
        </w:tc>
        <w:tc>
          <w:tcPr>
            <w:tcW w:w="6027" w:type="dxa"/>
            <w:tcBorders>
              <w:top w:val="single" w:sz="2" w:space="0" w:color="auto"/>
              <w:left w:val="single" w:sz="2" w:space="0" w:color="auto"/>
              <w:bottom w:val="single" w:sz="2" w:space="0" w:color="auto"/>
              <w:right w:val="single" w:sz="2" w:space="0" w:color="auto"/>
            </w:tcBorders>
            <w:vAlign w:val="center"/>
          </w:tcPr>
          <w:p w14:paraId="389D4179">
            <w:pPr>
              <w:spacing w:line="360" w:lineRule="auto"/>
              <w:rPr>
                <w:rFonts w:ascii="宋体" w:hAnsi="宋体"/>
                <w:lang w:eastAsia="zh-CN"/>
              </w:rPr>
            </w:pPr>
            <w:sdt>
              <w:sdtPr>
                <w:rPr>
                  <w:rFonts w:ascii="宋体" w:hAnsi="宋体" w:hint="eastAsia"/>
                  <w:lang w:eastAsia="zh-CN"/>
                </w:rPr>
                <w:id w:val="1305746285"/>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不允许</w:t>
            </w:r>
          </w:p>
          <w:p w14:paraId="7EE0A456">
            <w:pPr>
              <w:spacing w:line="360" w:lineRule="auto"/>
              <w:rPr>
                <w:rFonts w:ascii="宋体" w:hAnsi="宋体"/>
                <w:lang w:eastAsia="zh-CN"/>
              </w:rPr>
            </w:pPr>
            <w:sdt>
              <w:sdtPr>
                <w:rPr>
                  <w:rFonts w:ascii="宋体" w:hAnsi="宋体" w:hint="eastAsia"/>
                  <w:lang w:eastAsia="zh-CN"/>
                </w:rPr>
                <w:id w:val="797117965"/>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允许,可偏离的项目和范围见第七章“技术标准和要求”。</w:t>
            </w:r>
          </w:p>
        </w:tc>
      </w:tr>
      <w:tr w14:paraId="0E6AAD0D">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4BFA5D3C">
            <w:pPr>
              <w:spacing w:line="360" w:lineRule="auto"/>
              <w:jc w:val="center"/>
              <w:rPr>
                <w:rFonts w:ascii="宋体" w:hAnsi="宋体"/>
              </w:rPr>
            </w:pPr>
            <w:r>
              <w:rPr>
                <w:rFonts w:ascii="宋体" w:hAnsi="宋体" w:hint="eastAsia"/>
              </w:rPr>
              <w:t>2.1</w:t>
            </w:r>
          </w:p>
        </w:tc>
        <w:tc>
          <w:tcPr>
            <w:tcW w:w="2069" w:type="dxa"/>
            <w:tcBorders>
              <w:top w:val="single" w:sz="2" w:space="0" w:color="auto"/>
              <w:left w:val="single" w:sz="2" w:space="0" w:color="auto"/>
              <w:bottom w:val="single" w:sz="2" w:space="0" w:color="auto"/>
              <w:right w:val="single" w:sz="2" w:space="0" w:color="auto"/>
            </w:tcBorders>
            <w:vAlign w:val="center"/>
          </w:tcPr>
          <w:p w14:paraId="6CF83276">
            <w:pPr>
              <w:spacing w:line="360" w:lineRule="auto"/>
              <w:jc w:val="center"/>
              <w:rPr>
                <w:rFonts w:ascii="宋体" w:hAnsi="宋体"/>
                <w:lang w:eastAsia="zh-CN"/>
              </w:rPr>
            </w:pPr>
            <w:r>
              <w:rPr>
                <w:rFonts w:ascii="宋体" w:hAnsi="宋体" w:hint="eastAsia"/>
                <w:lang w:eastAsia="zh-CN"/>
              </w:rPr>
              <w:t>构成招标文件的其他材料</w:t>
            </w:r>
          </w:p>
        </w:tc>
        <w:tc>
          <w:tcPr>
            <w:tcW w:w="6027" w:type="dxa"/>
            <w:tcBorders>
              <w:top w:val="single" w:sz="2" w:space="0" w:color="auto"/>
              <w:left w:val="single" w:sz="2" w:space="0" w:color="auto"/>
              <w:bottom w:val="single" w:sz="2" w:space="0" w:color="auto"/>
              <w:right w:val="single" w:sz="2" w:space="0" w:color="auto"/>
            </w:tcBorders>
            <w:vAlign w:val="center"/>
          </w:tcPr>
          <w:p w14:paraId="3C363427">
            <w:pPr>
              <w:spacing w:line="360" w:lineRule="auto"/>
              <w:rPr>
                <w:rFonts w:ascii="宋体" w:hAnsi="宋体"/>
              </w:rPr>
            </w:pPr>
            <w:r>
              <w:rPr>
                <w:rFonts w:ascii="宋体" w:hAnsi="宋体" w:hint="eastAsia"/>
                <w:color w:val="00B0F0"/>
                <w:u w:val="single"/>
                <w:lang w:eastAsia="zh-CN"/>
              </w:rPr>
              <w:t xml:space="preserve">  答疑、补遗、澄清、修改（如有时）  </w:t>
            </w:r>
            <w:r>
              <w:rPr>
                <w:rFonts w:ascii="宋体" w:hAnsi="宋体" w:hint="eastAsia"/>
              </w:rPr>
              <w:t>。</w:t>
            </w:r>
          </w:p>
        </w:tc>
      </w:tr>
      <w:tr w14:paraId="50A0A6C1">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191683EC">
            <w:pPr>
              <w:spacing w:line="360" w:lineRule="auto"/>
              <w:jc w:val="center"/>
              <w:rPr>
                <w:rFonts w:ascii="宋体" w:hAnsi="宋体"/>
              </w:rPr>
            </w:pPr>
            <w:r>
              <w:rPr>
                <w:rFonts w:ascii="宋体" w:hAnsi="宋体" w:hint="eastAsia"/>
              </w:rPr>
              <w:t>2.2.1</w:t>
            </w:r>
          </w:p>
        </w:tc>
        <w:tc>
          <w:tcPr>
            <w:tcW w:w="2069" w:type="dxa"/>
            <w:tcBorders>
              <w:top w:val="single" w:sz="2" w:space="0" w:color="auto"/>
              <w:left w:val="single" w:sz="2" w:space="0" w:color="auto"/>
              <w:bottom w:val="single" w:sz="2" w:space="0" w:color="auto"/>
              <w:right w:val="single" w:sz="2" w:space="0" w:color="auto"/>
            </w:tcBorders>
            <w:vAlign w:val="center"/>
          </w:tcPr>
          <w:p w14:paraId="4A777D35">
            <w:pPr>
              <w:spacing w:line="360" w:lineRule="auto"/>
              <w:jc w:val="center"/>
              <w:rPr>
                <w:rFonts w:ascii="宋体" w:hAnsi="宋体"/>
                <w:lang w:eastAsia="zh-CN"/>
              </w:rPr>
            </w:pPr>
            <w:r>
              <w:rPr>
                <w:rFonts w:ascii="宋体" w:hAnsi="宋体" w:hint="eastAsia"/>
                <w:lang w:eastAsia="zh-CN"/>
              </w:rPr>
              <w:t>投标人要求澄清招标文件的截止时间</w:t>
            </w:r>
          </w:p>
        </w:tc>
        <w:tc>
          <w:tcPr>
            <w:tcW w:w="6027" w:type="dxa"/>
            <w:tcBorders>
              <w:top w:val="single" w:sz="2" w:space="0" w:color="auto"/>
              <w:left w:val="single" w:sz="2" w:space="0" w:color="auto"/>
              <w:bottom w:val="single" w:sz="2" w:space="0" w:color="auto"/>
              <w:right w:val="single" w:sz="2" w:space="0" w:color="auto"/>
            </w:tcBorders>
            <w:vAlign w:val="center"/>
          </w:tcPr>
          <w:p w14:paraId="376A58CC">
            <w:pPr>
              <w:adjustRightInd w:val="0"/>
              <w:snapToGrid w:val="0"/>
              <w:spacing w:line="360" w:lineRule="auto"/>
              <w:rPr>
                <w:rFonts w:ascii="宋体" w:hAnsi="宋体" w:cs="宋体"/>
                <w:lang w:eastAsia="zh-CN"/>
              </w:rPr>
            </w:pPr>
            <w:r>
              <w:rPr>
                <w:rFonts w:ascii="宋体" w:hAnsi="宋体" w:cs="宋体" w:hint="eastAsia"/>
                <w:lang w:eastAsia="zh-CN"/>
              </w:rPr>
              <w:t>时间：投标截止时间10日前。</w:t>
            </w:r>
          </w:p>
          <w:p w14:paraId="22F8EB27">
            <w:pPr>
              <w:spacing w:line="360" w:lineRule="auto"/>
              <w:rPr>
                <w:rFonts w:ascii="宋体" w:hAnsi="宋体"/>
                <w:lang w:eastAsia="zh-CN"/>
              </w:rPr>
            </w:pPr>
            <w:r>
              <w:rPr>
                <w:rFonts w:ascii="宋体" w:hAnsi="宋体" w:cs="宋体" w:hint="eastAsia"/>
                <w:lang w:eastAsia="zh-CN"/>
              </w:rPr>
              <w:t>形式：通过</w:t>
            </w:r>
            <w:sdt>
              <w:sdtPr>
                <w:rPr>
                  <w:rFonts w:ascii="宋体" w:hAnsi="宋体" w:cs="宋体" w:hint="eastAsia"/>
                  <w:lang w:eastAsia="zh-CN"/>
                </w:rPr>
                <w:id w:val="1622037049"/>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《全国公共资源交易平台（四川省）》</w:t>
            </w:r>
            <w:sdt>
              <w:sdtPr>
                <w:rPr>
                  <w:rFonts w:ascii="宋体" w:hAnsi="宋体" w:cs="宋体" w:hint="eastAsia"/>
                  <w:lang w:eastAsia="zh-CN"/>
                </w:rPr>
                <w:id w:val="-637256717"/>
                <w14:checkbox>
                  <w14:checked w14:val="1"/>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cs="宋体" w:hint="eastAsia"/>
                <w:lang w:eastAsia="zh-CN"/>
              </w:rPr>
              <w:t>《全国公共资源交易平台（四川省·遂宁市）》向招标人提出。如有疑问，应在规定的时间前通过</w:t>
            </w:r>
            <w:sdt>
              <w:sdtPr>
                <w:rPr>
                  <w:rFonts w:ascii="宋体" w:hAnsi="宋体" w:cs="宋体" w:hint="eastAsia"/>
                  <w:lang w:eastAsia="zh-CN"/>
                </w:rPr>
                <w:id w:val="-660306366"/>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《全国公共资源交易平台（四川省）》</w:t>
            </w:r>
            <w:sdt>
              <w:sdtPr>
                <w:rPr>
                  <w:rFonts w:ascii="宋体" w:hAnsi="宋体" w:cs="宋体" w:hint="eastAsia"/>
                  <w:lang w:eastAsia="zh-CN"/>
                </w:rPr>
                <w:id w:val="1259415197"/>
                <w14:checkbox>
                  <w14:checked w14:val="1"/>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cs="宋体" w:hint="eastAsia"/>
                <w:lang w:eastAsia="zh-CN"/>
              </w:rPr>
              <w:t>《全国公共资源交易平台（四川省·遂宁市）》向招标人提出需澄清的问题，要求招标人对招标文件予以澄清。</w:t>
            </w:r>
          </w:p>
        </w:tc>
      </w:tr>
      <w:tr w14:paraId="77E89656">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665C1DD2">
            <w:pPr>
              <w:spacing w:line="360" w:lineRule="auto"/>
              <w:jc w:val="center"/>
              <w:rPr>
                <w:rFonts w:ascii="宋体" w:hAnsi="宋体"/>
              </w:rPr>
            </w:pPr>
            <w:r>
              <w:rPr>
                <w:rFonts w:ascii="宋体" w:hAnsi="宋体" w:hint="eastAsia"/>
              </w:rPr>
              <w:t>2.2.2</w:t>
            </w:r>
          </w:p>
        </w:tc>
        <w:tc>
          <w:tcPr>
            <w:tcW w:w="2069" w:type="dxa"/>
            <w:tcBorders>
              <w:top w:val="single" w:sz="2" w:space="0" w:color="auto"/>
              <w:left w:val="single" w:sz="2" w:space="0" w:color="auto"/>
              <w:bottom w:val="single" w:sz="2" w:space="0" w:color="auto"/>
              <w:right w:val="single" w:sz="2" w:space="0" w:color="auto"/>
            </w:tcBorders>
            <w:vAlign w:val="center"/>
          </w:tcPr>
          <w:p w14:paraId="5196F2C2">
            <w:pPr>
              <w:spacing w:line="360" w:lineRule="auto"/>
              <w:jc w:val="center"/>
              <w:rPr>
                <w:rFonts w:ascii="宋体" w:hAnsi="宋体"/>
              </w:rPr>
            </w:pPr>
            <w:r>
              <w:rPr>
                <w:rFonts w:ascii="宋体" w:hAnsi="宋体" w:hint="eastAsia"/>
              </w:rPr>
              <w:t>招标文件的澄清</w:t>
            </w:r>
          </w:p>
        </w:tc>
        <w:tc>
          <w:tcPr>
            <w:tcW w:w="6027" w:type="dxa"/>
            <w:tcBorders>
              <w:top w:val="single" w:sz="2" w:space="0" w:color="auto"/>
              <w:left w:val="single" w:sz="2" w:space="0" w:color="auto"/>
              <w:bottom w:val="single" w:sz="2" w:space="0" w:color="auto"/>
              <w:right w:val="single" w:sz="2" w:space="0" w:color="auto"/>
            </w:tcBorders>
            <w:vAlign w:val="center"/>
          </w:tcPr>
          <w:p w14:paraId="78D7202C">
            <w:pPr>
              <w:spacing w:line="360" w:lineRule="auto"/>
              <w:rPr>
                <w:rFonts w:ascii="宋体" w:hAnsi="宋体" w:cs="宋体"/>
                <w:lang w:eastAsia="zh-CN"/>
              </w:rPr>
            </w:pPr>
            <w:r>
              <w:rPr>
                <w:rFonts w:ascii="宋体" w:hAnsi="宋体" w:hint="eastAsia"/>
                <w:lang w:eastAsia="zh-CN"/>
              </w:rPr>
              <w:t>投标截止时间：</w:t>
            </w:r>
            <w:r>
              <w:rPr>
                <w:rFonts w:ascii="宋体" w:hAnsi="宋体" w:cs="宋体" w:hint="eastAsia"/>
                <w:color w:val="00B0F0"/>
                <w:u w:val="single"/>
                <w:lang w:eastAsia="zh-CN"/>
              </w:rPr>
              <w:t xml:space="preserve">  </w:t>
            </w:r>
            <w:r>
              <w:rPr>
                <w:rFonts w:ascii="宋体" w:hAnsi="宋体" w:cs="宋体" w:hint="eastAsia"/>
                <w:color w:val="00B0F0"/>
                <w:u w:val="single"/>
                <w:lang w:val="en-US" w:eastAsia="zh-CN"/>
              </w:rPr>
              <w:t>2026</w:t>
            </w:r>
            <w:r>
              <w:rPr>
                <w:rFonts w:ascii="宋体" w:hAnsi="宋体" w:cs="宋体" w:hint="eastAsia"/>
                <w:color w:val="00B0F0"/>
                <w:u w:val="single"/>
                <w:lang w:eastAsia="zh-CN"/>
              </w:rPr>
              <w:t xml:space="preserve"> </w:t>
            </w:r>
            <w:r>
              <w:rPr>
                <w:rFonts w:ascii="宋体" w:hAnsi="宋体" w:cs="宋体" w:hint="eastAsia"/>
                <w:lang w:eastAsia="zh-CN"/>
              </w:rPr>
              <w:t>年</w:t>
            </w:r>
            <w:r>
              <w:rPr>
                <w:rFonts w:ascii="宋体" w:hAnsi="宋体" w:cs="宋体" w:hint="eastAsia"/>
                <w:color w:val="00B0F0"/>
                <w:u w:val="single"/>
                <w:lang w:eastAsia="zh-CN"/>
              </w:rPr>
              <w:t xml:space="preserve"> </w:t>
            </w:r>
            <w:r>
              <w:rPr>
                <w:rFonts w:ascii="宋体" w:hAnsi="宋体" w:cs="宋体" w:hint="eastAsia"/>
                <w:color w:val="00B0F0"/>
                <w:u w:val="single"/>
                <w:lang w:val="en-US" w:eastAsia="zh-CN"/>
              </w:rPr>
              <w:t>7</w:t>
            </w:r>
            <w:r>
              <w:rPr>
                <w:rFonts w:ascii="宋体" w:hAnsi="宋体" w:cs="宋体" w:hint="eastAsia"/>
                <w:color w:val="00B0F0"/>
                <w:u w:val="single"/>
                <w:lang w:eastAsia="zh-CN"/>
              </w:rPr>
              <w:t xml:space="preserve"> </w:t>
            </w:r>
            <w:r>
              <w:rPr>
                <w:rFonts w:ascii="宋体" w:hAnsi="宋体" w:cs="宋体" w:hint="eastAsia"/>
                <w:lang w:eastAsia="zh-CN"/>
              </w:rPr>
              <w:t xml:space="preserve">月 </w:t>
            </w:r>
            <w:r>
              <w:rPr>
                <w:rFonts w:ascii="宋体" w:hAnsi="宋体" w:cs="宋体" w:hint="eastAsia"/>
                <w:color w:val="00B0F0"/>
                <w:u w:val="single"/>
                <w:lang w:eastAsia="zh-CN"/>
              </w:rPr>
              <w:t xml:space="preserve"> </w:t>
            </w:r>
            <w:r>
              <w:rPr>
                <w:rFonts w:ascii="宋体" w:hAnsi="宋体" w:cs="宋体" w:hint="eastAsia"/>
                <w:color w:val="00B0F0"/>
                <w:u w:val="single"/>
                <w:lang w:val="en-US" w:eastAsia="zh-CN"/>
              </w:rPr>
              <w:t>21</w:t>
            </w:r>
            <w:r>
              <w:rPr>
                <w:rFonts w:ascii="宋体" w:hAnsi="宋体" w:cs="宋体" w:hint="eastAsia"/>
                <w:color w:val="00B0F0"/>
                <w:u w:val="single"/>
                <w:lang w:eastAsia="zh-CN"/>
              </w:rPr>
              <w:t xml:space="preserve"> </w:t>
            </w:r>
            <w:r>
              <w:rPr>
                <w:rFonts w:ascii="宋体" w:hAnsi="宋体" w:cs="宋体" w:hint="eastAsia"/>
                <w:lang w:eastAsia="zh-CN"/>
              </w:rPr>
              <w:t>日</w:t>
            </w:r>
            <w:r>
              <w:rPr>
                <w:rFonts w:ascii="宋体" w:hAnsi="宋体" w:cs="宋体" w:hint="eastAsia"/>
                <w:color w:val="00B0F0"/>
                <w:u w:val="single"/>
                <w:lang w:eastAsia="zh-CN"/>
              </w:rPr>
              <w:t xml:space="preserve"> </w:t>
            </w:r>
            <w:r>
              <w:rPr>
                <w:rFonts w:ascii="宋体" w:hAnsi="宋体" w:cs="宋体" w:hint="eastAsia"/>
                <w:color w:val="00B0F0"/>
                <w:u w:val="single"/>
                <w:lang w:val="en-US" w:eastAsia="zh-CN"/>
              </w:rPr>
              <w:t>9</w:t>
            </w:r>
            <w:r>
              <w:rPr>
                <w:rFonts w:ascii="宋体" w:hAnsi="宋体" w:cs="宋体" w:hint="eastAsia"/>
                <w:color w:val="00B0F0"/>
                <w:u w:val="single"/>
                <w:lang w:eastAsia="zh-CN"/>
              </w:rPr>
              <w:t xml:space="preserve"> </w:t>
            </w:r>
            <w:r>
              <w:rPr>
                <w:rFonts w:ascii="宋体" w:hAnsi="宋体" w:cs="宋体" w:hint="eastAsia"/>
                <w:lang w:eastAsia="zh-CN"/>
              </w:rPr>
              <w:t>时</w:t>
            </w:r>
            <w:r>
              <w:rPr>
                <w:rFonts w:ascii="宋体" w:hAnsi="宋体" w:cs="宋体" w:hint="eastAsia"/>
                <w:color w:val="00B0F0"/>
                <w:u w:val="single"/>
                <w:lang w:eastAsia="zh-CN"/>
              </w:rPr>
              <w:t xml:space="preserve"> </w:t>
            </w:r>
            <w:r>
              <w:rPr>
                <w:rFonts w:ascii="宋体" w:hAnsi="宋体" w:cs="宋体" w:hint="eastAsia"/>
                <w:color w:val="00B0F0"/>
                <w:u w:val="single"/>
                <w:lang w:val="en-US" w:eastAsia="zh-CN"/>
              </w:rPr>
              <w:t>30</w:t>
            </w:r>
            <w:r>
              <w:rPr>
                <w:rFonts w:ascii="宋体" w:hAnsi="宋体" w:cs="宋体" w:hint="eastAsia"/>
                <w:color w:val="00B0F0"/>
                <w:u w:val="single"/>
                <w:lang w:eastAsia="zh-CN"/>
              </w:rPr>
              <w:t xml:space="preserve">  </w:t>
            </w:r>
            <w:r>
              <w:rPr>
                <w:rFonts w:ascii="宋体" w:hAnsi="宋体" w:cs="宋体" w:hint="eastAsia"/>
                <w:lang w:eastAsia="zh-CN"/>
              </w:rPr>
              <w:t>分</w:t>
            </w:r>
          </w:p>
          <w:p w14:paraId="0C10C1C3">
            <w:pPr>
              <w:spacing w:line="360" w:lineRule="auto"/>
              <w:rPr>
                <w:rFonts w:ascii="宋体" w:hAnsi="宋体"/>
                <w:lang w:eastAsia="zh-CN"/>
              </w:rPr>
            </w:pPr>
            <w:r>
              <w:rPr>
                <w:rFonts w:ascii="宋体" w:hAnsi="宋体" w:cs="宋体" w:hint="eastAsia"/>
                <w:lang w:eastAsia="zh-CN"/>
              </w:rPr>
              <w:t>招标文件的澄清应于投标截止时间15日前，在《全国公共资源交易平台（四川省）》发布，涉及到工程量清单、招标控制价和评标办法修改的，应将修改后的招标文件作为附件上传，对招标文件的所有修改内容应在澄清文件正文中全部列出，新上传的招标文件中修改内容与澄清文件正文不一致的，以澄清文件正文为准。若澄清文件发出的时间距投标截止时间不足15日，则应延长投标截止时间（不影响投标文件编制的情形除外）。投标人应实时在</w:t>
            </w:r>
            <w:sdt>
              <w:sdtPr>
                <w:rPr>
                  <w:rFonts w:ascii="宋体" w:hAnsi="宋体" w:cs="宋体" w:hint="eastAsia"/>
                  <w:lang w:eastAsia="zh-CN"/>
                </w:rPr>
                <w:id w:val="538092001"/>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《全国公共资源交易平台（四川省）》</w:t>
            </w:r>
            <w:sdt>
              <w:sdtPr>
                <w:rPr>
                  <w:rFonts w:ascii="宋体" w:hAnsi="宋体" w:cs="宋体" w:hint="eastAsia"/>
                  <w:lang w:eastAsia="zh-CN"/>
                </w:rPr>
                <w:id w:val="955913553"/>
                <w14:checkbox>
                  <w14:checked w14:val="1"/>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cs="宋体" w:hint="eastAsia"/>
                <w:lang w:eastAsia="zh-CN"/>
              </w:rPr>
              <w:t>《全国公共资源交易平台（四川省·遂宁市）》上查询澄清文件，投标人未下载澄清文件的，其后果由投标人承担。</w:t>
            </w:r>
          </w:p>
        </w:tc>
      </w:tr>
      <w:tr w14:paraId="676F7BB2">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CAA14C9">
            <w:pPr>
              <w:spacing w:line="360" w:lineRule="auto"/>
              <w:jc w:val="center"/>
              <w:rPr>
                <w:rFonts w:ascii="宋体" w:hAnsi="宋体"/>
              </w:rPr>
            </w:pPr>
            <w:r>
              <w:rPr>
                <w:rFonts w:ascii="宋体" w:hAnsi="宋体" w:hint="eastAsia"/>
              </w:rPr>
              <w:t>2.2.3</w:t>
            </w:r>
          </w:p>
        </w:tc>
        <w:tc>
          <w:tcPr>
            <w:tcW w:w="2069" w:type="dxa"/>
            <w:tcBorders>
              <w:top w:val="single" w:sz="2" w:space="0" w:color="auto"/>
              <w:left w:val="single" w:sz="2" w:space="0" w:color="auto"/>
              <w:bottom w:val="single" w:sz="2" w:space="0" w:color="auto"/>
              <w:right w:val="single" w:sz="2" w:space="0" w:color="auto"/>
            </w:tcBorders>
            <w:vAlign w:val="center"/>
          </w:tcPr>
          <w:p w14:paraId="7BE6D525">
            <w:pPr>
              <w:spacing w:line="360" w:lineRule="auto"/>
              <w:jc w:val="center"/>
              <w:rPr>
                <w:rFonts w:ascii="宋体" w:hAnsi="宋体"/>
                <w:lang w:eastAsia="zh-CN"/>
              </w:rPr>
            </w:pPr>
            <w:r>
              <w:rPr>
                <w:rFonts w:ascii="宋体" w:hAnsi="宋体" w:hint="eastAsia"/>
                <w:lang w:eastAsia="zh-CN"/>
              </w:rPr>
              <w:t>投标人确认收到招标文件澄清</w:t>
            </w:r>
          </w:p>
        </w:tc>
        <w:tc>
          <w:tcPr>
            <w:tcW w:w="6027" w:type="dxa"/>
            <w:tcBorders>
              <w:top w:val="single" w:sz="2" w:space="0" w:color="auto"/>
              <w:left w:val="single" w:sz="2" w:space="0" w:color="auto"/>
              <w:bottom w:val="single" w:sz="2" w:space="0" w:color="auto"/>
              <w:right w:val="single" w:sz="2" w:space="0" w:color="auto"/>
            </w:tcBorders>
            <w:vAlign w:val="center"/>
          </w:tcPr>
          <w:p w14:paraId="34BF2E37">
            <w:pPr>
              <w:spacing w:line="360" w:lineRule="auto"/>
              <w:rPr>
                <w:rFonts w:ascii="宋体" w:hAnsi="宋体"/>
                <w:lang w:eastAsia="zh-CN"/>
              </w:rPr>
            </w:pPr>
            <w:r>
              <w:rPr>
                <w:rFonts w:ascii="宋体" w:hAnsi="宋体" w:cs="宋体" w:hint="eastAsia"/>
                <w:lang w:eastAsia="zh-CN"/>
              </w:rPr>
              <w:t>自行查询，无需确认。</w:t>
            </w:r>
          </w:p>
        </w:tc>
      </w:tr>
      <w:tr w14:paraId="59128056">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1B40F948">
            <w:pPr>
              <w:spacing w:line="360" w:lineRule="auto"/>
              <w:jc w:val="center"/>
              <w:rPr>
                <w:rFonts w:ascii="宋体" w:hAnsi="宋体"/>
              </w:rPr>
            </w:pPr>
            <w:r>
              <w:rPr>
                <w:rFonts w:ascii="宋体" w:hAnsi="宋体" w:cs="宋体" w:hint="eastAsia"/>
              </w:rPr>
              <w:t>2.3.1</w:t>
            </w:r>
          </w:p>
        </w:tc>
        <w:tc>
          <w:tcPr>
            <w:tcW w:w="2069" w:type="dxa"/>
            <w:tcBorders>
              <w:top w:val="single" w:sz="2" w:space="0" w:color="auto"/>
              <w:left w:val="single" w:sz="2" w:space="0" w:color="auto"/>
              <w:bottom w:val="single" w:sz="2" w:space="0" w:color="auto"/>
              <w:right w:val="single" w:sz="2" w:space="0" w:color="auto"/>
            </w:tcBorders>
            <w:vAlign w:val="center"/>
          </w:tcPr>
          <w:p w14:paraId="5DF4D2C0">
            <w:pPr>
              <w:spacing w:line="360" w:lineRule="auto"/>
              <w:jc w:val="center"/>
              <w:rPr>
                <w:rFonts w:ascii="宋体" w:hAnsi="宋体"/>
              </w:rPr>
            </w:pPr>
            <w:r>
              <w:rPr>
                <w:rFonts w:ascii="宋体" w:hAnsi="宋体" w:cs="宋体" w:hint="eastAsia"/>
              </w:rPr>
              <w:t>招标文件的修改</w:t>
            </w:r>
          </w:p>
        </w:tc>
        <w:tc>
          <w:tcPr>
            <w:tcW w:w="6027" w:type="dxa"/>
            <w:tcBorders>
              <w:top w:val="single" w:sz="2" w:space="0" w:color="auto"/>
              <w:left w:val="single" w:sz="2" w:space="0" w:color="auto"/>
              <w:bottom w:val="single" w:sz="2" w:space="0" w:color="auto"/>
              <w:right w:val="single" w:sz="2" w:space="0" w:color="auto"/>
            </w:tcBorders>
            <w:vAlign w:val="center"/>
          </w:tcPr>
          <w:p w14:paraId="17CEF23D">
            <w:pPr>
              <w:spacing w:line="360" w:lineRule="auto"/>
              <w:rPr>
                <w:rFonts w:ascii="宋体" w:hAnsi="宋体" w:cs="宋体"/>
                <w:lang w:eastAsia="zh-CN"/>
              </w:rPr>
            </w:pPr>
            <w:r>
              <w:rPr>
                <w:rFonts w:ascii="宋体" w:hAnsi="宋体" w:cs="宋体" w:hint="eastAsia"/>
                <w:lang w:eastAsia="zh-CN"/>
              </w:rPr>
              <w:t>招标文件的修改应于投标截止时间15日前，在《全国公共资源交易平台（四川省）》发布，涉及到工程量清单、招标控制价和评标办法修改的，应将修改后的招标文件作为附件上传，对招标文件的所有修改内容应在修改文件正文中全部列出，新上传的招标文件中修改内容与修改文件正文不一致的，以修改文件正文为准。若修改文件发出的时间距投标截止时间不足15日，则应延长投标截止时间（不影响投标文件编制的情形除外）。投标人应实时在</w:t>
            </w:r>
            <w:sdt>
              <w:sdtPr>
                <w:rPr>
                  <w:rFonts w:ascii="宋体" w:hAnsi="宋体" w:cs="宋体" w:hint="eastAsia"/>
                  <w:lang w:eastAsia="zh-CN"/>
                </w:rPr>
                <w:id w:val="516043603"/>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《全国公共资源交易平台（四川省）》</w:t>
            </w:r>
            <w:sdt>
              <w:sdtPr>
                <w:rPr>
                  <w:rFonts w:ascii="宋体" w:hAnsi="宋体" w:cs="宋体" w:hint="eastAsia"/>
                  <w:lang w:eastAsia="zh-CN"/>
                </w:rPr>
                <w:id w:val="857939310"/>
                <w14:checkbox>
                  <w14:checked w14:val="1"/>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cs="宋体" w:hint="eastAsia"/>
                <w:lang w:eastAsia="zh-CN"/>
              </w:rPr>
              <w:t>《全国公共资源交易平台（四川省·遂宁市）》上查询修改文件，投标人未下载修改文件的，其后果由投标人承担。</w:t>
            </w:r>
          </w:p>
        </w:tc>
      </w:tr>
      <w:tr w14:paraId="378FE3E4">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05BEAEE1">
            <w:pPr>
              <w:spacing w:line="360" w:lineRule="auto"/>
              <w:jc w:val="center"/>
              <w:rPr>
                <w:rFonts w:ascii="宋体" w:hAnsi="宋体"/>
              </w:rPr>
            </w:pPr>
            <w:r>
              <w:rPr>
                <w:rFonts w:ascii="宋体" w:hAnsi="宋体" w:hint="eastAsia"/>
              </w:rPr>
              <w:t>2.3.2</w:t>
            </w:r>
          </w:p>
        </w:tc>
        <w:tc>
          <w:tcPr>
            <w:tcW w:w="2069" w:type="dxa"/>
            <w:tcBorders>
              <w:top w:val="single" w:sz="2" w:space="0" w:color="auto"/>
              <w:left w:val="single" w:sz="2" w:space="0" w:color="auto"/>
              <w:bottom w:val="single" w:sz="2" w:space="0" w:color="auto"/>
              <w:right w:val="single" w:sz="2" w:space="0" w:color="auto"/>
            </w:tcBorders>
            <w:vAlign w:val="center"/>
          </w:tcPr>
          <w:p w14:paraId="36AFDBF2">
            <w:pPr>
              <w:spacing w:line="360" w:lineRule="auto"/>
              <w:jc w:val="center"/>
              <w:rPr>
                <w:rFonts w:ascii="宋体" w:hAnsi="宋体"/>
                <w:lang w:eastAsia="zh-CN"/>
              </w:rPr>
            </w:pPr>
            <w:r>
              <w:rPr>
                <w:rFonts w:ascii="宋体" w:hAnsi="宋体" w:hint="eastAsia"/>
                <w:lang w:eastAsia="zh-CN"/>
              </w:rPr>
              <w:t>投标人确认收到招标文件修改</w:t>
            </w:r>
          </w:p>
        </w:tc>
        <w:tc>
          <w:tcPr>
            <w:tcW w:w="6027" w:type="dxa"/>
            <w:tcBorders>
              <w:top w:val="single" w:sz="2" w:space="0" w:color="auto"/>
              <w:left w:val="single" w:sz="2" w:space="0" w:color="auto"/>
              <w:bottom w:val="single" w:sz="2" w:space="0" w:color="auto"/>
              <w:right w:val="single" w:sz="2" w:space="0" w:color="auto"/>
            </w:tcBorders>
            <w:vAlign w:val="center"/>
          </w:tcPr>
          <w:p w14:paraId="71126440">
            <w:pPr>
              <w:spacing w:line="360" w:lineRule="auto"/>
              <w:rPr>
                <w:rFonts w:ascii="宋体" w:hAnsi="宋体"/>
                <w:lang w:eastAsia="zh-CN"/>
              </w:rPr>
            </w:pPr>
            <w:r>
              <w:rPr>
                <w:rFonts w:ascii="宋体" w:hAnsi="宋体" w:cs="宋体" w:hint="eastAsia"/>
                <w:lang w:eastAsia="zh-CN"/>
              </w:rPr>
              <w:t>自行查询，无需确认。</w:t>
            </w:r>
          </w:p>
        </w:tc>
      </w:tr>
      <w:tr w14:paraId="01883773">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72412C8E">
            <w:pPr>
              <w:spacing w:line="360" w:lineRule="auto"/>
              <w:jc w:val="center"/>
              <w:rPr>
                <w:rFonts w:ascii="宋体" w:hAnsi="宋体"/>
              </w:rPr>
            </w:pPr>
            <w:r>
              <w:rPr>
                <w:rFonts w:ascii="宋体" w:hAnsi="宋体" w:hint="eastAsia"/>
              </w:rPr>
              <w:t>3.1.1</w:t>
            </w:r>
          </w:p>
        </w:tc>
        <w:tc>
          <w:tcPr>
            <w:tcW w:w="2069" w:type="dxa"/>
            <w:tcBorders>
              <w:top w:val="single" w:sz="2" w:space="0" w:color="auto"/>
              <w:left w:val="single" w:sz="2" w:space="0" w:color="auto"/>
              <w:bottom w:val="single" w:sz="2" w:space="0" w:color="auto"/>
              <w:right w:val="single" w:sz="2" w:space="0" w:color="auto"/>
            </w:tcBorders>
            <w:vAlign w:val="center"/>
          </w:tcPr>
          <w:p w14:paraId="612A1F80">
            <w:pPr>
              <w:spacing w:line="360" w:lineRule="auto"/>
              <w:jc w:val="center"/>
              <w:rPr>
                <w:rFonts w:ascii="宋体" w:hAnsi="宋体"/>
                <w:lang w:eastAsia="zh-CN"/>
              </w:rPr>
            </w:pPr>
            <w:r>
              <w:rPr>
                <w:rFonts w:ascii="宋体" w:hAnsi="宋体" w:hint="eastAsia"/>
                <w:lang w:eastAsia="zh-CN"/>
              </w:rPr>
              <w:t>构成投标文件的其他材料</w:t>
            </w:r>
          </w:p>
        </w:tc>
        <w:tc>
          <w:tcPr>
            <w:tcW w:w="6027" w:type="dxa"/>
            <w:tcBorders>
              <w:top w:val="single" w:sz="2" w:space="0" w:color="auto"/>
              <w:left w:val="single" w:sz="2" w:space="0" w:color="auto"/>
              <w:bottom w:val="single" w:sz="2" w:space="0" w:color="auto"/>
              <w:right w:val="single" w:sz="2" w:space="0" w:color="auto"/>
            </w:tcBorders>
            <w:vAlign w:val="center"/>
          </w:tcPr>
          <w:p w14:paraId="06EE270A">
            <w:pPr>
              <w:spacing w:line="360" w:lineRule="auto"/>
              <w:rPr>
                <w:rFonts w:ascii="宋体" w:hAnsi="宋体"/>
              </w:rPr>
            </w:pPr>
            <w:r>
              <w:rPr>
                <w:rFonts w:ascii="宋体" w:hAnsi="宋体" w:hint="eastAsia"/>
                <w:color w:val="00B0F0"/>
                <w:u w:val="single"/>
                <w:lang w:eastAsia="zh-CN"/>
              </w:rPr>
              <w:t xml:space="preserve"> 投标人认为需提供的与本项目相关的其他资料  </w:t>
            </w:r>
            <w:r>
              <w:rPr>
                <w:rFonts w:ascii="宋体" w:hAnsi="宋体" w:hint="eastAsia"/>
              </w:rPr>
              <w:t>。</w:t>
            </w:r>
          </w:p>
        </w:tc>
      </w:tr>
      <w:tr w14:paraId="7BCA8B08">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15605A7B">
            <w:pPr>
              <w:spacing w:line="360" w:lineRule="auto"/>
              <w:jc w:val="center"/>
              <w:rPr>
                <w:rFonts w:ascii="宋体" w:hAnsi="宋体"/>
              </w:rPr>
            </w:pPr>
            <w:r>
              <w:rPr>
                <w:rFonts w:ascii="宋体" w:hAnsi="宋体" w:hint="eastAsia"/>
              </w:rPr>
              <w:t>3.3.1</w:t>
            </w:r>
          </w:p>
        </w:tc>
        <w:tc>
          <w:tcPr>
            <w:tcW w:w="2069" w:type="dxa"/>
            <w:tcBorders>
              <w:top w:val="single" w:sz="2" w:space="0" w:color="auto"/>
              <w:left w:val="single" w:sz="2" w:space="0" w:color="auto"/>
              <w:bottom w:val="single" w:sz="2" w:space="0" w:color="auto"/>
              <w:right w:val="single" w:sz="2" w:space="0" w:color="auto"/>
            </w:tcBorders>
            <w:vAlign w:val="center"/>
          </w:tcPr>
          <w:p w14:paraId="5C466559">
            <w:pPr>
              <w:spacing w:line="360" w:lineRule="auto"/>
              <w:jc w:val="center"/>
              <w:rPr>
                <w:rFonts w:ascii="宋体" w:hAnsi="宋体"/>
              </w:rPr>
            </w:pPr>
            <w:r>
              <w:rPr>
                <w:rFonts w:ascii="宋体" w:hAnsi="宋体" w:hint="eastAsia"/>
              </w:rPr>
              <w:t>投标有效期</w:t>
            </w:r>
          </w:p>
        </w:tc>
        <w:tc>
          <w:tcPr>
            <w:tcW w:w="6027" w:type="dxa"/>
            <w:tcBorders>
              <w:top w:val="single" w:sz="2" w:space="0" w:color="auto"/>
              <w:left w:val="single" w:sz="2" w:space="0" w:color="auto"/>
              <w:bottom w:val="single" w:sz="2" w:space="0" w:color="auto"/>
              <w:right w:val="single" w:sz="2" w:space="0" w:color="auto"/>
            </w:tcBorders>
            <w:vAlign w:val="center"/>
          </w:tcPr>
          <w:p w14:paraId="4B3381AE">
            <w:pPr>
              <w:adjustRightInd w:val="0"/>
              <w:snapToGrid w:val="0"/>
              <w:spacing w:line="360" w:lineRule="auto"/>
              <w:rPr>
                <w:rFonts w:ascii="宋体" w:hAnsi="宋体" w:cs="宋体"/>
                <w:lang w:eastAsia="zh-CN"/>
              </w:rPr>
            </w:pPr>
            <w:r>
              <w:rPr>
                <w:rFonts w:ascii="宋体" w:hAnsi="宋体" w:cs="宋体" w:hint="eastAsia"/>
                <w:color w:val="00B0F0"/>
                <w:u w:val="single"/>
                <w:lang w:eastAsia="zh-CN"/>
              </w:rPr>
              <w:t xml:space="preserve"> 90 </w:t>
            </w:r>
            <w:r>
              <w:rPr>
                <w:rFonts w:ascii="宋体" w:hAnsi="宋体" w:cs="宋体" w:hint="eastAsia"/>
                <w:lang w:eastAsia="zh-CN"/>
              </w:rPr>
              <w:t>日历天（从投标截止之日起计算）</w:t>
            </w:r>
          </w:p>
          <w:p w14:paraId="1AB54A68">
            <w:pPr>
              <w:spacing w:line="360" w:lineRule="auto"/>
              <w:rPr>
                <w:rFonts w:ascii="宋体" w:hAnsi="宋体"/>
                <w:lang w:eastAsia="zh-CN"/>
              </w:rPr>
            </w:pPr>
            <w:r>
              <w:rPr>
                <w:rFonts w:ascii="宋体" w:hAnsi="宋体" w:cs="宋体" w:hint="eastAsia"/>
                <w:lang w:eastAsia="zh-CN"/>
              </w:rPr>
              <w:t>注:</w:t>
            </w:r>
            <w:r>
              <w:rPr>
                <w:lang w:eastAsia="zh-CN"/>
              </w:rPr>
              <w:t xml:space="preserve"> </w:t>
            </w:r>
            <w:r>
              <w:rPr>
                <w:rFonts w:ascii="宋体" w:hAnsi="宋体" w:cs="宋体" w:hint="eastAsia"/>
                <w:lang w:eastAsia="zh-CN"/>
              </w:rPr>
              <w:t>在原投标有效期内未完成评标和签订合同的,招标人应当通知所有投标人延长投标有效期;拒绝延长投标有效期的投标人有权收回投标保证金;没有拒绝延长投标有效期的投标人自动延长其投标担保的有效期,但不得修改投标文件的实质性内容。因延长投标有效期造成投标人损失的,招标人应当给予补偿,但因不可抗力需延长投标有效期的除外。</w:t>
            </w:r>
          </w:p>
        </w:tc>
      </w:tr>
      <w:tr w14:paraId="07F22614">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0E499320">
            <w:pPr>
              <w:spacing w:line="360" w:lineRule="auto"/>
              <w:jc w:val="center"/>
              <w:rPr>
                <w:rFonts w:ascii="宋体" w:hAnsi="宋体"/>
              </w:rPr>
            </w:pPr>
            <w:r>
              <w:rPr>
                <w:rFonts w:ascii="宋体" w:hAnsi="宋体" w:hint="eastAsia"/>
              </w:rPr>
              <w:t>3.4.1</w:t>
            </w:r>
          </w:p>
        </w:tc>
        <w:tc>
          <w:tcPr>
            <w:tcW w:w="2069" w:type="dxa"/>
            <w:tcBorders>
              <w:top w:val="single" w:sz="2" w:space="0" w:color="auto"/>
              <w:left w:val="single" w:sz="2" w:space="0" w:color="auto"/>
              <w:bottom w:val="single" w:sz="2" w:space="0" w:color="auto"/>
              <w:right w:val="single" w:sz="2" w:space="0" w:color="auto"/>
            </w:tcBorders>
            <w:vAlign w:val="center"/>
          </w:tcPr>
          <w:p w14:paraId="4016C7A8">
            <w:pPr>
              <w:spacing w:line="360" w:lineRule="auto"/>
              <w:jc w:val="center"/>
              <w:rPr>
                <w:rFonts w:ascii="宋体" w:hAnsi="宋体"/>
              </w:rPr>
            </w:pPr>
            <w:r>
              <w:rPr>
                <w:rFonts w:ascii="宋体" w:hAnsi="宋体" w:hint="eastAsia"/>
              </w:rPr>
              <w:t>投标保证金</w:t>
            </w:r>
          </w:p>
        </w:tc>
        <w:tc>
          <w:tcPr>
            <w:tcW w:w="6027" w:type="dxa"/>
            <w:tcBorders>
              <w:top w:val="single" w:sz="2" w:space="0" w:color="auto"/>
              <w:left w:val="single" w:sz="2" w:space="0" w:color="auto"/>
              <w:bottom w:val="single" w:sz="2" w:space="0" w:color="auto"/>
              <w:right w:val="single" w:sz="2" w:space="0" w:color="auto"/>
            </w:tcBorders>
            <w:vAlign w:val="center"/>
          </w:tcPr>
          <w:p w14:paraId="2849FA74">
            <w:pPr>
              <w:ind w:firstLine="0"/>
              <w:rPr>
                <w:sz w:val="24"/>
                <w:szCs w:val="24"/>
              </w:rPr>
            </w:pPr>
            <w:r>
              <w:rPr>
                <w:rFonts w:hint="eastAsia"/>
                <w:sz w:val="24"/>
                <w:szCs w:val="24"/>
              </w:rPr>
              <w:t>中小微企业是否免缴纳投标保证金：</w:t>
            </w:r>
            <w:sdt>
              <w:sdtPr>
                <w:rPr>
                  <w:rFonts w:ascii="Times New Roman" w:eastAsia="Calibri" w:hAnsi="Times New Roman" w:cs="Times New Roman" w:hint="eastAsia"/>
                  <w:sz w:val="24"/>
                  <w:szCs w:val="24"/>
                  <w:lang w:val="en-US" w:eastAsia="zh-CN" w:bidi="ar-SA"/>
                </w:rPr>
                <w:id w:val="147482089"/>
                <w14:checkbox>
                  <w14:checked w14:val="1"/>
                  <w14:checkedState w14:val="2611" w14:font="MS Gothic"/>
                  <w14:uncheckedState w14:val="2610" w14:font="MS Gothic"/>
                </w14:checkbox>
              </w:sdtPr>
              <w:sdtEndPr>
                <w:rPr>
                  <w:rFonts w:ascii="Times New Roman" w:eastAsia="Calibri" w:hAnsi="Times New Roman" w:cs="Times New Roman" w:hint="eastAsia"/>
                  <w:sz w:val="24"/>
                  <w:szCs w:val="24"/>
                  <w:lang w:val="en-US" w:eastAsia="zh-CN" w:bidi="ar-SA"/>
                </w:rPr>
              </w:sdtEndPr>
              <w:sdtContent>
                <w:r>
                  <w:rPr>
                    <w:rFonts w:ascii="MS Gothic" w:eastAsia="MS Gothic" w:hAnsi="MS Gothic" w:cs="MS Gothic"/>
                    <w:sz w:val="24"/>
                    <w:szCs w:val="24"/>
                    <w:lang w:val="en-US" w:eastAsia="en-US" w:bidi="ar-SA"/>
                  </w:rPr>
                  <w:t>☑</w:t>
                </w:r>
              </w:sdtContent>
            </w:sdt>
            <w:r>
              <w:rPr>
                <w:rFonts w:hint="eastAsia"/>
                <w:sz w:val="24"/>
                <w:szCs w:val="24"/>
              </w:rPr>
              <w:t xml:space="preserve">是 </w:t>
            </w:r>
            <w:sdt>
              <w:sdtPr>
                <w:rPr>
                  <w:rFonts w:ascii="Times New Roman" w:eastAsia="Calibri" w:hAnsi="Times New Roman" w:cs="Times New Roman" w:hint="eastAsia"/>
                  <w:sz w:val="24"/>
                  <w:szCs w:val="24"/>
                  <w:lang w:val="en-US" w:eastAsia="zh-CN" w:bidi="ar-SA"/>
                </w:rPr>
                <w:id w:val="147482079"/>
                <w14:checkbox>
                  <w14:checked w14:val="0"/>
                  <w14:checkedState w14:val="2611" w14:font="MS Gothic"/>
                  <w14:uncheckedState w14:val="2610" w14:font="MS Gothic"/>
                </w14:checkbox>
              </w:sdtPr>
              <w:sdtEndPr>
                <w:rPr>
                  <w:rFonts w:ascii="Times New Roman" w:eastAsia="Calibri" w:hAnsi="Times New Roman" w:cs="Times New Roman" w:hint="eastAsia"/>
                  <w:sz w:val="24"/>
                  <w:szCs w:val="24"/>
                  <w:lang w:val="en-US" w:eastAsia="zh-CN" w:bidi="ar-SA"/>
                </w:rPr>
              </w:sdtEndPr>
              <w:sdtContent>
                <w:r>
                  <w:rPr>
                    <w:rFonts w:ascii="MS Gothic" w:eastAsia="MS Gothic" w:hAnsi="MS Gothic" w:cs="MS Gothic"/>
                  </w:rPr>
                  <w:t>☐</w:t>
                </w:r>
              </w:sdtContent>
            </w:sdt>
            <w:r>
              <w:rPr>
                <w:rFonts w:hint="eastAsia"/>
                <w:sz w:val="24"/>
                <w:szCs w:val="24"/>
              </w:rPr>
              <w:t>否</w:t>
            </w:r>
          </w:p>
          <w:p w14:paraId="25BF26A5">
            <w:pPr>
              <w:ind w:firstLine="480" w:firstLineChars="200"/>
              <w:rPr>
                <w:sz w:val="24"/>
                <w:szCs w:val="24"/>
              </w:rPr>
            </w:pPr>
            <w:r>
              <w:rPr>
                <w:rFonts w:hint="eastAsia"/>
                <w:sz w:val="24"/>
                <w:szCs w:val="24"/>
              </w:rPr>
              <w:t>中小微企业免缴纳投标保证金的：</w:t>
            </w:r>
          </w:p>
          <w:p w14:paraId="349C2A28">
            <w:pPr>
              <w:ind w:firstLine="480" w:firstLineChars="200"/>
              <w:rPr>
                <w:sz w:val="24"/>
                <w:szCs w:val="24"/>
              </w:rPr>
            </w:pPr>
            <w:r>
              <w:rPr>
                <w:rFonts w:hint="eastAsia"/>
                <w:sz w:val="24"/>
                <w:szCs w:val="24"/>
              </w:rPr>
              <w:t>根据工业和信息化部、国家统计局、国家发展和改革委员会、财政部《关于印发中小企业划型标准规定的通知》（工信部联企业〔2011〕300号）、国家统计局关于印发《统计上大中小微型企业划分办法》的通知（国统字〔2017〕213号）的划分标准，属于中小微企业的</w:t>
            </w:r>
            <w:r>
              <w:rPr>
                <w:sz w:val="24"/>
                <w:szCs w:val="24"/>
              </w:rPr>
              <w:t>投标人登陆全国公共资源交易平台（四川省·遂宁市）（</w:t>
            </w:r>
            <w:hyperlink r:id="rId7" w:history="1">
              <w:r>
                <w:rPr>
                  <w:sz w:val="24"/>
                  <w:szCs w:val="24"/>
                </w:rPr>
                <w:t>http://www.</w:t>
              </w:r>
              <w:r>
                <w:rPr>
                  <w:rFonts w:hint="eastAsia"/>
                  <w:sz w:val="24"/>
                  <w:szCs w:val="24"/>
                  <w:lang w:eastAsia="zh-CN"/>
                </w:rPr>
                <w:t>snsggzyjy.cn</w:t>
              </w:r>
              <w:r>
                <w:rPr>
                  <w:sz w:val="24"/>
                  <w:szCs w:val="24"/>
                </w:rPr>
                <w:t>/</w:t>
              </w:r>
            </w:hyperlink>
            <w:r>
              <w:rPr>
                <w:rFonts w:hint="eastAsia"/>
                <w:sz w:val="24"/>
                <w:szCs w:val="24"/>
              </w:rPr>
              <w:t>）按系统提示上传《中小微企业声明函》，同时在投标文件上传承诺函。承诺函内容如有不实，属于弄虚作假骗取中标，由相关行政监督部门按照《中华人民共和国招标投标法》追究相关责任。</w:t>
            </w:r>
          </w:p>
          <w:p w14:paraId="4575368C">
            <w:pPr>
              <w:ind w:firstLine="0"/>
              <w:rPr>
                <w:sz w:val="24"/>
                <w:szCs w:val="24"/>
              </w:rPr>
            </w:pPr>
          </w:p>
          <w:p w14:paraId="4C94C7E7">
            <w:pPr>
              <w:ind w:firstLine="420"/>
              <w:rPr>
                <w:sz w:val="24"/>
                <w:szCs w:val="24"/>
              </w:rPr>
            </w:pPr>
            <w:r>
              <w:rPr>
                <w:sz w:val="24"/>
                <w:szCs w:val="24"/>
              </w:rPr>
              <w:t>投标保证金的金额：</w:t>
            </w:r>
            <w:r>
              <w:rPr>
                <w:sz w:val="24"/>
                <w:szCs w:val="24"/>
              </w:rPr>
              <w:t xml:space="preserve">  </w:t>
            </w:r>
            <w:r>
              <w:rPr>
                <w:rFonts w:hint="eastAsia"/>
                <w:sz w:val="24"/>
                <w:szCs w:val="24"/>
              </w:rPr>
              <w:t>500000</w:t>
            </w:r>
            <w:r>
              <w:rPr>
                <w:sz w:val="24"/>
                <w:szCs w:val="24"/>
              </w:rPr>
              <w:t xml:space="preserve"> </w:t>
            </w:r>
            <w:r>
              <w:rPr>
                <w:sz w:val="24"/>
                <w:szCs w:val="24"/>
              </w:rPr>
              <w:t>元（小写），</w:t>
            </w:r>
            <w:r>
              <w:rPr>
                <w:sz w:val="24"/>
                <w:szCs w:val="24"/>
              </w:rPr>
              <w:t xml:space="preserve">  </w:t>
            </w:r>
            <w:r>
              <w:rPr>
                <w:rFonts w:hint="eastAsia"/>
                <w:sz w:val="24"/>
                <w:szCs w:val="24"/>
              </w:rPr>
              <w:t>伍拾万</w:t>
            </w:r>
            <w:r>
              <w:rPr>
                <w:sz w:val="24"/>
                <w:szCs w:val="24"/>
              </w:rPr>
              <w:t xml:space="preserve"> </w:t>
            </w:r>
            <w:r>
              <w:rPr>
                <w:sz w:val="24"/>
                <w:szCs w:val="24"/>
              </w:rPr>
              <w:t>元（大写）。投标人可以选择以下方式提交：</w:t>
            </w:r>
          </w:p>
          <w:p w14:paraId="2E9AF525">
            <w:pPr>
              <w:ind w:firstLine="0"/>
              <w:rPr>
                <w:sz w:val="24"/>
                <w:szCs w:val="24"/>
              </w:rPr>
            </w:pPr>
            <w:r>
              <w:rPr>
                <w:sz w:val="24"/>
                <w:szCs w:val="24"/>
              </w:rPr>
              <w:t>1.银行转账。投标人以银行转账形式缴纳投标保证金的，必须从基本账户转出。投标人登陆全国公共资源交易平台（四川省·遂宁市）（</w:t>
            </w:r>
            <w:hyperlink r:id="rId7" w:history="1">
              <w:r>
                <w:rPr>
                  <w:sz w:val="24"/>
                  <w:szCs w:val="24"/>
                </w:rPr>
                <w:t>http://www.</w:t>
              </w:r>
              <w:r>
                <w:rPr>
                  <w:rFonts w:hint="eastAsia"/>
                  <w:sz w:val="24"/>
                  <w:szCs w:val="24"/>
                  <w:lang w:eastAsia="zh-CN"/>
                </w:rPr>
                <w:t>snsggzyjy.cn</w:t>
              </w:r>
              <w:r>
                <w:rPr>
                  <w:sz w:val="24"/>
                  <w:szCs w:val="24"/>
                </w:rPr>
                <w:t>/</w:t>
              </w:r>
            </w:hyperlink>
            <w:r>
              <w:rPr>
                <w:sz w:val="24"/>
                <w:szCs w:val="24"/>
              </w:rPr>
              <w:t>）按系统提示选择银行缴纳投标保证金。</w:t>
            </w:r>
          </w:p>
          <w:p w14:paraId="3B924346">
            <w:pPr>
              <w:rPr>
                <w:sz w:val="24"/>
                <w:szCs w:val="24"/>
              </w:rPr>
            </w:pPr>
            <w:r>
              <w:rPr>
                <w:sz w:val="24"/>
                <w:szCs w:val="24"/>
              </w:rPr>
              <w:t>2.保证保险。投标人以保证保险形式缴纳投标保证金的，必须用基本账户资金购买保险服务。投标人登陆全国公共资源交易平台（四川省·遂宁市）（</w:t>
            </w:r>
            <w:hyperlink r:id="rId7" w:history="1">
              <w:r>
                <w:rPr>
                  <w:sz w:val="24"/>
                  <w:szCs w:val="24"/>
                </w:rPr>
                <w:t>http://www.</w:t>
              </w:r>
              <w:r>
                <w:rPr>
                  <w:rFonts w:hint="eastAsia"/>
                  <w:sz w:val="24"/>
                  <w:szCs w:val="24"/>
                  <w:lang w:eastAsia="zh-CN"/>
                </w:rPr>
                <w:t>snsggzyjy.cn</w:t>
              </w:r>
              <w:r>
                <w:rPr>
                  <w:sz w:val="24"/>
                  <w:szCs w:val="24"/>
                </w:rPr>
                <w:t>/</w:t>
              </w:r>
            </w:hyperlink>
            <w:r>
              <w:rPr>
                <w:sz w:val="24"/>
                <w:szCs w:val="24"/>
              </w:rPr>
              <w:t>）按系统提示选择保险公司购买保证保险服务。</w:t>
            </w:r>
          </w:p>
          <w:p w14:paraId="55260911">
            <w:pPr>
              <w:rPr>
                <w:sz w:val="24"/>
                <w:szCs w:val="24"/>
              </w:rPr>
            </w:pPr>
            <w:r>
              <w:rPr>
                <w:sz w:val="24"/>
                <w:szCs w:val="24"/>
              </w:rPr>
              <w:t>3.银行保函。投标人以银行保函形式缴纳投标保证金的，必须用基本账户资金办理保函业务。投标人登陆全国公共资源交易平台（四川省·遂宁市）（</w:t>
            </w:r>
            <w:hyperlink r:id="rId7" w:history="1">
              <w:r>
                <w:rPr>
                  <w:sz w:val="24"/>
                  <w:szCs w:val="24"/>
                </w:rPr>
                <w:t>http://www.</w:t>
              </w:r>
              <w:r>
                <w:rPr>
                  <w:rFonts w:hint="eastAsia"/>
                  <w:sz w:val="24"/>
                  <w:szCs w:val="24"/>
                  <w:lang w:eastAsia="zh-CN"/>
                </w:rPr>
                <w:t>snsggzyjy.cn</w:t>
              </w:r>
              <w:r>
                <w:rPr>
                  <w:sz w:val="24"/>
                  <w:szCs w:val="24"/>
                </w:rPr>
                <w:t>/</w:t>
              </w:r>
            </w:hyperlink>
            <w:r>
              <w:rPr>
                <w:sz w:val="24"/>
                <w:szCs w:val="24"/>
              </w:rPr>
              <w:t>）按系统提示选择银行办理保函业务。</w:t>
            </w:r>
          </w:p>
          <w:p w14:paraId="714BB3DB">
            <w:pPr>
              <w:rPr>
                <w:rFonts w:eastAsia="宋体" w:hint="default"/>
                <w:sz w:val="24"/>
                <w:szCs w:val="24"/>
                <w:lang w:val="en-US" w:eastAsia="zh-CN"/>
              </w:rPr>
            </w:pPr>
            <w:r>
              <w:rPr>
                <w:rFonts w:eastAsia="宋体" w:hint="eastAsia"/>
                <w:sz w:val="24"/>
                <w:szCs w:val="24"/>
                <w:lang w:val="en-US" w:eastAsia="zh-CN"/>
              </w:rPr>
              <w:t>4.数字人民币。</w:t>
            </w:r>
            <w:r>
              <w:rPr>
                <w:sz w:val="24"/>
                <w:szCs w:val="24"/>
              </w:rPr>
              <w:t>投标人以</w:t>
            </w:r>
            <w:r>
              <w:rPr>
                <w:rFonts w:eastAsia="宋体" w:hint="eastAsia"/>
                <w:sz w:val="24"/>
                <w:szCs w:val="24"/>
                <w:lang w:val="en-US" w:eastAsia="zh-CN"/>
              </w:rPr>
              <w:t>数字人民币</w:t>
            </w:r>
            <w:r>
              <w:rPr>
                <w:sz w:val="24"/>
                <w:szCs w:val="24"/>
              </w:rPr>
              <w:t>形式缴纳投标保证金的，必须从</w:t>
            </w:r>
            <w:r>
              <w:rPr>
                <w:rFonts w:eastAsia="宋体" w:hint="eastAsia"/>
                <w:sz w:val="24"/>
                <w:szCs w:val="24"/>
                <w:lang w:val="en-US" w:eastAsia="zh-CN"/>
              </w:rPr>
              <w:t>以</w:t>
            </w:r>
            <w:r>
              <w:rPr>
                <w:sz w:val="24"/>
                <w:szCs w:val="24"/>
              </w:rPr>
              <w:t>基本账户</w:t>
            </w:r>
            <w:r>
              <w:rPr>
                <w:rFonts w:eastAsia="宋体" w:hint="eastAsia"/>
                <w:sz w:val="24"/>
                <w:szCs w:val="24"/>
                <w:lang w:val="en-US" w:eastAsia="zh-CN"/>
              </w:rPr>
              <w:t>开立的数字人民币母钱包</w:t>
            </w:r>
            <w:r>
              <w:rPr>
                <w:sz w:val="24"/>
                <w:szCs w:val="24"/>
              </w:rPr>
              <w:t>转出。投标人登陆全国公共资源交易平台（四川省·遂宁市）（</w:t>
            </w:r>
            <w:hyperlink r:id="rId7" w:history="1">
              <w:r>
                <w:rPr>
                  <w:sz w:val="24"/>
                  <w:szCs w:val="24"/>
                </w:rPr>
                <w:t>http://www.</w:t>
              </w:r>
              <w:r>
                <w:rPr>
                  <w:rFonts w:hint="eastAsia"/>
                  <w:sz w:val="24"/>
                  <w:szCs w:val="24"/>
                  <w:lang w:eastAsia="zh-CN"/>
                </w:rPr>
                <w:t>snsggzyjy.cn</w:t>
              </w:r>
              <w:r>
                <w:rPr>
                  <w:sz w:val="24"/>
                  <w:szCs w:val="24"/>
                </w:rPr>
                <w:t>/</w:t>
              </w:r>
            </w:hyperlink>
            <w:r>
              <w:rPr>
                <w:sz w:val="24"/>
                <w:szCs w:val="24"/>
              </w:rPr>
              <w:t>）按系统提示选择银行缴纳投标保证金。</w:t>
            </w:r>
          </w:p>
          <w:p w14:paraId="3332FB6E">
            <w:pPr>
              <w:rPr>
                <w:sz w:val="24"/>
                <w:szCs w:val="24"/>
              </w:rPr>
            </w:pPr>
            <w:r>
              <w:rPr>
                <w:rFonts w:eastAsia="宋体" w:hint="eastAsia"/>
                <w:sz w:val="24"/>
                <w:szCs w:val="24"/>
                <w:lang w:val="en-US" w:eastAsia="zh-CN"/>
              </w:rPr>
              <w:t>5.</w:t>
            </w:r>
            <w:r>
              <w:rPr>
                <w:sz w:val="24"/>
                <w:szCs w:val="24"/>
              </w:rPr>
              <w:t>①采取转账形式缴纳投标保证金的，应在保证金缴纳截止时间前到达遂宁市公共资源交易服务中心保证金专用账户，以银行记录时间为准。</w:t>
            </w:r>
          </w:p>
          <w:p w14:paraId="1370D072">
            <w:pPr>
              <w:adjustRightInd w:val="0"/>
              <w:snapToGrid w:val="0"/>
              <w:spacing w:line="360" w:lineRule="auto"/>
              <w:ind w:firstLine="480" w:firstLineChars="200"/>
              <w:rPr>
                <w:rFonts w:ascii="宋体" w:hAnsi="宋体" w:cs="宋体"/>
              </w:rPr>
            </w:pPr>
            <w:r>
              <w:rPr>
                <w:sz w:val="24"/>
                <w:szCs w:val="24"/>
              </w:rPr>
              <w:t>②未按系统提示缴纳保证金的，视为缴纳投标保证金无效。</w:t>
            </w:r>
          </w:p>
        </w:tc>
      </w:tr>
      <w:tr w14:paraId="46C4AD95">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4ADF98AB">
            <w:pPr>
              <w:spacing w:line="360" w:lineRule="auto"/>
              <w:jc w:val="center"/>
              <w:rPr>
                <w:rFonts w:ascii="宋体" w:hAnsi="宋体"/>
              </w:rPr>
            </w:pPr>
            <w:r>
              <w:rPr>
                <w:rFonts w:ascii="宋体" w:hAnsi="宋体" w:cs="宋体" w:hint="eastAsia"/>
              </w:rPr>
              <w:t>3.4.3</w:t>
            </w:r>
          </w:p>
        </w:tc>
        <w:tc>
          <w:tcPr>
            <w:tcW w:w="2069" w:type="dxa"/>
            <w:tcBorders>
              <w:top w:val="single" w:sz="2" w:space="0" w:color="auto"/>
              <w:left w:val="single" w:sz="2" w:space="0" w:color="auto"/>
              <w:bottom w:val="single" w:sz="2" w:space="0" w:color="auto"/>
              <w:right w:val="single" w:sz="2" w:space="0" w:color="auto"/>
            </w:tcBorders>
            <w:vAlign w:val="center"/>
          </w:tcPr>
          <w:p w14:paraId="5BF22E4D">
            <w:pPr>
              <w:spacing w:line="360" w:lineRule="auto"/>
              <w:jc w:val="center"/>
              <w:rPr>
                <w:rFonts w:ascii="宋体" w:hAnsi="宋体"/>
              </w:rPr>
            </w:pPr>
            <w:r>
              <w:rPr>
                <w:rFonts w:ascii="宋体" w:hAnsi="宋体" w:cs="宋体" w:hint="eastAsia"/>
              </w:rPr>
              <w:t>投标保证金的退还</w:t>
            </w:r>
          </w:p>
        </w:tc>
        <w:tc>
          <w:tcPr>
            <w:tcW w:w="6027" w:type="dxa"/>
            <w:tcBorders>
              <w:top w:val="single" w:sz="2" w:space="0" w:color="auto"/>
              <w:left w:val="single" w:sz="2" w:space="0" w:color="auto"/>
              <w:bottom w:val="single" w:sz="2" w:space="0" w:color="auto"/>
              <w:right w:val="single" w:sz="2" w:space="0" w:color="auto"/>
            </w:tcBorders>
            <w:vAlign w:val="center"/>
          </w:tcPr>
          <w:p w14:paraId="55FC6372">
            <w:pPr>
              <w:adjustRightInd w:val="0"/>
              <w:snapToGrid w:val="0"/>
              <w:spacing w:line="360" w:lineRule="auto"/>
              <w:rPr>
                <w:rFonts w:ascii="宋体" w:hAnsi="宋体" w:cs="宋体"/>
                <w:lang w:eastAsia="zh-CN"/>
              </w:rPr>
            </w:pPr>
            <w:r>
              <w:rPr>
                <w:rFonts w:ascii="宋体" w:hAnsi="宋体" w:cs="宋体" w:hint="eastAsia"/>
                <w:lang w:eastAsia="zh-CN"/>
              </w:rPr>
              <w:t>评标结果公示期满后，除中标候选人外，其余投标人的投标保证金及孳息将原账户退还到投标人的转入账户。</w:t>
            </w:r>
          </w:p>
          <w:p w14:paraId="5CB5E5F1">
            <w:pPr>
              <w:adjustRightInd w:val="0"/>
              <w:snapToGrid w:val="0"/>
              <w:spacing w:line="360" w:lineRule="auto"/>
              <w:rPr>
                <w:rFonts w:ascii="宋体" w:hAnsi="宋体" w:cs="宋体"/>
                <w:lang w:eastAsia="zh-CN"/>
              </w:rPr>
            </w:pPr>
            <w:r>
              <w:rPr>
                <w:rFonts w:ascii="宋体" w:hAnsi="宋体" w:cs="宋体" w:hint="eastAsia"/>
                <w:lang w:eastAsia="zh-CN"/>
              </w:rPr>
              <w:t>中标候选人的保证金及孳息在项目合同签订并公示后，原账户退还到中标候选人的保证金转入账户。</w:t>
            </w:r>
          </w:p>
          <w:p w14:paraId="7C4BC838">
            <w:pPr>
              <w:spacing w:line="360" w:lineRule="auto"/>
              <w:rPr>
                <w:rFonts w:ascii="宋体" w:hAnsi="宋体" w:cs="宋体"/>
                <w:lang w:eastAsia="zh-CN"/>
              </w:rPr>
            </w:pPr>
            <w:r>
              <w:rPr>
                <w:rFonts w:ascii="宋体" w:hAnsi="宋体" w:cs="宋体" w:hint="eastAsia"/>
                <w:lang w:eastAsia="zh-CN"/>
              </w:rPr>
              <w:t>备注：行政主管部门、行业监督部门、招标人依法作出暂缓退还决定的除外。</w:t>
            </w:r>
          </w:p>
        </w:tc>
      </w:tr>
      <w:tr w14:paraId="79D0212B">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6A84C89F">
            <w:pPr>
              <w:spacing w:line="360" w:lineRule="auto"/>
              <w:jc w:val="center"/>
              <w:rPr>
                <w:rFonts w:ascii="宋体" w:hAnsi="宋体"/>
              </w:rPr>
            </w:pPr>
            <w:r>
              <w:rPr>
                <w:rFonts w:ascii="宋体" w:hAnsi="宋体" w:hint="eastAsia"/>
              </w:rPr>
              <w:t>3.4.4</w:t>
            </w:r>
          </w:p>
        </w:tc>
        <w:tc>
          <w:tcPr>
            <w:tcW w:w="2069" w:type="dxa"/>
            <w:tcBorders>
              <w:top w:val="single" w:sz="2" w:space="0" w:color="auto"/>
              <w:left w:val="single" w:sz="2" w:space="0" w:color="auto"/>
              <w:bottom w:val="single" w:sz="2" w:space="0" w:color="auto"/>
              <w:right w:val="single" w:sz="2" w:space="0" w:color="auto"/>
            </w:tcBorders>
            <w:vAlign w:val="center"/>
          </w:tcPr>
          <w:p w14:paraId="34710C0C">
            <w:pPr>
              <w:spacing w:line="360" w:lineRule="auto"/>
              <w:jc w:val="center"/>
              <w:rPr>
                <w:rFonts w:ascii="宋体" w:hAnsi="宋体"/>
                <w:lang w:eastAsia="zh-CN"/>
              </w:rPr>
            </w:pPr>
            <w:r>
              <w:rPr>
                <w:rFonts w:ascii="宋体" w:hAnsi="宋体" w:hint="eastAsia"/>
                <w:lang w:eastAsia="zh-CN"/>
              </w:rPr>
              <w:t>投标保证金不予退还的情形</w:t>
            </w:r>
          </w:p>
        </w:tc>
        <w:tc>
          <w:tcPr>
            <w:tcW w:w="6027" w:type="dxa"/>
            <w:tcBorders>
              <w:top w:val="single" w:sz="2" w:space="0" w:color="auto"/>
              <w:left w:val="single" w:sz="2" w:space="0" w:color="auto"/>
              <w:bottom w:val="single" w:sz="2" w:space="0" w:color="auto"/>
              <w:right w:val="single" w:sz="2" w:space="0" w:color="auto"/>
            </w:tcBorders>
            <w:vAlign w:val="center"/>
          </w:tcPr>
          <w:p w14:paraId="5BE2BBFA">
            <w:pPr>
              <w:spacing w:line="360" w:lineRule="auto"/>
              <w:rPr>
                <w:rFonts w:ascii="宋体" w:eastAsia="宋体" w:hAnsi="宋体" w:cs="宋体" w:hint="eastAsia"/>
                <w:sz w:val="24"/>
                <w:szCs w:val="24"/>
                <w:highlight w:val="none"/>
                <w:lang w:val="en-US" w:eastAsia="zh-CN"/>
              </w:rPr>
            </w:pPr>
            <w:r>
              <w:rPr>
                <w:rFonts w:ascii="宋体" w:eastAsia="宋体" w:hAnsi="宋体" w:cs="宋体" w:hint="eastAsia"/>
                <w:sz w:val="24"/>
                <w:szCs w:val="24"/>
                <w:highlight w:val="none"/>
                <w:lang w:val="en-US" w:eastAsia="zh-CN"/>
              </w:rPr>
              <w:t>在投标活动中，投标人串通投标、弄虚作假、隐瞒限制投标情形，确定中标人前放弃中标候选人资格的，中标人在收到中标通知书后，无正当理由拒签合同协议书的，投标保证金也不予退还。</w:t>
            </w:r>
          </w:p>
          <w:p w14:paraId="33DFC2BC">
            <w:pPr>
              <w:spacing w:line="360" w:lineRule="auto"/>
              <w:rPr>
                <w:rFonts w:ascii="宋体" w:hAnsi="宋体"/>
              </w:rPr>
            </w:pPr>
            <w:r>
              <w:rPr>
                <w:rFonts w:ascii="宋体" w:hAnsi="宋体" w:cs="宋体" w:hint="eastAsia"/>
              </w:rPr>
              <w:t>其他情形：</w:t>
            </w:r>
            <w:r>
              <w:rPr>
                <w:rFonts w:ascii="宋体" w:hAnsi="宋体" w:cs="宋体" w:hint="eastAsia"/>
                <w:color w:val="00B0F0"/>
                <w:u w:val="single"/>
              </w:rPr>
              <w:t xml:space="preserve">                </w:t>
            </w:r>
            <w:r>
              <w:rPr>
                <w:rFonts w:ascii="宋体" w:hAnsi="宋体" w:cs="宋体" w:hint="eastAsia"/>
              </w:rPr>
              <w:t>。</w:t>
            </w:r>
          </w:p>
        </w:tc>
      </w:tr>
      <w:tr w14:paraId="692AD13A">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D97C734">
            <w:pPr>
              <w:spacing w:line="360" w:lineRule="auto"/>
              <w:jc w:val="center"/>
              <w:rPr>
                <w:rFonts w:ascii="宋体" w:hAnsi="宋体"/>
              </w:rPr>
            </w:pPr>
            <w:r>
              <w:rPr>
                <w:rFonts w:ascii="宋体" w:hAnsi="宋体" w:hint="eastAsia"/>
              </w:rPr>
              <w:t>3.5.2</w:t>
            </w:r>
          </w:p>
        </w:tc>
        <w:tc>
          <w:tcPr>
            <w:tcW w:w="2069" w:type="dxa"/>
            <w:tcBorders>
              <w:top w:val="single" w:sz="2" w:space="0" w:color="auto"/>
              <w:left w:val="single" w:sz="2" w:space="0" w:color="auto"/>
              <w:bottom w:val="single" w:sz="2" w:space="0" w:color="auto"/>
              <w:right w:val="single" w:sz="2" w:space="0" w:color="auto"/>
            </w:tcBorders>
            <w:vAlign w:val="center"/>
          </w:tcPr>
          <w:p w14:paraId="2F05EC79">
            <w:pPr>
              <w:spacing w:line="360" w:lineRule="auto"/>
              <w:jc w:val="center"/>
              <w:rPr>
                <w:rFonts w:ascii="宋体" w:hAnsi="宋体"/>
                <w:lang w:eastAsia="zh-CN"/>
              </w:rPr>
            </w:pPr>
            <w:r>
              <w:rPr>
                <w:rFonts w:ascii="宋体" w:hAnsi="宋体" w:hint="eastAsia"/>
                <w:lang w:eastAsia="zh-CN"/>
              </w:rPr>
              <w:t>近年财务状况的年份要求</w:t>
            </w:r>
          </w:p>
        </w:tc>
        <w:tc>
          <w:tcPr>
            <w:tcW w:w="6027" w:type="dxa"/>
            <w:tcBorders>
              <w:top w:val="single" w:sz="2" w:space="0" w:color="auto"/>
              <w:left w:val="single" w:sz="2" w:space="0" w:color="auto"/>
              <w:bottom w:val="single" w:sz="2" w:space="0" w:color="auto"/>
              <w:right w:val="single" w:sz="2" w:space="0" w:color="auto"/>
            </w:tcBorders>
            <w:vAlign w:val="center"/>
          </w:tcPr>
          <w:p w14:paraId="6AF85827">
            <w:pPr>
              <w:adjustRightInd w:val="0"/>
              <w:snapToGrid w:val="0"/>
              <w:spacing w:line="360" w:lineRule="auto"/>
              <w:rPr>
                <w:rFonts w:ascii="宋体" w:hAnsi="宋体" w:cs="宋体"/>
                <w:lang w:eastAsia="zh-CN"/>
              </w:rPr>
            </w:pPr>
            <w:sdt>
              <w:sdtPr>
                <w:rPr>
                  <w:rFonts w:ascii="宋体" w:hAnsi="宋体" w:cs="宋体" w:hint="eastAsia"/>
                  <w:lang w:eastAsia="zh-CN"/>
                </w:rPr>
                <w:id w:val="1792778503"/>
                <w14:checkbox>
                  <w14:checked w14:val="1"/>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cs="宋体" w:hint="eastAsia"/>
                <w:lang w:eastAsia="zh-CN"/>
              </w:rPr>
              <w:t>无</w:t>
            </w:r>
          </w:p>
          <w:p w14:paraId="7BDA7FEB">
            <w:pPr>
              <w:adjustRightInd w:val="0"/>
              <w:snapToGrid w:val="0"/>
              <w:spacing w:line="360" w:lineRule="auto"/>
              <w:rPr>
                <w:rFonts w:ascii="宋体" w:hAnsi="宋体"/>
                <w:lang w:eastAsia="zh-CN"/>
              </w:rPr>
            </w:pPr>
            <w:sdt>
              <w:sdtPr>
                <w:rPr>
                  <w:rFonts w:ascii="宋体" w:hAnsi="宋体" w:cs="宋体" w:hint="eastAsia"/>
                  <w:lang w:eastAsia="zh-CN"/>
                </w:rPr>
                <w:id w:val="-32118380"/>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有，具体要求：近</w:t>
            </w:r>
            <w:r>
              <w:rPr>
                <w:rFonts w:ascii="宋体" w:hAnsi="宋体" w:cs="宋体" w:hint="eastAsia"/>
                <w:color w:val="00B0F0"/>
                <w:u w:val="single"/>
                <w:lang w:eastAsia="zh-CN"/>
              </w:rPr>
              <w:t xml:space="preserve">      </w:t>
            </w:r>
            <w:r>
              <w:rPr>
                <w:rFonts w:ascii="宋体" w:hAnsi="宋体" w:cs="宋体" w:hint="eastAsia"/>
                <w:lang w:eastAsia="zh-CN"/>
              </w:rPr>
              <w:t>年</w:t>
            </w:r>
          </w:p>
        </w:tc>
      </w:tr>
      <w:tr w14:paraId="0CEEF4F9">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467EE727">
            <w:pPr>
              <w:spacing w:line="360" w:lineRule="auto"/>
              <w:jc w:val="center"/>
              <w:rPr>
                <w:rFonts w:ascii="宋体" w:hAnsi="宋体"/>
              </w:rPr>
            </w:pPr>
            <w:r>
              <w:rPr>
                <w:rFonts w:ascii="宋体" w:hAnsi="宋体" w:hint="eastAsia"/>
              </w:rPr>
              <w:t>3.5.3</w:t>
            </w:r>
          </w:p>
        </w:tc>
        <w:tc>
          <w:tcPr>
            <w:tcW w:w="2069" w:type="dxa"/>
            <w:tcBorders>
              <w:top w:val="single" w:sz="2" w:space="0" w:color="auto"/>
              <w:left w:val="single" w:sz="2" w:space="0" w:color="auto"/>
              <w:bottom w:val="single" w:sz="2" w:space="0" w:color="auto"/>
              <w:right w:val="single" w:sz="2" w:space="0" w:color="auto"/>
            </w:tcBorders>
            <w:vAlign w:val="center"/>
          </w:tcPr>
          <w:p w14:paraId="560C35F1">
            <w:pPr>
              <w:spacing w:line="360" w:lineRule="auto"/>
              <w:jc w:val="center"/>
              <w:rPr>
                <w:rFonts w:ascii="宋体" w:hAnsi="宋体"/>
                <w:lang w:eastAsia="zh-CN"/>
              </w:rPr>
            </w:pPr>
            <w:r>
              <w:rPr>
                <w:rFonts w:ascii="宋体" w:hAnsi="宋体" w:hint="eastAsia"/>
                <w:lang w:eastAsia="zh-CN"/>
              </w:rPr>
              <w:t>近年完成的类似项目的年份要求</w:t>
            </w:r>
          </w:p>
        </w:tc>
        <w:tc>
          <w:tcPr>
            <w:tcW w:w="6027" w:type="dxa"/>
            <w:tcBorders>
              <w:top w:val="single" w:sz="2" w:space="0" w:color="auto"/>
              <w:left w:val="single" w:sz="2" w:space="0" w:color="auto"/>
              <w:bottom w:val="single" w:sz="2" w:space="0" w:color="auto"/>
              <w:right w:val="single" w:sz="2" w:space="0" w:color="auto"/>
            </w:tcBorders>
            <w:vAlign w:val="center"/>
          </w:tcPr>
          <w:p w14:paraId="4D44170B">
            <w:pPr>
              <w:adjustRightInd w:val="0"/>
              <w:snapToGrid w:val="0"/>
              <w:spacing w:line="360" w:lineRule="auto"/>
              <w:rPr>
                <w:rFonts w:ascii="宋体" w:hAnsi="宋体" w:cs="Arial"/>
                <w:lang w:eastAsia="zh-CN"/>
              </w:rPr>
            </w:pPr>
            <w:sdt>
              <w:sdtPr>
                <w:rPr>
                  <w:rFonts w:ascii="宋体" w:hAnsi="宋体" w:cs="Arial" w:hint="eastAsia"/>
                  <w:lang w:eastAsia="zh-CN"/>
                </w:rPr>
                <w:id w:val="608622944"/>
                <w14:checkbox>
                  <w14:checked w14:val="1"/>
                  <w14:checkedState w14:val="2611" w14:font="MS Gothic"/>
                  <w14:uncheckedState w14:val="2610" w14:font="MS Gothic"/>
                </w14:checkbox>
              </w:sdtPr>
              <w:sdtEndPr>
                <w:rPr>
                  <w:rFonts w:ascii="宋体" w:hAnsi="宋体" w:cs="Arial"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cs="Arial" w:hint="eastAsia"/>
                <w:lang w:eastAsia="zh-CN"/>
              </w:rPr>
              <w:t>无</w:t>
            </w:r>
          </w:p>
          <w:p w14:paraId="4AEEADCE">
            <w:pPr>
              <w:spacing w:line="360" w:lineRule="auto"/>
              <w:rPr>
                <w:rFonts w:ascii="宋体" w:hAnsi="宋体"/>
                <w:kern w:val="2"/>
                <w:lang w:eastAsia="zh-CN"/>
              </w:rPr>
            </w:pPr>
            <w:sdt>
              <w:sdtPr>
                <w:rPr>
                  <w:rFonts w:ascii="宋体" w:hAnsi="宋体" w:cs="Arial" w:hint="eastAsia"/>
                  <w:lang w:eastAsia="zh-CN"/>
                </w:rPr>
                <w:id w:val="526760811"/>
                <w14:checkbox>
                  <w14:checked w14:val="0"/>
                  <w14:checkedState w14:val="2611" w14:font="MS Gothic"/>
                  <w14:uncheckedState w14:val="2610" w14:font="MS Gothic"/>
                </w14:checkbox>
              </w:sdtPr>
              <w:sdtEndPr>
                <w:rPr>
                  <w:rFonts w:ascii="宋体" w:hAnsi="宋体" w:cs="Arial" w:hint="eastAsia"/>
                  <w:lang w:eastAsia="zh-CN"/>
                </w:rPr>
              </w:sdtEndPr>
              <w:sdtContent>
                <w:r>
                  <w:rPr>
                    <w:rFonts w:ascii="MS Gothic" w:eastAsia="MS Gothic" w:hAnsi="MS Gothic" w:cs="MS Gothic" w:hint="eastAsia"/>
                    <w:lang w:eastAsia="zh-CN"/>
                  </w:rPr>
                  <w:t>☐</w:t>
                </w:r>
              </w:sdtContent>
            </w:sdt>
            <w:r>
              <w:rPr>
                <w:rFonts w:ascii="宋体" w:hAnsi="宋体" w:cs="Arial" w:hint="eastAsia"/>
                <w:lang w:eastAsia="zh-CN"/>
              </w:rPr>
              <w:t>有</w:t>
            </w:r>
            <w:r>
              <w:rPr>
                <w:rFonts w:ascii="宋体" w:hAnsi="宋体" w:cs="宋体" w:hint="eastAsia"/>
                <w:lang w:eastAsia="zh-CN"/>
              </w:rPr>
              <w:t>，具体要求：</w:t>
            </w:r>
            <w:r>
              <w:rPr>
                <w:rFonts w:ascii="宋体" w:hAnsi="宋体" w:cs="宋体" w:hint="eastAsia"/>
                <w:color w:val="00B0F0"/>
                <w:u w:val="single"/>
                <w:lang w:eastAsia="zh-CN"/>
              </w:rPr>
              <w:t xml:space="preserve">   </w:t>
            </w:r>
            <w:r>
              <w:rPr>
                <w:rFonts w:ascii="宋体" w:hAnsi="宋体" w:cs="宋体" w:hint="eastAsia"/>
                <w:lang w:eastAsia="zh-CN"/>
              </w:rPr>
              <w:t>年</w:t>
            </w:r>
            <w:r>
              <w:rPr>
                <w:rFonts w:ascii="宋体" w:hAnsi="宋体" w:cs="宋体" w:hint="eastAsia"/>
                <w:color w:val="00B0F0"/>
                <w:u w:val="single"/>
                <w:lang w:eastAsia="zh-CN"/>
              </w:rPr>
              <w:t xml:space="preserve">   </w:t>
            </w:r>
            <w:r>
              <w:rPr>
                <w:rFonts w:ascii="宋体" w:hAnsi="宋体" w:cs="宋体" w:hint="eastAsia"/>
                <w:lang w:eastAsia="zh-CN"/>
              </w:rPr>
              <w:t>月</w:t>
            </w:r>
            <w:r>
              <w:rPr>
                <w:rFonts w:ascii="宋体" w:hAnsi="宋体" w:cs="宋体" w:hint="eastAsia"/>
                <w:color w:val="00B0F0"/>
                <w:u w:val="single"/>
                <w:lang w:eastAsia="zh-CN"/>
              </w:rPr>
              <w:t xml:space="preserve">   </w:t>
            </w:r>
            <w:r>
              <w:rPr>
                <w:rFonts w:ascii="宋体" w:hAnsi="宋体" w:cs="宋体" w:hint="eastAsia"/>
                <w:lang w:eastAsia="zh-CN"/>
              </w:rPr>
              <w:t>日至投标截止时间</w:t>
            </w:r>
          </w:p>
        </w:tc>
      </w:tr>
      <w:tr w14:paraId="70CA282F">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40A1B988">
            <w:pPr>
              <w:spacing w:line="360" w:lineRule="auto"/>
              <w:jc w:val="center"/>
              <w:rPr>
                <w:rFonts w:ascii="宋体" w:hAnsi="宋体"/>
              </w:rPr>
            </w:pPr>
            <w:r>
              <w:rPr>
                <w:rFonts w:ascii="宋体" w:hAnsi="宋体" w:hint="eastAsia"/>
              </w:rPr>
              <w:t>3.5.5</w:t>
            </w:r>
          </w:p>
        </w:tc>
        <w:tc>
          <w:tcPr>
            <w:tcW w:w="2069" w:type="dxa"/>
            <w:tcBorders>
              <w:top w:val="single" w:sz="2" w:space="0" w:color="auto"/>
              <w:left w:val="single" w:sz="2" w:space="0" w:color="auto"/>
              <w:bottom w:val="single" w:sz="2" w:space="0" w:color="auto"/>
              <w:right w:val="single" w:sz="2" w:space="0" w:color="auto"/>
            </w:tcBorders>
            <w:vAlign w:val="center"/>
          </w:tcPr>
          <w:p w14:paraId="3C3BD17B">
            <w:pPr>
              <w:spacing w:line="360" w:lineRule="auto"/>
              <w:jc w:val="center"/>
              <w:rPr>
                <w:rFonts w:ascii="宋体" w:hAnsi="宋体"/>
                <w:lang w:eastAsia="zh-CN"/>
              </w:rPr>
            </w:pPr>
            <w:r>
              <w:rPr>
                <w:rFonts w:ascii="宋体" w:hAnsi="宋体" w:hint="eastAsia"/>
                <w:lang w:eastAsia="zh-CN"/>
              </w:rPr>
              <w:t>近年发生的诉讼及仲裁情况的年份要求</w:t>
            </w:r>
          </w:p>
        </w:tc>
        <w:tc>
          <w:tcPr>
            <w:tcW w:w="6027" w:type="dxa"/>
            <w:tcBorders>
              <w:top w:val="single" w:sz="2" w:space="0" w:color="auto"/>
              <w:left w:val="single" w:sz="2" w:space="0" w:color="auto"/>
              <w:bottom w:val="single" w:sz="2" w:space="0" w:color="auto"/>
              <w:right w:val="single" w:sz="2" w:space="0" w:color="auto"/>
            </w:tcBorders>
            <w:vAlign w:val="center"/>
          </w:tcPr>
          <w:p w14:paraId="57A8C103">
            <w:pPr>
              <w:spacing w:line="360" w:lineRule="auto"/>
              <w:rPr>
                <w:rFonts w:ascii="宋体" w:hAnsi="宋体" w:cs="Arial"/>
                <w:sz w:val="28"/>
                <w:szCs w:val="28"/>
                <w:lang w:eastAsia="zh-CN"/>
              </w:rPr>
            </w:pPr>
            <w:sdt>
              <w:sdtPr>
                <w:rPr>
                  <w:rFonts w:ascii="宋体" w:hAnsi="宋体" w:cs="Arial" w:hint="eastAsia"/>
                  <w:lang w:eastAsia="zh-CN"/>
                </w:rPr>
                <w:id w:val="-1080212382"/>
                <w14:checkbox>
                  <w14:checked w14:val="1"/>
                  <w14:checkedState w14:val="2611" w14:font="MS Gothic"/>
                  <w14:uncheckedState w14:val="2610" w14:font="MS Gothic"/>
                </w14:checkbox>
              </w:sdtPr>
              <w:sdtEndPr>
                <w:rPr>
                  <w:rFonts w:ascii="宋体" w:hAnsi="宋体" w:cs="Arial"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cs="Arial" w:hint="eastAsia"/>
                <w:lang w:eastAsia="zh-CN"/>
              </w:rPr>
              <w:t>本次投标不提供</w:t>
            </w:r>
          </w:p>
          <w:p w14:paraId="719FCCC5">
            <w:pPr>
              <w:spacing w:line="360" w:lineRule="auto"/>
              <w:rPr>
                <w:rFonts w:ascii="宋体" w:hAnsi="宋体" w:cs="宋体"/>
                <w:kern w:val="2"/>
                <w:lang w:eastAsia="zh-CN"/>
              </w:rPr>
            </w:pPr>
            <w:sdt>
              <w:sdtPr>
                <w:rPr>
                  <w:rFonts w:ascii="宋体" w:hAnsi="宋体" w:cs="宋体" w:hint="eastAsia"/>
                  <w:lang w:eastAsia="zh-CN"/>
                </w:rPr>
                <w:id w:val="-290133315"/>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具体要求：</w:t>
            </w:r>
            <w:r>
              <w:rPr>
                <w:rFonts w:ascii="宋体" w:hAnsi="宋体" w:cs="宋体" w:hint="eastAsia"/>
                <w:color w:val="00B0F0"/>
                <w:u w:val="single"/>
                <w:lang w:eastAsia="zh-CN"/>
              </w:rPr>
              <w:t xml:space="preserve">   </w:t>
            </w:r>
            <w:r>
              <w:rPr>
                <w:rFonts w:ascii="宋体" w:hAnsi="宋体" w:cs="宋体" w:hint="eastAsia"/>
                <w:lang w:eastAsia="zh-CN"/>
              </w:rPr>
              <w:t>年</w:t>
            </w:r>
            <w:r>
              <w:rPr>
                <w:rFonts w:ascii="宋体" w:hAnsi="宋体" w:cs="宋体" w:hint="eastAsia"/>
                <w:color w:val="00B0F0"/>
                <w:u w:val="single"/>
                <w:lang w:eastAsia="zh-CN"/>
              </w:rPr>
              <w:t xml:space="preserve">   </w:t>
            </w:r>
            <w:r>
              <w:rPr>
                <w:rFonts w:ascii="宋体" w:hAnsi="宋体" w:cs="宋体" w:hint="eastAsia"/>
                <w:lang w:eastAsia="zh-CN"/>
              </w:rPr>
              <w:t>月</w:t>
            </w:r>
            <w:r>
              <w:rPr>
                <w:rFonts w:ascii="宋体" w:hAnsi="宋体" w:cs="宋体" w:hint="eastAsia"/>
                <w:color w:val="00B0F0"/>
                <w:u w:val="single"/>
                <w:lang w:eastAsia="zh-CN"/>
              </w:rPr>
              <w:t xml:space="preserve">   </w:t>
            </w:r>
            <w:r>
              <w:rPr>
                <w:rFonts w:ascii="宋体" w:hAnsi="宋体" w:cs="宋体" w:hint="eastAsia"/>
                <w:lang w:eastAsia="zh-CN"/>
              </w:rPr>
              <w:t>日至投标截止时间</w:t>
            </w:r>
          </w:p>
        </w:tc>
      </w:tr>
      <w:tr w14:paraId="4CC9F2CA">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11F16D93">
            <w:pPr>
              <w:spacing w:line="360" w:lineRule="auto"/>
              <w:jc w:val="center"/>
              <w:rPr>
                <w:rFonts w:ascii="宋体" w:hAnsi="宋体"/>
              </w:rPr>
            </w:pPr>
            <w:r>
              <w:rPr>
                <w:rFonts w:ascii="宋体" w:hAnsi="宋体" w:hint="eastAsia"/>
              </w:rPr>
              <w:t>3.6</w:t>
            </w:r>
          </w:p>
        </w:tc>
        <w:tc>
          <w:tcPr>
            <w:tcW w:w="2069" w:type="dxa"/>
            <w:tcBorders>
              <w:top w:val="single" w:sz="2" w:space="0" w:color="auto"/>
              <w:left w:val="single" w:sz="2" w:space="0" w:color="auto"/>
              <w:bottom w:val="single" w:sz="2" w:space="0" w:color="auto"/>
              <w:right w:val="single" w:sz="2" w:space="0" w:color="auto"/>
            </w:tcBorders>
            <w:vAlign w:val="center"/>
          </w:tcPr>
          <w:p w14:paraId="56721F52">
            <w:pPr>
              <w:spacing w:line="360" w:lineRule="auto"/>
              <w:jc w:val="center"/>
              <w:rPr>
                <w:rFonts w:ascii="宋体" w:hAnsi="宋体"/>
                <w:lang w:eastAsia="zh-CN"/>
              </w:rPr>
            </w:pPr>
            <w:r>
              <w:rPr>
                <w:rFonts w:ascii="宋体" w:hAnsi="宋体" w:hint="eastAsia"/>
                <w:lang w:eastAsia="zh-CN"/>
              </w:rPr>
              <w:t>是否允许递交备选投标方案</w:t>
            </w:r>
          </w:p>
        </w:tc>
        <w:tc>
          <w:tcPr>
            <w:tcW w:w="6027" w:type="dxa"/>
            <w:tcBorders>
              <w:top w:val="single" w:sz="2" w:space="0" w:color="auto"/>
              <w:left w:val="single" w:sz="2" w:space="0" w:color="auto"/>
              <w:bottom w:val="single" w:sz="2" w:space="0" w:color="auto"/>
              <w:right w:val="single" w:sz="2" w:space="0" w:color="auto"/>
            </w:tcBorders>
            <w:vAlign w:val="center"/>
          </w:tcPr>
          <w:p w14:paraId="250BCDF1">
            <w:pPr>
              <w:spacing w:line="360" w:lineRule="auto"/>
              <w:rPr>
                <w:rFonts w:ascii="宋体" w:hAnsi="宋体"/>
                <w:lang w:eastAsia="zh-CN"/>
              </w:rPr>
            </w:pPr>
            <w:sdt>
              <w:sdtPr>
                <w:rPr>
                  <w:rFonts w:ascii="宋体" w:hAnsi="宋体" w:hint="eastAsia"/>
                  <w:lang w:eastAsia="zh-CN"/>
                </w:rPr>
                <w:id w:val="384531150"/>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不允许</w:t>
            </w:r>
          </w:p>
          <w:p w14:paraId="0CD07706">
            <w:pPr>
              <w:spacing w:line="360" w:lineRule="auto"/>
              <w:rPr>
                <w:rFonts w:ascii="宋体" w:hAnsi="宋体"/>
                <w:lang w:eastAsia="zh-CN"/>
              </w:rPr>
            </w:pPr>
            <w:sdt>
              <w:sdtPr>
                <w:rPr>
                  <w:rFonts w:ascii="宋体" w:hAnsi="宋体" w:hint="eastAsia"/>
                  <w:lang w:eastAsia="zh-CN"/>
                </w:rPr>
                <w:id w:val="-154912535"/>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允许</w:t>
            </w:r>
          </w:p>
          <w:p w14:paraId="4443A526">
            <w:pPr>
              <w:spacing w:line="360" w:lineRule="auto"/>
              <w:rPr>
                <w:rFonts w:ascii="宋体" w:hAnsi="宋体"/>
                <w:lang w:eastAsia="zh-CN"/>
              </w:rPr>
            </w:pPr>
            <w:r>
              <w:rPr>
                <w:rFonts w:ascii="宋体" w:hAnsi="宋体" w:hint="eastAsia"/>
                <w:lang w:eastAsia="zh-CN"/>
              </w:rPr>
              <w:t>备选投标方案的编制要求见附表七“备选投标方案编制要求”，评审和比较办法见第三章“评标办法”。</w:t>
            </w:r>
          </w:p>
        </w:tc>
      </w:tr>
      <w:tr w14:paraId="4F372711">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1C21E6F6">
            <w:pPr>
              <w:spacing w:line="360" w:lineRule="auto"/>
              <w:jc w:val="center"/>
              <w:rPr>
                <w:rFonts w:ascii="宋体" w:hAnsi="宋体"/>
              </w:rPr>
            </w:pPr>
            <w:r>
              <w:rPr>
                <w:rFonts w:ascii="宋体" w:hAnsi="宋体" w:cs="宋体" w:hint="eastAsia"/>
              </w:rPr>
              <w:t>3.7.1</w:t>
            </w:r>
          </w:p>
        </w:tc>
        <w:tc>
          <w:tcPr>
            <w:tcW w:w="2069" w:type="dxa"/>
            <w:tcBorders>
              <w:top w:val="single" w:sz="2" w:space="0" w:color="auto"/>
              <w:left w:val="single" w:sz="2" w:space="0" w:color="auto"/>
              <w:bottom w:val="single" w:sz="2" w:space="0" w:color="auto"/>
              <w:right w:val="single" w:sz="2" w:space="0" w:color="auto"/>
            </w:tcBorders>
            <w:vAlign w:val="center"/>
          </w:tcPr>
          <w:p w14:paraId="4B522A32">
            <w:pPr>
              <w:spacing w:line="360" w:lineRule="auto"/>
              <w:jc w:val="center"/>
              <w:rPr>
                <w:rFonts w:ascii="宋体" w:hAnsi="宋体"/>
              </w:rPr>
            </w:pPr>
            <w:r>
              <w:rPr>
                <w:rFonts w:ascii="宋体" w:hAnsi="宋体" w:cs="宋体" w:hint="eastAsia"/>
              </w:rPr>
              <w:t>投标文件格式</w:t>
            </w:r>
          </w:p>
        </w:tc>
        <w:tc>
          <w:tcPr>
            <w:tcW w:w="6027" w:type="dxa"/>
            <w:tcBorders>
              <w:top w:val="single" w:sz="2" w:space="0" w:color="auto"/>
              <w:left w:val="single" w:sz="2" w:space="0" w:color="auto"/>
              <w:bottom w:val="single" w:sz="2" w:space="0" w:color="auto"/>
              <w:right w:val="single" w:sz="2" w:space="0" w:color="auto"/>
            </w:tcBorders>
            <w:vAlign w:val="center"/>
          </w:tcPr>
          <w:p w14:paraId="28B02440">
            <w:pPr>
              <w:adjustRightInd w:val="0"/>
              <w:snapToGrid w:val="0"/>
              <w:spacing w:line="360" w:lineRule="auto"/>
              <w:rPr>
                <w:rFonts w:ascii="宋体" w:hAnsi="宋体" w:cs="宋体"/>
                <w:lang w:eastAsia="zh-CN"/>
              </w:rPr>
            </w:pPr>
            <w:r>
              <w:rPr>
                <w:rFonts w:ascii="宋体" w:hAnsi="宋体" w:cs="宋体" w:hint="eastAsia"/>
                <w:lang w:eastAsia="zh-CN"/>
              </w:rPr>
              <w:t>投标文件全部采用电子文档，由商务标文件（包含投标报价和投标函内容）、技术标文件组成。</w:t>
            </w:r>
          </w:p>
          <w:p w14:paraId="40AF9192">
            <w:pPr>
              <w:adjustRightInd w:val="0"/>
              <w:snapToGrid w:val="0"/>
              <w:spacing w:line="360" w:lineRule="auto"/>
              <w:rPr>
                <w:rFonts w:ascii="宋体" w:hAnsi="宋体" w:cs="宋体"/>
                <w:lang w:eastAsia="zh-CN"/>
              </w:rPr>
            </w:pPr>
            <w:r>
              <w:rPr>
                <w:rFonts w:ascii="宋体" w:hAnsi="宋体" w:cs="宋体" w:hint="eastAsia"/>
                <w:lang w:eastAsia="zh-CN"/>
              </w:rPr>
              <w:t>商务标电子文件必须使用《遂宁市建设工程商务标投标书编制系统》制作。（电子文件格式为xxx.TBS）</w:t>
            </w:r>
          </w:p>
          <w:p w14:paraId="6734D2C2">
            <w:pPr>
              <w:adjustRightInd w:val="0"/>
              <w:snapToGrid w:val="0"/>
              <w:spacing w:line="360" w:lineRule="auto"/>
              <w:rPr>
                <w:rFonts w:ascii="宋体" w:hAnsi="宋体" w:cs="宋体"/>
                <w:lang w:eastAsia="zh-CN"/>
              </w:rPr>
            </w:pPr>
            <w:r>
              <w:rPr>
                <w:rFonts w:ascii="宋体" w:hAnsi="宋体" w:cs="宋体" w:hint="eastAsia"/>
                <w:lang w:eastAsia="zh-CN"/>
              </w:rPr>
              <w:t>技术标电子文件必须使用《遂宁市建设工程技术标投标书编制系统》制作。（技术标文件格式为xxx.TBJ）</w:t>
            </w:r>
          </w:p>
          <w:p w14:paraId="032FE2D9">
            <w:pPr>
              <w:adjustRightInd w:val="0"/>
              <w:snapToGrid w:val="0"/>
              <w:spacing w:line="360" w:lineRule="auto"/>
              <w:rPr>
                <w:rFonts w:ascii="宋体" w:hAnsi="宋体" w:cs="宋体"/>
                <w:lang w:eastAsia="zh-CN"/>
              </w:rPr>
            </w:pPr>
            <w:r>
              <w:rPr>
                <w:rFonts w:ascii="宋体" w:hAnsi="宋体" w:cs="宋体" w:hint="eastAsia"/>
                <w:lang w:eastAsia="zh-CN"/>
              </w:rPr>
              <w:t>编制要求见投标人须知正文附件五《电子投标文件编制及报送要求》。</w:t>
            </w:r>
          </w:p>
          <w:p w14:paraId="4C8102C2">
            <w:pPr>
              <w:adjustRightInd w:val="0"/>
              <w:snapToGrid w:val="0"/>
              <w:spacing w:line="360" w:lineRule="auto"/>
              <w:rPr>
                <w:rFonts w:ascii="宋体" w:hAnsi="宋体" w:cs="宋体"/>
                <w:lang w:eastAsia="zh-CN"/>
              </w:rPr>
            </w:pPr>
            <w:r>
              <w:rPr>
                <w:rFonts w:ascii="宋体" w:hAnsi="宋体" w:cs="宋体" w:hint="eastAsia"/>
                <w:lang w:eastAsia="zh-CN"/>
              </w:rPr>
              <w:t>(1)投标人不得对招标文件格式中的内容进行删减或修改。</w:t>
            </w:r>
          </w:p>
          <w:p w14:paraId="1A19EC8F">
            <w:pPr>
              <w:adjustRightInd w:val="0"/>
              <w:snapToGrid w:val="0"/>
              <w:spacing w:line="360" w:lineRule="auto"/>
              <w:rPr>
                <w:rFonts w:ascii="宋体" w:hAnsi="宋体" w:cs="宋体"/>
                <w:lang w:eastAsia="zh-CN"/>
              </w:rPr>
            </w:pPr>
            <w:r>
              <w:rPr>
                <w:rFonts w:ascii="宋体" w:hAnsi="宋体" w:cs="宋体" w:hint="eastAsia"/>
                <w:lang w:eastAsia="zh-CN"/>
              </w:rPr>
              <w:t>(2)投标人可以在格式内容之外另行说明和增加相关内容，作为投标文件的组成部分。另行说明或自行增加的内容、以及按投标文件格式在空格（下划线）由投标人填写的内容，不得与招标文件的强制性审查标准和禁止性规定相抵触。</w:t>
            </w:r>
          </w:p>
          <w:p w14:paraId="1DDB1024">
            <w:pPr>
              <w:adjustRightInd w:val="0"/>
              <w:snapToGrid w:val="0"/>
              <w:spacing w:line="360" w:lineRule="auto"/>
              <w:rPr>
                <w:rFonts w:ascii="宋体" w:hAnsi="宋体" w:cs="宋体"/>
                <w:lang w:eastAsia="zh-CN"/>
              </w:rPr>
            </w:pPr>
            <w:r>
              <w:rPr>
                <w:rFonts w:ascii="宋体" w:hAnsi="宋体" w:cs="宋体" w:hint="eastAsia"/>
                <w:lang w:eastAsia="zh-CN"/>
              </w:rPr>
              <w:t>(3)按投标文件格式在空格（下划线）由投标人填写的内容，确实没有需要填写的，可以在空格中用“/”标示，也可以不填（空白）。但招标文件中另有规定的从其规定。</w:t>
            </w:r>
          </w:p>
          <w:p w14:paraId="437C6760">
            <w:pPr>
              <w:adjustRightInd w:val="0"/>
              <w:snapToGrid w:val="0"/>
              <w:spacing w:line="360" w:lineRule="auto"/>
              <w:rPr>
                <w:rFonts w:ascii="宋体" w:hAnsi="宋体" w:cs="宋体"/>
                <w:lang w:eastAsia="zh-CN"/>
              </w:rPr>
            </w:pPr>
            <w:r>
              <w:rPr>
                <w:rFonts w:ascii="宋体" w:hAnsi="宋体" w:cs="宋体" w:hint="eastAsia"/>
                <w:lang w:eastAsia="zh-CN"/>
              </w:rPr>
              <w:t>(4)投标文件应对招标文件提出的所有实质性要求和条件作出实质性响应，并且实质性响应的内容不得互相矛盾。</w:t>
            </w:r>
          </w:p>
          <w:p w14:paraId="60339EA9">
            <w:pPr>
              <w:adjustRightInd w:val="0"/>
              <w:snapToGrid w:val="0"/>
              <w:spacing w:line="360" w:lineRule="auto"/>
              <w:rPr>
                <w:rFonts w:ascii="宋体" w:hAnsi="宋体"/>
                <w:lang w:eastAsia="zh-CN"/>
              </w:rPr>
            </w:pPr>
            <w:r>
              <w:rPr>
                <w:rFonts w:ascii="宋体" w:hAnsi="宋体" w:cs="宋体" w:hint="eastAsia"/>
                <w:lang w:eastAsia="zh-CN"/>
              </w:rPr>
              <w:t>(5)投标文件所附证明材料应内容完整并清晰可辨。所附证明材料内容不完整或字迹、印章模糊的，评标委员会应要求投标人提供内容完整并清晰可辨的证明材料核验。</w:t>
            </w:r>
          </w:p>
        </w:tc>
      </w:tr>
      <w:tr w14:paraId="20E6D27F">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6F4AE4E0">
            <w:pPr>
              <w:spacing w:line="360" w:lineRule="auto"/>
              <w:jc w:val="center"/>
              <w:rPr>
                <w:rFonts w:ascii="宋体" w:hAnsi="宋体"/>
              </w:rPr>
            </w:pPr>
            <w:r>
              <w:rPr>
                <w:rFonts w:ascii="宋体" w:hAnsi="宋体" w:hint="eastAsia"/>
              </w:rPr>
              <w:t>3.7.3</w:t>
            </w:r>
          </w:p>
        </w:tc>
        <w:tc>
          <w:tcPr>
            <w:tcW w:w="2069" w:type="dxa"/>
            <w:tcBorders>
              <w:top w:val="single" w:sz="2" w:space="0" w:color="auto"/>
              <w:left w:val="single" w:sz="2" w:space="0" w:color="auto"/>
              <w:bottom w:val="single" w:sz="2" w:space="0" w:color="auto"/>
              <w:right w:val="single" w:sz="2" w:space="0" w:color="auto"/>
            </w:tcBorders>
            <w:vAlign w:val="center"/>
          </w:tcPr>
          <w:p w14:paraId="161A82B4">
            <w:pPr>
              <w:spacing w:line="360" w:lineRule="auto"/>
              <w:jc w:val="center"/>
              <w:rPr>
                <w:rFonts w:ascii="宋体" w:hAnsi="宋体"/>
              </w:rPr>
            </w:pPr>
            <w:r>
              <w:rPr>
                <w:rFonts w:ascii="宋体" w:hAnsi="宋体" w:hint="eastAsia"/>
              </w:rPr>
              <w:t>投标文件的签署</w:t>
            </w:r>
          </w:p>
        </w:tc>
        <w:tc>
          <w:tcPr>
            <w:tcW w:w="6027" w:type="dxa"/>
            <w:tcBorders>
              <w:top w:val="single" w:sz="2" w:space="0" w:color="auto"/>
              <w:left w:val="single" w:sz="2" w:space="0" w:color="auto"/>
              <w:bottom w:val="single" w:sz="2" w:space="0" w:color="auto"/>
              <w:right w:val="single" w:sz="2" w:space="0" w:color="auto"/>
            </w:tcBorders>
            <w:vAlign w:val="center"/>
          </w:tcPr>
          <w:p w14:paraId="130E62B4">
            <w:pPr>
              <w:adjustRightInd w:val="0"/>
              <w:snapToGrid w:val="0"/>
              <w:spacing w:line="360" w:lineRule="auto"/>
              <w:rPr>
                <w:rFonts w:ascii="宋体" w:eastAsia="宋体" w:hAnsi="宋体" w:cs="宋体"/>
                <w:lang w:eastAsia="zh-CN"/>
              </w:rPr>
            </w:pPr>
            <w:r>
              <w:rPr>
                <w:rFonts w:ascii="宋体" w:eastAsia="宋体" w:hAnsi="宋体" w:cs="宋体" w:hint="eastAsia"/>
                <w:lang w:eastAsia="zh-CN"/>
              </w:rPr>
              <w:t>（1）</w:t>
            </w:r>
            <w:r>
              <w:rPr>
                <w:rFonts w:ascii="宋体" w:hAnsi="宋体" w:cs="宋体" w:hint="eastAsia"/>
                <w:lang w:eastAsia="zh-CN"/>
              </w:rPr>
              <w:t>数据电文形式投标文件中所有要求签字的地方应使用电子签章。由法定代表人签字的，应附法定代表人身份证明，由代理人签字的，应附授权委托书。身份证明或授权委托书应符合招标文件中“投标文件格式”的规定。</w:t>
            </w:r>
            <w:r>
              <w:rPr>
                <w:rFonts w:ascii="宋体" w:eastAsia="宋体" w:hAnsi="宋体" w:cs="宋体" w:hint="eastAsia"/>
                <w:lang w:eastAsia="zh-CN"/>
              </w:rPr>
              <w:t xml:space="preserve"> </w:t>
            </w:r>
          </w:p>
          <w:p w14:paraId="3792B400">
            <w:pPr>
              <w:adjustRightInd w:val="0"/>
              <w:snapToGrid w:val="0"/>
              <w:spacing w:line="360" w:lineRule="auto"/>
              <w:rPr>
                <w:rFonts w:ascii="宋体" w:hAnsi="宋体" w:cs="宋体"/>
                <w:lang w:eastAsia="zh-CN"/>
              </w:rPr>
            </w:pPr>
            <w:r>
              <w:rPr>
                <w:rFonts w:ascii="宋体" w:hAnsi="宋体" w:cs="宋体" w:hint="eastAsia"/>
                <w:lang w:eastAsia="zh-CN"/>
              </w:rPr>
              <w:t xml:space="preserve">（2）投标文件所有要求盖章的地方均应使用单位法定名称印章,不得使用专用印章（如经济合同章、投标专用章等）或直属（下属）单位印章代替。 </w:t>
            </w:r>
          </w:p>
          <w:p w14:paraId="294D44FB">
            <w:pPr>
              <w:rPr>
                <w:lang w:eastAsia="zh-CN"/>
              </w:rPr>
            </w:pPr>
            <w:r>
              <w:rPr>
                <w:rFonts w:ascii="宋体" w:hAnsi="宋体" w:cs="宋体" w:hint="eastAsia"/>
                <w:lang w:eastAsia="zh-CN"/>
              </w:rPr>
              <w:t>（3）数据电文形式投标文件所有要求盖章的地方，除联合体协议书外，均应加盖投标人（联合体投标的，为联合体牵头人）电子印章，联合体协议书上传签字、盖章的扫描件。</w:t>
            </w:r>
          </w:p>
          <w:p w14:paraId="20519AE6">
            <w:pPr>
              <w:spacing w:line="360" w:lineRule="auto"/>
              <w:rPr>
                <w:rFonts w:ascii="宋体" w:hAnsi="宋体" w:cs="宋体"/>
                <w:lang w:val="zh-CN" w:eastAsia="zh-CN"/>
              </w:rPr>
            </w:pPr>
          </w:p>
          <w:p w14:paraId="7631F054">
            <w:pPr>
              <w:spacing w:line="360" w:lineRule="auto"/>
              <w:rPr>
                <w:rFonts w:ascii="宋体" w:hAnsi="宋体" w:cs="宋体"/>
                <w:lang w:val="zh-CN" w:eastAsia="zh-CN"/>
              </w:rPr>
            </w:pPr>
          </w:p>
        </w:tc>
      </w:tr>
      <w:tr w14:paraId="63D5673D">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34F2C539">
            <w:pPr>
              <w:spacing w:line="360" w:lineRule="auto"/>
              <w:jc w:val="center"/>
              <w:rPr>
                <w:rFonts w:ascii="宋体" w:hAnsi="宋体"/>
              </w:rPr>
            </w:pPr>
            <w:r>
              <w:rPr>
                <w:rFonts w:ascii="宋体" w:hAnsi="宋体" w:hint="eastAsia"/>
              </w:rPr>
              <w:t>4.1</w:t>
            </w:r>
          </w:p>
        </w:tc>
        <w:tc>
          <w:tcPr>
            <w:tcW w:w="2069" w:type="dxa"/>
            <w:tcBorders>
              <w:top w:val="single" w:sz="2" w:space="0" w:color="auto"/>
              <w:left w:val="single" w:sz="2" w:space="0" w:color="auto"/>
              <w:bottom w:val="single" w:sz="2" w:space="0" w:color="auto"/>
              <w:right w:val="single" w:sz="2" w:space="0" w:color="auto"/>
            </w:tcBorders>
            <w:vAlign w:val="center"/>
          </w:tcPr>
          <w:p w14:paraId="3015FA05">
            <w:pPr>
              <w:spacing w:line="360" w:lineRule="auto"/>
              <w:jc w:val="center"/>
              <w:rPr>
                <w:rFonts w:ascii="宋体" w:hAnsi="宋体"/>
              </w:rPr>
            </w:pPr>
            <w:r>
              <w:rPr>
                <w:rFonts w:ascii="宋体" w:hAnsi="宋体" w:hint="eastAsia"/>
              </w:rPr>
              <w:t>投标文件加密</w:t>
            </w:r>
          </w:p>
          <w:p w14:paraId="3DE11513">
            <w:pPr>
              <w:spacing w:line="360" w:lineRule="auto"/>
              <w:jc w:val="center"/>
              <w:rPr>
                <w:rFonts w:ascii="宋体" w:hAnsi="宋体"/>
              </w:rPr>
            </w:pPr>
            <w:r>
              <w:rPr>
                <w:rFonts w:ascii="宋体" w:hAnsi="宋体" w:hint="eastAsia"/>
              </w:rPr>
              <w:t>要求</w:t>
            </w:r>
          </w:p>
        </w:tc>
        <w:tc>
          <w:tcPr>
            <w:tcW w:w="6027" w:type="dxa"/>
            <w:tcBorders>
              <w:top w:val="single" w:sz="2" w:space="0" w:color="auto"/>
              <w:left w:val="single" w:sz="2" w:space="0" w:color="auto"/>
              <w:bottom w:val="single" w:sz="2" w:space="0" w:color="auto"/>
              <w:right w:val="single" w:sz="2" w:space="0" w:color="auto"/>
            </w:tcBorders>
            <w:vAlign w:val="center"/>
          </w:tcPr>
          <w:p w14:paraId="11D884F2">
            <w:pPr>
              <w:spacing w:line="360" w:lineRule="auto"/>
              <w:rPr>
                <w:rFonts w:ascii="宋体" w:hAnsi="宋体"/>
                <w:lang w:eastAsia="zh-CN"/>
              </w:rPr>
            </w:pPr>
            <w:r>
              <w:rPr>
                <w:rFonts w:ascii="宋体" w:hAnsi="宋体" w:cs="宋体" w:hint="eastAsia"/>
                <w:lang w:eastAsia="zh-CN"/>
              </w:rPr>
              <w:t>在线递交的</w:t>
            </w:r>
            <w:r>
              <w:rPr>
                <w:rFonts w:ascii="宋体" w:hAnsi="宋体" w:cs="宋体" w:hint="eastAsia"/>
                <w:lang w:val="zh-CN" w:eastAsia="zh-CN"/>
              </w:rPr>
              <w:t>数据电文形式投标文件</w:t>
            </w:r>
            <w:r>
              <w:rPr>
                <w:rFonts w:ascii="宋体" w:hAnsi="宋体" w:cs="宋体" w:hint="eastAsia"/>
                <w:lang w:eastAsia="zh-CN"/>
              </w:rPr>
              <w:t>，</w:t>
            </w:r>
            <w:r>
              <w:rPr>
                <w:rFonts w:ascii="宋体" w:hAnsi="宋体" w:cs="宋体" w:hint="eastAsia"/>
                <w:lang w:val="zh-CN" w:eastAsia="zh-CN"/>
              </w:rPr>
              <w:t>须经投标人数字证书加密</w:t>
            </w:r>
            <w:r>
              <w:rPr>
                <w:rFonts w:ascii="宋体" w:hAnsi="宋体" w:cs="宋体" w:hint="eastAsia"/>
                <w:lang w:eastAsia="zh-CN"/>
              </w:rPr>
              <w:t>。</w:t>
            </w:r>
          </w:p>
        </w:tc>
      </w:tr>
      <w:tr w14:paraId="60E7B0F4">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7670D1E5">
            <w:pPr>
              <w:spacing w:line="360" w:lineRule="auto"/>
              <w:jc w:val="center"/>
              <w:rPr>
                <w:rFonts w:ascii="宋体" w:hAnsi="宋体"/>
              </w:rPr>
            </w:pPr>
            <w:r>
              <w:rPr>
                <w:rFonts w:ascii="宋体" w:hAnsi="宋体" w:hint="eastAsia"/>
              </w:rPr>
              <w:t>4.2.1</w:t>
            </w:r>
          </w:p>
        </w:tc>
        <w:tc>
          <w:tcPr>
            <w:tcW w:w="2069" w:type="dxa"/>
            <w:tcBorders>
              <w:top w:val="single" w:sz="2" w:space="0" w:color="auto"/>
              <w:left w:val="single" w:sz="2" w:space="0" w:color="auto"/>
              <w:bottom w:val="single" w:sz="2" w:space="0" w:color="auto"/>
              <w:right w:val="single" w:sz="2" w:space="0" w:color="auto"/>
            </w:tcBorders>
            <w:vAlign w:val="center"/>
          </w:tcPr>
          <w:p w14:paraId="78810364">
            <w:pPr>
              <w:spacing w:line="360" w:lineRule="auto"/>
              <w:jc w:val="center"/>
              <w:rPr>
                <w:rFonts w:ascii="宋体" w:hAnsi="宋体"/>
              </w:rPr>
            </w:pPr>
            <w:r>
              <w:rPr>
                <w:rFonts w:ascii="宋体" w:hAnsi="宋体" w:cs="宋体" w:hint="eastAsia"/>
              </w:rPr>
              <w:t>投标截止时间</w:t>
            </w:r>
          </w:p>
        </w:tc>
        <w:tc>
          <w:tcPr>
            <w:tcW w:w="6027" w:type="dxa"/>
            <w:tcBorders>
              <w:top w:val="single" w:sz="2" w:space="0" w:color="auto"/>
              <w:left w:val="single" w:sz="2" w:space="0" w:color="auto"/>
              <w:bottom w:val="single" w:sz="2" w:space="0" w:color="auto"/>
              <w:right w:val="single" w:sz="2" w:space="0" w:color="auto"/>
            </w:tcBorders>
            <w:vAlign w:val="center"/>
          </w:tcPr>
          <w:p w14:paraId="00036C39">
            <w:pPr>
              <w:adjustRightInd w:val="0"/>
              <w:snapToGrid w:val="0"/>
              <w:spacing w:line="360" w:lineRule="auto"/>
              <w:rPr>
                <w:rFonts w:ascii="宋体" w:hAnsi="宋体" w:cs="宋体"/>
              </w:rPr>
            </w:pPr>
            <w:r>
              <w:rPr>
                <w:rFonts w:ascii="宋体" w:hAnsi="宋体" w:cs="宋体" w:hint="eastAsia"/>
                <w:color w:val="00B0F0"/>
                <w:u w:val="single"/>
              </w:rPr>
              <w:t xml:space="preserve"> </w:t>
            </w:r>
            <w:r>
              <w:rPr>
                <w:rFonts w:ascii="宋体" w:hAnsi="宋体" w:cs="宋体" w:hint="eastAsia"/>
                <w:color w:val="00B0F0"/>
                <w:u w:val="single"/>
                <w:lang w:val="en-US" w:eastAsia="zh-CN"/>
              </w:rPr>
              <w:t>2026</w:t>
            </w:r>
            <w:r>
              <w:rPr>
                <w:rFonts w:ascii="宋体" w:hAnsi="宋体" w:cs="宋体" w:hint="eastAsia"/>
                <w:color w:val="00B0F0"/>
                <w:u w:val="single"/>
              </w:rPr>
              <w:t xml:space="preserve">  </w:t>
            </w:r>
            <w:r>
              <w:rPr>
                <w:rFonts w:ascii="宋体" w:hAnsi="宋体" w:cs="宋体" w:hint="eastAsia"/>
              </w:rPr>
              <w:t>年</w:t>
            </w:r>
            <w:r>
              <w:rPr>
                <w:rFonts w:ascii="宋体" w:hAnsi="宋体" w:cs="宋体" w:hint="eastAsia"/>
                <w:color w:val="00B0F0"/>
                <w:u w:val="single"/>
              </w:rPr>
              <w:t xml:space="preserve"> </w:t>
            </w:r>
            <w:r>
              <w:rPr>
                <w:rFonts w:ascii="宋体" w:hAnsi="宋体" w:cs="宋体" w:hint="eastAsia"/>
                <w:color w:val="00B0F0"/>
                <w:u w:val="single"/>
                <w:lang w:val="en-US" w:eastAsia="zh-CN"/>
              </w:rPr>
              <w:t>7</w:t>
            </w:r>
            <w:r>
              <w:rPr>
                <w:rFonts w:ascii="宋体" w:hAnsi="宋体" w:cs="宋体" w:hint="eastAsia"/>
                <w:color w:val="00B0F0"/>
                <w:u w:val="single"/>
              </w:rPr>
              <w:t xml:space="preserve">  </w:t>
            </w:r>
            <w:r>
              <w:rPr>
                <w:rFonts w:ascii="宋体" w:hAnsi="宋体" w:cs="宋体" w:hint="eastAsia"/>
              </w:rPr>
              <w:t xml:space="preserve">月 </w:t>
            </w:r>
            <w:r>
              <w:rPr>
                <w:rFonts w:ascii="宋体" w:hAnsi="宋体" w:cs="宋体" w:hint="eastAsia"/>
                <w:color w:val="00B0F0"/>
                <w:u w:val="single"/>
              </w:rPr>
              <w:t xml:space="preserve"> </w:t>
            </w:r>
            <w:r>
              <w:rPr>
                <w:rFonts w:ascii="宋体" w:hAnsi="宋体" w:cs="宋体" w:hint="eastAsia"/>
                <w:color w:val="00B0F0"/>
                <w:u w:val="single"/>
                <w:lang w:val="en-US" w:eastAsia="zh-CN"/>
              </w:rPr>
              <w:t>21</w:t>
            </w:r>
            <w:r>
              <w:rPr>
                <w:rFonts w:ascii="宋体" w:hAnsi="宋体" w:cs="宋体" w:hint="eastAsia"/>
                <w:color w:val="00B0F0"/>
                <w:u w:val="single"/>
              </w:rPr>
              <w:t xml:space="preserve">  </w:t>
            </w:r>
            <w:r>
              <w:rPr>
                <w:rFonts w:ascii="宋体" w:hAnsi="宋体" w:cs="宋体" w:hint="eastAsia"/>
              </w:rPr>
              <w:t>日</w:t>
            </w:r>
            <w:r>
              <w:rPr>
                <w:rFonts w:ascii="宋体" w:hAnsi="宋体" w:cs="宋体" w:hint="eastAsia"/>
                <w:color w:val="00B0F0"/>
                <w:u w:val="single"/>
              </w:rPr>
              <w:t xml:space="preserve"> </w:t>
            </w:r>
            <w:r>
              <w:rPr>
                <w:rFonts w:ascii="宋体" w:hAnsi="宋体" w:cs="宋体" w:hint="eastAsia"/>
                <w:color w:val="00B0F0"/>
                <w:u w:val="single"/>
                <w:lang w:val="en-US" w:eastAsia="zh-CN"/>
              </w:rPr>
              <w:t>9</w:t>
            </w:r>
            <w:r>
              <w:rPr>
                <w:rFonts w:ascii="宋体" w:hAnsi="宋体" w:cs="宋体" w:hint="eastAsia"/>
                <w:color w:val="00B0F0"/>
                <w:u w:val="single"/>
              </w:rPr>
              <w:t xml:space="preserve">  </w:t>
            </w:r>
            <w:r>
              <w:rPr>
                <w:rFonts w:ascii="宋体" w:hAnsi="宋体" w:cs="宋体" w:hint="eastAsia"/>
              </w:rPr>
              <w:t>时</w:t>
            </w:r>
            <w:r>
              <w:rPr>
                <w:rFonts w:ascii="宋体" w:hAnsi="宋体" w:cs="宋体" w:hint="eastAsia"/>
                <w:color w:val="00B0F0"/>
                <w:u w:val="single"/>
              </w:rPr>
              <w:t xml:space="preserve"> </w:t>
            </w:r>
            <w:r>
              <w:rPr>
                <w:rFonts w:ascii="宋体" w:hAnsi="宋体" w:cs="宋体" w:hint="eastAsia"/>
                <w:color w:val="00B0F0"/>
                <w:u w:val="single"/>
                <w:lang w:val="en-US" w:eastAsia="zh-CN"/>
              </w:rPr>
              <w:t>30</w:t>
            </w:r>
            <w:r>
              <w:rPr>
                <w:rFonts w:ascii="宋体" w:hAnsi="宋体" w:cs="宋体" w:hint="eastAsia"/>
                <w:color w:val="00B0F0"/>
                <w:u w:val="single"/>
              </w:rPr>
              <w:t xml:space="preserve">  </w:t>
            </w:r>
            <w:r>
              <w:rPr>
                <w:rFonts w:ascii="宋体" w:hAnsi="宋体" w:cs="宋体" w:hint="eastAsia"/>
              </w:rPr>
              <w:t>分</w:t>
            </w:r>
          </w:p>
        </w:tc>
      </w:tr>
      <w:tr w14:paraId="194264F0">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4DB74791">
            <w:pPr>
              <w:spacing w:line="360" w:lineRule="auto"/>
              <w:jc w:val="center"/>
              <w:rPr>
                <w:rFonts w:ascii="宋体" w:hAnsi="宋体"/>
              </w:rPr>
            </w:pPr>
            <w:r>
              <w:rPr>
                <w:rFonts w:ascii="宋体" w:hAnsi="宋体" w:hint="eastAsia"/>
              </w:rPr>
              <w:t>4.2.2</w:t>
            </w:r>
          </w:p>
        </w:tc>
        <w:tc>
          <w:tcPr>
            <w:tcW w:w="2069" w:type="dxa"/>
            <w:tcBorders>
              <w:top w:val="single" w:sz="2" w:space="0" w:color="auto"/>
              <w:left w:val="single" w:sz="2" w:space="0" w:color="auto"/>
              <w:bottom w:val="single" w:sz="2" w:space="0" w:color="auto"/>
              <w:right w:val="single" w:sz="2" w:space="0" w:color="auto"/>
            </w:tcBorders>
            <w:vAlign w:val="center"/>
          </w:tcPr>
          <w:p w14:paraId="00D4279A">
            <w:pPr>
              <w:spacing w:line="360" w:lineRule="auto"/>
              <w:jc w:val="center"/>
              <w:rPr>
                <w:rFonts w:ascii="宋体" w:hAnsi="宋体"/>
              </w:rPr>
            </w:pPr>
            <w:r>
              <w:rPr>
                <w:rFonts w:ascii="宋体" w:hAnsi="宋体" w:hint="eastAsia"/>
              </w:rPr>
              <w:t>投标文件</w:t>
            </w:r>
          </w:p>
          <w:p w14:paraId="3517ACE4">
            <w:pPr>
              <w:spacing w:line="360" w:lineRule="auto"/>
              <w:jc w:val="center"/>
              <w:rPr>
                <w:rFonts w:ascii="宋体" w:hAnsi="宋体"/>
              </w:rPr>
            </w:pPr>
            <w:r>
              <w:rPr>
                <w:rFonts w:ascii="宋体" w:hAnsi="宋体" w:hint="eastAsia"/>
              </w:rPr>
              <w:t>递交地点</w:t>
            </w:r>
          </w:p>
        </w:tc>
        <w:tc>
          <w:tcPr>
            <w:tcW w:w="6027" w:type="dxa"/>
            <w:tcBorders>
              <w:top w:val="single" w:sz="2" w:space="0" w:color="auto"/>
              <w:left w:val="single" w:sz="2" w:space="0" w:color="auto"/>
              <w:bottom w:val="single" w:sz="2" w:space="0" w:color="auto"/>
              <w:right w:val="single" w:sz="2" w:space="0" w:color="auto"/>
            </w:tcBorders>
            <w:vAlign w:val="center"/>
          </w:tcPr>
          <w:p w14:paraId="48FD75BC">
            <w:pPr>
              <w:spacing w:line="360" w:lineRule="auto"/>
              <w:rPr>
                <w:rFonts w:ascii="宋体" w:hAnsi="宋体"/>
                <w:lang w:eastAsia="zh-CN"/>
              </w:rPr>
            </w:pPr>
            <w:r>
              <w:rPr>
                <w:rFonts w:ascii="宋体" w:hAnsi="宋体" w:hint="eastAsia"/>
                <w:lang w:eastAsia="zh-CN"/>
              </w:rPr>
              <w:t>投标人应在投标截止时间前在线递交经投标人数字证书加密的数据电文形式投标文件，不接受现场递交。</w:t>
            </w:r>
          </w:p>
        </w:tc>
      </w:tr>
      <w:tr w14:paraId="36F97129">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7DA7E0CD">
            <w:pPr>
              <w:spacing w:line="360" w:lineRule="auto"/>
              <w:jc w:val="center"/>
              <w:rPr>
                <w:rFonts w:ascii="宋体" w:hAnsi="宋体"/>
              </w:rPr>
            </w:pPr>
            <w:r>
              <w:rPr>
                <w:rFonts w:ascii="宋体" w:hAnsi="宋体" w:hint="eastAsia"/>
              </w:rPr>
              <w:t>5.1</w:t>
            </w:r>
          </w:p>
        </w:tc>
        <w:tc>
          <w:tcPr>
            <w:tcW w:w="2069" w:type="dxa"/>
            <w:tcBorders>
              <w:top w:val="single" w:sz="2" w:space="0" w:color="auto"/>
              <w:left w:val="single" w:sz="2" w:space="0" w:color="auto"/>
              <w:bottom w:val="single" w:sz="2" w:space="0" w:color="auto"/>
              <w:right w:val="single" w:sz="2" w:space="0" w:color="auto"/>
            </w:tcBorders>
            <w:vAlign w:val="center"/>
          </w:tcPr>
          <w:p w14:paraId="42B39231">
            <w:pPr>
              <w:spacing w:line="360" w:lineRule="auto"/>
              <w:jc w:val="center"/>
              <w:rPr>
                <w:rFonts w:ascii="宋体" w:hAnsi="宋体"/>
              </w:rPr>
            </w:pPr>
            <w:r>
              <w:rPr>
                <w:rFonts w:ascii="宋体" w:hAnsi="宋体" w:hint="eastAsia"/>
              </w:rPr>
              <w:t>开标时间和地点</w:t>
            </w:r>
          </w:p>
        </w:tc>
        <w:tc>
          <w:tcPr>
            <w:tcW w:w="6027" w:type="dxa"/>
            <w:tcBorders>
              <w:top w:val="single" w:sz="2" w:space="0" w:color="auto"/>
              <w:left w:val="single" w:sz="2" w:space="0" w:color="auto"/>
              <w:bottom w:val="single" w:sz="2" w:space="0" w:color="auto"/>
              <w:right w:val="single" w:sz="2" w:space="0" w:color="auto"/>
            </w:tcBorders>
            <w:vAlign w:val="center"/>
          </w:tcPr>
          <w:p w14:paraId="691EE932">
            <w:pPr>
              <w:adjustRightInd w:val="0"/>
              <w:snapToGrid w:val="0"/>
              <w:spacing w:line="360" w:lineRule="auto"/>
              <w:rPr>
                <w:rFonts w:ascii="宋体" w:hAnsi="宋体" w:cs="宋体"/>
                <w:szCs w:val="22"/>
                <w:lang w:eastAsia="zh-CN"/>
              </w:rPr>
            </w:pPr>
            <w:r>
              <w:rPr>
                <w:rFonts w:ascii="宋体" w:hAnsi="宋体" w:cs="宋体" w:hint="eastAsia"/>
                <w:lang w:eastAsia="zh-CN"/>
              </w:rPr>
              <w:t>开标时间：同投标截止时间</w:t>
            </w:r>
            <w:bookmarkStart w:id="8" w:name="_GoBack"/>
            <w:bookmarkEnd w:id="8"/>
          </w:p>
          <w:p w14:paraId="252C7D49">
            <w:pPr>
              <w:spacing w:line="360" w:lineRule="auto"/>
              <w:rPr>
                <w:rFonts w:ascii="宋体" w:hAnsi="宋体"/>
                <w:lang w:eastAsia="zh-CN"/>
              </w:rPr>
            </w:pPr>
            <w:r>
              <w:rPr>
                <w:rFonts w:ascii="宋体" w:hAnsi="宋体" w:cs="宋体" w:hint="eastAsia"/>
                <w:lang w:eastAsia="zh-CN"/>
              </w:rPr>
              <w:t>开标地点：投标时间截止后，招标人或其委托代理机构在开标系统中进入线上开标环节。投标人登录《全国公共资源交易平台（四川省·遂宁市）》电子交易系统，参与在线开标。</w:t>
            </w:r>
          </w:p>
        </w:tc>
      </w:tr>
      <w:tr w14:paraId="494BDABC">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6492057">
            <w:pPr>
              <w:spacing w:line="360" w:lineRule="auto"/>
              <w:jc w:val="center"/>
              <w:rPr>
                <w:rFonts w:ascii="宋体" w:hAnsi="宋体"/>
              </w:rPr>
            </w:pPr>
            <w:r>
              <w:rPr>
                <w:rFonts w:ascii="宋体" w:hAnsi="宋体" w:hint="eastAsia"/>
              </w:rPr>
              <w:t>5.2</w:t>
            </w:r>
          </w:p>
        </w:tc>
        <w:tc>
          <w:tcPr>
            <w:tcW w:w="2069" w:type="dxa"/>
            <w:tcBorders>
              <w:top w:val="single" w:sz="2" w:space="0" w:color="auto"/>
              <w:left w:val="single" w:sz="2" w:space="0" w:color="auto"/>
              <w:bottom w:val="single" w:sz="2" w:space="0" w:color="auto"/>
              <w:right w:val="single" w:sz="2" w:space="0" w:color="auto"/>
            </w:tcBorders>
            <w:vAlign w:val="center"/>
          </w:tcPr>
          <w:p w14:paraId="5EB7B7C1">
            <w:pPr>
              <w:spacing w:line="360" w:lineRule="auto"/>
              <w:jc w:val="center"/>
              <w:rPr>
                <w:rFonts w:ascii="宋体" w:hAnsi="宋体"/>
              </w:rPr>
            </w:pPr>
            <w:r>
              <w:rPr>
                <w:rFonts w:ascii="宋体" w:hAnsi="宋体" w:hint="eastAsia"/>
              </w:rPr>
              <w:t>开标程序</w:t>
            </w:r>
          </w:p>
          <w:p w14:paraId="1D57AFB1">
            <w:pPr>
              <w:spacing w:line="360" w:lineRule="auto"/>
              <w:jc w:val="center"/>
              <w:rPr>
                <w:rFonts w:ascii="宋体" w:hAnsi="宋体"/>
              </w:rPr>
            </w:pPr>
          </w:p>
        </w:tc>
        <w:tc>
          <w:tcPr>
            <w:tcW w:w="6027" w:type="dxa"/>
            <w:tcBorders>
              <w:top w:val="single" w:sz="2" w:space="0" w:color="auto"/>
              <w:left w:val="single" w:sz="2" w:space="0" w:color="auto"/>
              <w:bottom w:val="single" w:sz="2" w:space="0" w:color="auto"/>
              <w:right w:val="single" w:sz="2" w:space="0" w:color="auto"/>
            </w:tcBorders>
            <w:vAlign w:val="center"/>
          </w:tcPr>
          <w:p w14:paraId="56801A33">
            <w:pPr>
              <w:spacing w:line="360" w:lineRule="auto"/>
              <w:rPr>
                <w:rFonts w:ascii="宋体" w:hAnsi="宋体" w:cs="宋体"/>
                <w:lang w:eastAsia="zh-CN"/>
              </w:rPr>
            </w:pPr>
            <w:r>
              <w:rPr>
                <w:rFonts w:ascii="宋体" w:hAnsi="宋体" w:cs="宋体" w:hint="eastAsia"/>
                <w:lang w:eastAsia="zh-CN"/>
              </w:rPr>
              <w:t xml:space="preserve">网上开标       </w:t>
            </w:r>
          </w:p>
          <w:p w14:paraId="5F65E8C2">
            <w:pPr>
              <w:spacing w:line="360" w:lineRule="auto"/>
              <w:rPr>
                <w:rFonts w:ascii="宋体" w:hAnsi="宋体" w:cs="宋体" w:hint="eastAsia"/>
                <w:lang w:eastAsia="zh-CN"/>
              </w:rPr>
            </w:pPr>
            <w:r>
              <w:rPr>
                <w:rFonts w:ascii="宋体" w:hAnsi="宋体" w:cs="宋体" w:hint="eastAsia"/>
                <w:lang w:eastAsia="zh-CN"/>
              </w:rPr>
              <w:t>特别提示：投标人应在投标截止时间前登录遂宁市建设工程网上交易后台管理系统（以下简称“系统”）参与网上开标活动。</w:t>
            </w:r>
          </w:p>
          <w:p w14:paraId="1FD8B23F">
            <w:pPr>
              <w:widowControl/>
              <w:adjustRightInd w:val="0"/>
              <w:snapToGrid w:val="0"/>
              <w:spacing w:line="360" w:lineRule="auto"/>
              <w:rPr>
                <w:rFonts w:ascii="宋体" w:hAnsi="宋体" w:cs="宋体" w:hint="eastAsia"/>
                <w:highlight w:val="none"/>
                <w:lang w:eastAsia="zh-CN"/>
              </w:rPr>
            </w:pPr>
            <w:r>
              <w:rPr>
                <w:rFonts w:ascii="宋体" w:eastAsia="宋体" w:hAnsi="宋体" w:cs="宋体" w:hint="eastAsia"/>
                <w:sz w:val="24"/>
                <w:szCs w:val="24"/>
                <w:highlight w:val="none"/>
                <w:lang w:val="en-US" w:eastAsia="zh-CN"/>
              </w:rPr>
              <w:t>在四川省公共资源交易信息网“曝光台”查询公告信息，对处于被禁止参与投标期限内企业的投标文件，予以拒绝接收。</w:t>
            </w:r>
          </w:p>
          <w:p w14:paraId="14B1AADB">
            <w:pPr>
              <w:spacing w:line="360" w:lineRule="auto"/>
              <w:rPr>
                <w:rFonts w:ascii="宋体" w:hAnsi="宋体" w:cs="宋体"/>
                <w:lang w:eastAsia="zh-CN"/>
              </w:rPr>
            </w:pPr>
            <w:r>
              <w:rPr>
                <w:rFonts w:ascii="宋体" w:hAnsi="宋体" w:cs="宋体" w:hint="eastAsia"/>
                <w:lang w:eastAsia="zh-CN"/>
              </w:rPr>
              <w:t>1、开标程序</w:t>
            </w:r>
          </w:p>
          <w:p w14:paraId="7FCEEF82">
            <w:pPr>
              <w:spacing w:line="360" w:lineRule="auto"/>
              <w:rPr>
                <w:rFonts w:ascii="宋体" w:hAnsi="宋体" w:cs="宋体"/>
                <w:lang w:eastAsia="zh-CN"/>
              </w:rPr>
            </w:pPr>
            <w:r>
              <w:rPr>
                <w:rFonts w:ascii="宋体" w:hAnsi="宋体" w:cs="宋体" w:hint="eastAsia"/>
                <w:lang w:eastAsia="zh-CN"/>
              </w:rPr>
              <w:t>开标按下列流程进行：</w:t>
            </w:r>
          </w:p>
          <w:p w14:paraId="6EF77E25">
            <w:pPr>
              <w:spacing w:line="360" w:lineRule="auto"/>
              <w:rPr>
                <w:rFonts w:ascii="宋体" w:hAnsi="宋体" w:cs="宋体"/>
                <w:lang w:eastAsia="zh-CN"/>
              </w:rPr>
            </w:pPr>
            <w:r>
              <w:rPr>
                <w:rFonts w:ascii="宋体" w:hAnsi="宋体" w:cs="宋体" w:hint="eastAsia"/>
                <w:lang w:eastAsia="zh-CN"/>
              </w:rPr>
              <w:t>(1)主持人宣布开标纪律；</w:t>
            </w:r>
          </w:p>
          <w:p w14:paraId="5D0A0D5D">
            <w:pPr>
              <w:spacing w:line="360" w:lineRule="auto"/>
              <w:rPr>
                <w:rFonts w:ascii="宋体" w:hAnsi="宋体" w:cs="宋体"/>
                <w:lang w:eastAsia="zh-CN"/>
              </w:rPr>
            </w:pPr>
            <w:r>
              <w:rPr>
                <w:rFonts w:ascii="宋体" w:hAnsi="宋体" w:cs="宋体" w:hint="eastAsia"/>
                <w:lang w:eastAsia="zh-CN"/>
              </w:rPr>
              <w:t>(2)主持人公布参与投标人名称；</w:t>
            </w:r>
          </w:p>
          <w:p w14:paraId="5EEF6D8A">
            <w:pPr>
              <w:spacing w:line="360" w:lineRule="auto"/>
              <w:rPr>
                <w:rFonts w:ascii="宋体" w:hAnsi="宋体" w:cs="宋体"/>
                <w:lang w:eastAsia="zh-CN"/>
              </w:rPr>
            </w:pPr>
            <w:r>
              <w:rPr>
                <w:rFonts w:ascii="宋体" w:hAnsi="宋体" w:cs="宋体" w:hint="eastAsia"/>
                <w:lang w:eastAsia="zh-CN"/>
              </w:rPr>
              <w:t>(3)主持人宣布监督人员、业主人员信息并在开标系统中公布技术支持人员电话；</w:t>
            </w:r>
          </w:p>
          <w:p w14:paraId="53753FE4">
            <w:pPr>
              <w:spacing w:line="360" w:lineRule="auto"/>
              <w:rPr>
                <w:rFonts w:ascii="宋体" w:hAnsi="宋体" w:cs="宋体"/>
                <w:lang w:eastAsia="zh-CN"/>
              </w:rPr>
            </w:pPr>
            <w:r>
              <w:rPr>
                <w:rFonts w:ascii="宋体" w:hAnsi="宋体" w:cs="宋体" w:hint="eastAsia"/>
                <w:lang w:eastAsia="zh-CN"/>
              </w:rPr>
              <w:t>(4)招标人在开标系统中从0.95、0.94、0.93、0.92、0.91、0.90六个数据中随机抽取一个数据并作为基准价计算的依据（K1），随机抽取招标控制价相应价格在基准价中所占权重（k2），计算机开标系统根据抽取的K2自动读取招标文件设定的K3（k2+k3＝1，且k3不得小于0.4。k2和k3的设置不得少于3组）（适用于评标办法为综合评估法的项目）</w:t>
            </w:r>
          </w:p>
          <w:p w14:paraId="6CF21842">
            <w:pPr>
              <w:spacing w:line="360" w:lineRule="auto"/>
              <w:rPr>
                <w:rFonts w:ascii="宋体" w:hAnsi="宋体" w:cs="宋体"/>
                <w:lang w:eastAsia="zh-CN"/>
              </w:rPr>
            </w:pPr>
            <w:r>
              <w:rPr>
                <w:rFonts w:ascii="宋体" w:hAnsi="宋体" w:cs="宋体" w:hint="eastAsia"/>
                <w:lang w:eastAsia="zh-CN"/>
              </w:rPr>
              <w:t>(5) 解密投标文件。监督人员下达“网上解密”命令，并规定解密时间为</w:t>
            </w:r>
            <w:r>
              <w:rPr>
                <w:rFonts w:ascii="宋体" w:hAnsi="宋体" w:cs="宋体" w:hint="eastAsia"/>
                <w:lang w:val="en-US" w:eastAsia="zh-CN"/>
              </w:rPr>
              <w:t>30</w:t>
            </w:r>
            <w:r>
              <w:rPr>
                <w:rFonts w:ascii="宋体" w:hAnsi="宋体" w:cs="宋体" w:hint="eastAsia"/>
                <w:lang w:eastAsia="zh-CN"/>
              </w:rPr>
              <w:t>分钟。投标人登陆系统在规定时间内使用数字证书对投标文件进行解密。</w:t>
            </w:r>
          </w:p>
          <w:p w14:paraId="6FFBE449">
            <w:pPr>
              <w:spacing w:line="360" w:lineRule="auto"/>
              <w:rPr>
                <w:rFonts w:ascii="宋体" w:hAnsi="宋体" w:cs="宋体"/>
                <w:lang w:eastAsia="zh-CN"/>
              </w:rPr>
            </w:pPr>
            <w:r>
              <w:rPr>
                <w:rFonts w:ascii="宋体" w:hAnsi="宋体" w:cs="宋体" w:hint="eastAsia"/>
                <w:lang w:eastAsia="zh-CN"/>
              </w:rPr>
              <w:t>(6)导入投标文件。在规定时间内所有投标人提前完成解密或达到解密截止时间，主持人将解密的投标文件导入开标系统。</w:t>
            </w:r>
          </w:p>
          <w:p w14:paraId="2D6CB431">
            <w:pPr>
              <w:spacing w:line="360" w:lineRule="auto"/>
              <w:rPr>
                <w:rFonts w:ascii="宋体" w:hAnsi="宋体" w:cs="宋体"/>
                <w:lang w:eastAsia="zh-CN"/>
              </w:rPr>
            </w:pPr>
            <w:r>
              <w:rPr>
                <w:rFonts w:ascii="宋体" w:hAnsi="宋体" w:cs="宋体" w:hint="eastAsia"/>
                <w:lang w:eastAsia="zh-CN"/>
              </w:rPr>
              <w:t>(7)唱标。系统智能宣布投标人投标报价、工期、质量等信息。</w:t>
            </w:r>
          </w:p>
          <w:p w14:paraId="61977404">
            <w:pPr>
              <w:spacing w:line="360" w:lineRule="auto"/>
              <w:rPr>
                <w:rFonts w:ascii="宋体" w:hAnsi="宋体" w:cs="宋体"/>
                <w:lang w:eastAsia="zh-CN"/>
              </w:rPr>
            </w:pPr>
            <w:r>
              <w:rPr>
                <w:rFonts w:ascii="宋体" w:hAnsi="宋体" w:cs="宋体" w:hint="eastAsia"/>
                <w:lang w:eastAsia="zh-CN"/>
              </w:rPr>
              <w:t>(8)开标程序异议询问。监督人员下达“开标程序异议询问”命令，并规定异议询问时间为3分钟。投标人在规定时间内可通过系统向项目业主或监督人员提出异议，不提出的视为无异议。</w:t>
            </w:r>
          </w:p>
          <w:p w14:paraId="449BCC98">
            <w:pPr>
              <w:spacing w:line="360" w:lineRule="auto"/>
              <w:rPr>
                <w:rFonts w:ascii="宋体" w:hAnsi="宋体" w:cs="宋体"/>
                <w:lang w:eastAsia="zh-CN"/>
              </w:rPr>
            </w:pPr>
            <w:r>
              <w:rPr>
                <w:rFonts w:ascii="宋体" w:hAnsi="宋体" w:cs="宋体" w:hint="eastAsia"/>
                <w:lang w:eastAsia="zh-CN"/>
              </w:rPr>
              <w:t>(9)主持人宣布开标结束。</w:t>
            </w:r>
          </w:p>
          <w:p w14:paraId="1898E3B0">
            <w:pPr>
              <w:spacing w:line="360" w:lineRule="auto"/>
              <w:rPr>
                <w:rFonts w:ascii="宋体" w:hAnsi="宋体" w:cs="宋体"/>
                <w:lang w:eastAsia="zh-CN"/>
              </w:rPr>
            </w:pPr>
            <w:r>
              <w:rPr>
                <w:rFonts w:ascii="宋体" w:hAnsi="宋体" w:cs="宋体" w:hint="eastAsia"/>
                <w:lang w:eastAsia="zh-CN"/>
              </w:rPr>
              <w:t>(10)特别注意：</w:t>
            </w:r>
          </w:p>
          <w:p w14:paraId="58BFF4D9">
            <w:pPr>
              <w:spacing w:line="360" w:lineRule="auto"/>
              <w:rPr>
                <w:rFonts w:ascii="宋体" w:hAnsi="宋体" w:cs="宋体"/>
                <w:lang w:eastAsia="zh-CN"/>
              </w:rPr>
            </w:pPr>
            <w:r>
              <w:rPr>
                <w:rFonts w:ascii="宋体" w:hAnsi="宋体" w:cs="宋体" w:hint="eastAsia"/>
                <w:lang w:eastAsia="zh-CN"/>
              </w:rPr>
              <w:t>①在规定时间内，投标人未对投标文件解密的，视为不合格投标人，不进入评审程序。</w:t>
            </w:r>
          </w:p>
          <w:p w14:paraId="22F9A520">
            <w:pPr>
              <w:spacing w:line="360" w:lineRule="auto"/>
              <w:rPr>
                <w:rFonts w:ascii="宋体" w:hAnsi="宋体" w:cs="宋体"/>
                <w:lang w:eastAsia="zh-CN"/>
              </w:rPr>
            </w:pPr>
            <w:r>
              <w:rPr>
                <w:rFonts w:ascii="宋体" w:hAnsi="宋体" w:cs="宋体" w:hint="eastAsia"/>
                <w:lang w:eastAsia="zh-CN"/>
              </w:rPr>
              <w:t>②在开标过程中，对系统操作存在疑问的可电话联系技术支持人员。</w:t>
            </w:r>
          </w:p>
          <w:p w14:paraId="675A8131">
            <w:pPr>
              <w:spacing w:line="360" w:lineRule="auto"/>
              <w:rPr>
                <w:rFonts w:ascii="宋体" w:hAnsi="宋体" w:cs="宋体"/>
                <w:lang w:eastAsia="zh-CN"/>
              </w:rPr>
            </w:pPr>
            <w:r>
              <w:rPr>
                <w:rFonts w:ascii="宋体" w:hAnsi="宋体" w:cs="宋体" w:hint="eastAsia"/>
                <w:lang w:eastAsia="zh-CN"/>
              </w:rPr>
              <w:t>2、异常处理</w:t>
            </w:r>
          </w:p>
          <w:p w14:paraId="076A95E3">
            <w:pPr>
              <w:spacing w:line="360" w:lineRule="auto"/>
              <w:rPr>
                <w:rFonts w:ascii="宋体" w:hAnsi="宋体" w:cs="宋体"/>
                <w:lang w:eastAsia="zh-CN"/>
              </w:rPr>
            </w:pPr>
            <w:r>
              <w:rPr>
                <w:rFonts w:ascii="宋体" w:hAnsi="宋体" w:cs="宋体" w:hint="eastAsia"/>
                <w:lang w:eastAsia="zh-CN"/>
              </w:rPr>
              <w:t>开标过程出现以下情况，导致无法正常网上开标的，应当暂停开标活动，待系统恢复正常后视其情况，由监督部门、业主单位和交易中心共同决定继续或重新开标。</w:t>
            </w:r>
          </w:p>
          <w:p w14:paraId="342B0A45">
            <w:pPr>
              <w:spacing w:line="360" w:lineRule="auto"/>
              <w:rPr>
                <w:rFonts w:ascii="宋体" w:hAnsi="宋体" w:cs="宋体"/>
                <w:lang w:eastAsia="zh-CN"/>
              </w:rPr>
            </w:pPr>
            <w:r>
              <w:rPr>
                <w:rFonts w:ascii="宋体" w:hAnsi="宋体" w:cs="宋体" w:hint="eastAsia"/>
                <w:lang w:eastAsia="zh-CN"/>
              </w:rPr>
              <w:t>(1)系统服务器发生故障，无法访问或无法使用系统的；</w:t>
            </w:r>
          </w:p>
          <w:p w14:paraId="37E59120">
            <w:pPr>
              <w:spacing w:line="360" w:lineRule="auto"/>
              <w:rPr>
                <w:rFonts w:ascii="宋体" w:hAnsi="宋体" w:cs="宋体"/>
                <w:lang w:eastAsia="zh-CN"/>
              </w:rPr>
            </w:pPr>
            <w:r>
              <w:rPr>
                <w:rFonts w:ascii="宋体" w:hAnsi="宋体" w:cs="宋体" w:hint="eastAsia"/>
                <w:lang w:eastAsia="zh-CN"/>
              </w:rPr>
              <w:t>(2)系统的软件或数据库出现错误，不能进行正常操作的；</w:t>
            </w:r>
          </w:p>
          <w:p w14:paraId="5C3CC802">
            <w:pPr>
              <w:spacing w:line="360" w:lineRule="auto"/>
              <w:rPr>
                <w:rFonts w:ascii="宋体" w:hAnsi="宋体" w:cs="宋体"/>
                <w:lang w:eastAsia="zh-CN"/>
              </w:rPr>
            </w:pPr>
            <w:r>
              <w:rPr>
                <w:rFonts w:ascii="宋体" w:hAnsi="宋体" w:cs="宋体" w:hint="eastAsia"/>
                <w:lang w:eastAsia="zh-CN"/>
              </w:rPr>
              <w:t>(3)系统发现有安全漏洞，有潜在泄密危险的；</w:t>
            </w:r>
          </w:p>
          <w:p w14:paraId="392152D9">
            <w:pPr>
              <w:spacing w:line="360" w:lineRule="auto"/>
              <w:rPr>
                <w:rFonts w:ascii="宋体" w:hAnsi="宋体" w:cs="宋体"/>
                <w:lang w:eastAsia="zh-CN"/>
              </w:rPr>
            </w:pPr>
            <w:r>
              <w:rPr>
                <w:rFonts w:ascii="宋体" w:hAnsi="宋体" w:cs="宋体" w:hint="eastAsia"/>
                <w:lang w:eastAsia="zh-CN"/>
              </w:rPr>
              <w:t>(4)出现断电事故且短时间内无法恢复供电的；</w:t>
            </w:r>
          </w:p>
          <w:p w14:paraId="11473DD3">
            <w:pPr>
              <w:adjustRightInd w:val="0"/>
              <w:snapToGrid w:val="0"/>
              <w:spacing w:line="360" w:lineRule="auto"/>
              <w:rPr>
                <w:rFonts w:ascii="宋体" w:hAnsi="宋体" w:cs="宋体" w:hint="eastAsia"/>
                <w:lang w:eastAsia="zh-CN"/>
              </w:rPr>
            </w:pPr>
            <w:r>
              <w:rPr>
                <w:rFonts w:ascii="宋体" w:hAnsi="宋体" w:cs="宋体" w:hint="eastAsia"/>
                <w:lang w:eastAsia="zh-CN"/>
              </w:rPr>
              <w:t>(5)其他无法保证招投标过程正常进行的。</w:t>
            </w:r>
          </w:p>
          <w:p w14:paraId="71346817">
            <w:pPr>
              <w:adjustRightInd w:val="0"/>
              <w:snapToGrid w:val="0"/>
              <w:spacing w:line="360" w:lineRule="auto"/>
              <w:rPr>
                <w:rFonts w:ascii="宋体" w:hAnsi="宋体" w:cs="宋体" w:hint="eastAsia"/>
                <w:lang w:eastAsia="zh-CN"/>
              </w:rPr>
            </w:pPr>
            <w:bookmarkStart w:id="9" w:name="_Hlk182903196"/>
            <w:r>
              <w:rPr>
                <w:rFonts w:ascii="宋体" w:hAnsi="宋体" w:cs="宋体" w:hint="eastAsia"/>
                <w:lang w:eastAsia="zh-CN"/>
              </w:rPr>
              <w:t>(</w:t>
            </w:r>
            <w:r>
              <w:rPr>
                <w:rFonts w:ascii="宋体" w:hAnsi="宋体" w:cs="宋体" w:hint="eastAsia"/>
                <w:lang w:val="en-US" w:eastAsia="zh-CN"/>
              </w:rPr>
              <w:t>6</w:t>
            </w:r>
            <w:r>
              <w:rPr>
                <w:rFonts w:ascii="宋体" w:hAnsi="宋体" w:cs="宋体" w:hint="eastAsia"/>
                <w:lang w:eastAsia="zh-CN"/>
              </w:rPr>
              <w:t>)</w:t>
            </w:r>
            <w:r>
              <w:rPr>
                <w:rFonts w:ascii="宋体" w:hAnsi="宋体" w:cs="宋体" w:hint="eastAsia"/>
                <w:color w:val="auto"/>
                <w:kern w:val="0"/>
                <w:sz w:val="24"/>
              </w:rPr>
              <w:t>系统发现投标人电子投标文件计算机网卡MAC地址、硬盘系列号、已标价工程量清单电子文档记录的计价权健加密锁锁号、投标过程中下载招标文件或上传电子投标文件（包括解密电子投标文件）IP地址信息，任意一项相同的。</w:t>
            </w:r>
            <w:bookmarkEnd w:id="9"/>
          </w:p>
        </w:tc>
      </w:tr>
      <w:tr w14:paraId="00A85BA3">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01D05103">
            <w:pPr>
              <w:spacing w:line="360" w:lineRule="auto"/>
              <w:jc w:val="center"/>
              <w:rPr>
                <w:rFonts w:ascii="宋体" w:hAnsi="宋体"/>
              </w:rPr>
            </w:pPr>
            <w:r>
              <w:rPr>
                <w:rFonts w:ascii="宋体" w:hAnsi="宋体" w:hint="eastAsia"/>
              </w:rPr>
              <w:t>6.1.1</w:t>
            </w:r>
          </w:p>
        </w:tc>
        <w:tc>
          <w:tcPr>
            <w:tcW w:w="2069" w:type="dxa"/>
            <w:tcBorders>
              <w:top w:val="single" w:sz="2" w:space="0" w:color="auto"/>
              <w:left w:val="single" w:sz="2" w:space="0" w:color="auto"/>
              <w:bottom w:val="single" w:sz="2" w:space="0" w:color="auto"/>
              <w:right w:val="single" w:sz="2" w:space="0" w:color="auto"/>
            </w:tcBorders>
            <w:vAlign w:val="center"/>
          </w:tcPr>
          <w:p w14:paraId="2E7E4CC1">
            <w:pPr>
              <w:spacing w:line="360" w:lineRule="auto"/>
              <w:jc w:val="center"/>
              <w:rPr>
                <w:rFonts w:ascii="宋体" w:hAnsi="宋体"/>
              </w:rPr>
            </w:pPr>
            <w:r>
              <w:rPr>
                <w:rFonts w:ascii="宋体" w:hAnsi="宋体" w:hint="eastAsia"/>
              </w:rPr>
              <w:t>评标委员会</w:t>
            </w:r>
          </w:p>
          <w:p w14:paraId="63411553">
            <w:pPr>
              <w:spacing w:line="360" w:lineRule="auto"/>
              <w:jc w:val="center"/>
              <w:rPr>
                <w:rFonts w:ascii="宋体" w:hAnsi="宋体"/>
              </w:rPr>
            </w:pPr>
            <w:r>
              <w:rPr>
                <w:rFonts w:ascii="宋体" w:hAnsi="宋体" w:hint="eastAsia"/>
              </w:rPr>
              <w:t>的组建</w:t>
            </w:r>
          </w:p>
        </w:tc>
        <w:tc>
          <w:tcPr>
            <w:tcW w:w="6027" w:type="dxa"/>
            <w:tcBorders>
              <w:top w:val="single" w:sz="2" w:space="0" w:color="auto"/>
              <w:left w:val="single" w:sz="2" w:space="0" w:color="auto"/>
              <w:bottom w:val="single" w:sz="2" w:space="0" w:color="auto"/>
              <w:right w:val="single" w:sz="2" w:space="0" w:color="auto"/>
            </w:tcBorders>
            <w:vAlign w:val="center"/>
          </w:tcPr>
          <w:p w14:paraId="1CC948ED">
            <w:pPr>
              <w:adjustRightInd w:val="0"/>
              <w:snapToGrid w:val="0"/>
              <w:spacing w:line="360" w:lineRule="auto"/>
              <w:rPr>
                <w:rFonts w:ascii="宋体" w:hAnsi="宋体" w:cs="宋体"/>
                <w:lang w:eastAsia="zh-CN"/>
              </w:rPr>
            </w:pPr>
            <w:r>
              <w:rPr>
                <w:rFonts w:ascii="宋体" w:hAnsi="宋体" w:cs="宋体" w:hint="eastAsia"/>
                <w:lang w:eastAsia="zh-CN"/>
              </w:rPr>
              <w:t>评标委员会构成：</w:t>
            </w:r>
            <w:r>
              <w:rPr>
                <w:rFonts w:ascii="宋体" w:hAnsi="宋体" w:cs="宋体" w:hint="eastAsia"/>
                <w:color w:val="00B0F0"/>
                <w:u w:val="single"/>
                <w:lang w:eastAsia="zh-CN"/>
              </w:rPr>
              <w:t xml:space="preserve">   </w:t>
            </w:r>
            <w:r>
              <w:rPr>
                <w:rFonts w:ascii="宋体" w:hAnsi="宋体" w:cs="宋体" w:hint="eastAsia"/>
                <w:color w:val="00B0F0"/>
                <w:u w:val="single"/>
                <w:lang w:val="en-US" w:eastAsia="zh-CN"/>
              </w:rPr>
              <w:t>9</w:t>
            </w:r>
            <w:r>
              <w:rPr>
                <w:rFonts w:ascii="宋体" w:hAnsi="宋体" w:cs="宋体" w:hint="eastAsia"/>
                <w:color w:val="00B0F0"/>
                <w:u w:val="single"/>
                <w:lang w:eastAsia="zh-CN"/>
              </w:rPr>
              <w:t xml:space="preserve">  </w:t>
            </w:r>
            <w:r>
              <w:rPr>
                <w:rFonts w:ascii="宋体" w:hAnsi="宋体" w:cs="宋体" w:hint="eastAsia"/>
                <w:lang w:eastAsia="zh-CN"/>
              </w:rPr>
              <w:t>人</w:t>
            </w:r>
          </w:p>
          <w:p w14:paraId="49180CC6">
            <w:pPr>
              <w:adjustRightInd w:val="0"/>
              <w:snapToGrid w:val="0"/>
              <w:spacing w:line="360" w:lineRule="auto"/>
              <w:rPr>
                <w:rFonts w:ascii="宋体" w:hAnsi="宋体" w:cs="宋体"/>
                <w:lang w:eastAsia="zh-CN"/>
              </w:rPr>
            </w:pPr>
            <w:r>
              <w:rPr>
                <w:rFonts w:ascii="宋体" w:hAnsi="宋体" w:cs="宋体" w:hint="eastAsia"/>
                <w:lang w:eastAsia="zh-CN"/>
              </w:rPr>
              <w:t>其中：招标人代表</w:t>
            </w:r>
            <w:r>
              <w:rPr>
                <w:rFonts w:ascii="宋体" w:hAnsi="宋体" w:cs="宋体" w:hint="eastAsia"/>
                <w:color w:val="00B0F0"/>
                <w:u w:val="single"/>
                <w:lang w:eastAsia="zh-CN"/>
              </w:rPr>
              <w:t xml:space="preserve">  </w:t>
            </w:r>
            <w:r>
              <w:rPr>
                <w:rFonts w:ascii="宋体" w:hAnsi="宋体" w:cs="宋体" w:hint="eastAsia"/>
                <w:color w:val="00B0F0"/>
                <w:u w:val="single"/>
                <w:lang w:val="en-US" w:eastAsia="zh-CN"/>
              </w:rPr>
              <w:t>3</w:t>
            </w:r>
            <w:r>
              <w:rPr>
                <w:rFonts w:ascii="宋体" w:hAnsi="宋体" w:cs="宋体" w:hint="eastAsia"/>
                <w:color w:val="00B0F0"/>
                <w:u w:val="single"/>
                <w:lang w:eastAsia="zh-CN"/>
              </w:rPr>
              <w:t xml:space="preserve">   </w:t>
            </w:r>
            <w:r>
              <w:rPr>
                <w:rFonts w:ascii="宋体" w:hAnsi="宋体" w:cs="宋体" w:hint="eastAsia"/>
                <w:lang w:eastAsia="zh-CN"/>
              </w:rPr>
              <w:t>人，评标专家</w:t>
            </w:r>
            <w:r>
              <w:rPr>
                <w:rFonts w:ascii="宋体" w:hAnsi="宋体" w:cs="宋体" w:hint="eastAsia"/>
                <w:color w:val="00B0F0"/>
                <w:u w:val="single"/>
                <w:lang w:eastAsia="zh-CN"/>
              </w:rPr>
              <w:t xml:space="preserve">  </w:t>
            </w:r>
            <w:r>
              <w:rPr>
                <w:rFonts w:ascii="宋体" w:hAnsi="宋体" w:cs="宋体" w:hint="eastAsia"/>
                <w:color w:val="00B0F0"/>
                <w:u w:val="single"/>
                <w:lang w:val="en-US" w:eastAsia="zh-CN"/>
              </w:rPr>
              <w:t>6</w:t>
            </w:r>
            <w:r>
              <w:rPr>
                <w:rFonts w:ascii="宋体" w:hAnsi="宋体" w:cs="宋体" w:hint="eastAsia"/>
                <w:color w:val="00B0F0"/>
                <w:u w:val="single"/>
                <w:lang w:eastAsia="zh-CN"/>
              </w:rPr>
              <w:t xml:space="preserve">   </w:t>
            </w:r>
            <w:r>
              <w:rPr>
                <w:rFonts w:ascii="宋体" w:hAnsi="宋体" w:cs="宋体" w:hint="eastAsia"/>
                <w:lang w:eastAsia="zh-CN"/>
              </w:rPr>
              <w:t>人。</w:t>
            </w:r>
          </w:p>
          <w:p w14:paraId="3868B5D5">
            <w:pPr>
              <w:adjustRightInd w:val="0"/>
              <w:snapToGrid w:val="0"/>
              <w:spacing w:line="360" w:lineRule="auto"/>
              <w:rPr>
                <w:rFonts w:ascii="宋体" w:hAnsi="宋体" w:cs="宋体"/>
                <w:u w:val="single"/>
                <w:lang w:eastAsia="zh-CN"/>
              </w:rPr>
            </w:pPr>
            <w:r>
              <w:rPr>
                <w:rFonts w:ascii="宋体" w:hAnsi="宋体" w:cs="宋体" w:hint="eastAsia"/>
                <w:lang w:eastAsia="zh-CN"/>
              </w:rPr>
              <w:t>评标专家确定方式：</w:t>
            </w:r>
            <w:r>
              <w:rPr>
                <w:rFonts w:ascii="宋体" w:hAnsi="宋体" w:cs="宋体" w:hint="eastAsia"/>
                <w:color w:val="00B0F0"/>
                <w:u w:val="single"/>
                <w:lang w:eastAsia="zh-CN"/>
              </w:rPr>
              <w:t xml:space="preserve">  评标委员会的组成和评标专家的确定方式按川办发（2021）54 号规定执行   </w:t>
            </w:r>
          </w:p>
          <w:p w14:paraId="48F7CD2D">
            <w:pPr>
              <w:spacing w:line="360" w:lineRule="auto"/>
              <w:rPr>
                <w:rFonts w:ascii="宋体" w:hAnsi="宋体" w:hint="eastAsia"/>
                <w:color w:val="000000" w:themeColor="text1"/>
                <w:sz w:val="24"/>
                <w:szCs w:val="24"/>
                <w14:textFill>
                  <w14:solidFill>
                    <w14:schemeClr w14:val="tx1"/>
                  </w14:solidFill>
                </w14:textFill>
              </w:rPr>
            </w:pPr>
            <w:r>
              <w:rPr>
                <w:rFonts w:ascii="宋体" w:hAnsi="宋体" w:hint="eastAsia"/>
                <w:color w:val="000000" w:themeColor="text1"/>
                <w:sz w:val="24"/>
                <w:szCs w:val="24"/>
                <w14:textFill>
                  <w14:solidFill>
                    <w14:schemeClr w14:val="tx1"/>
                  </w14:solidFill>
                </w14:textFill>
              </w:rPr>
              <w:t>注：1.评标委员会组建时，可增加评标委员会人数，但招标人代表人数不能增加。</w:t>
            </w:r>
          </w:p>
          <w:p w14:paraId="0052D9C9">
            <w:pPr>
              <w:spacing w:line="360" w:lineRule="auto"/>
              <w:rPr>
                <w:rFonts w:ascii="宋体" w:hAnsi="宋体" w:cs="宋体" w:hint="eastAsia"/>
                <w:lang w:eastAsia="zh-CN"/>
              </w:rPr>
            </w:pPr>
            <w:r>
              <w:rPr>
                <w:rFonts w:ascii="宋体" w:hAnsi="宋体" w:hint="eastAsia"/>
                <w:color w:val="000000" w:themeColor="text1"/>
                <w:sz w:val="24"/>
                <w:szCs w:val="24"/>
                <w14:textFill>
                  <w14:solidFill>
                    <w14:schemeClr w14:val="tx1"/>
                  </w14:solidFill>
                </w14:textFill>
              </w:rPr>
              <w:t>2.“暗标”评审须去掉一个最高分和一个最低分后计分，评标委员会构成应为5人及以上单数。</w:t>
            </w:r>
          </w:p>
        </w:tc>
      </w:tr>
      <w:tr w14:paraId="39291530">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45D02A0C">
            <w:pPr>
              <w:spacing w:line="360" w:lineRule="auto"/>
              <w:jc w:val="center"/>
              <w:rPr>
                <w:rFonts w:ascii="宋体" w:hAnsi="宋体"/>
              </w:rPr>
            </w:pPr>
            <w:r>
              <w:rPr>
                <w:rFonts w:ascii="宋体" w:hAnsi="宋体" w:hint="eastAsia"/>
              </w:rPr>
              <w:t>6.3</w:t>
            </w:r>
          </w:p>
        </w:tc>
        <w:tc>
          <w:tcPr>
            <w:tcW w:w="2069" w:type="dxa"/>
            <w:tcBorders>
              <w:top w:val="single" w:sz="2" w:space="0" w:color="auto"/>
              <w:left w:val="single" w:sz="2" w:space="0" w:color="auto"/>
              <w:bottom w:val="single" w:sz="2" w:space="0" w:color="auto"/>
              <w:right w:val="single" w:sz="2" w:space="0" w:color="auto"/>
            </w:tcBorders>
            <w:vAlign w:val="center"/>
          </w:tcPr>
          <w:p w14:paraId="3579978B">
            <w:pPr>
              <w:spacing w:line="360" w:lineRule="auto"/>
              <w:jc w:val="center"/>
              <w:rPr>
                <w:rFonts w:ascii="宋体" w:hAnsi="宋体"/>
              </w:rPr>
            </w:pPr>
            <w:r>
              <w:rPr>
                <w:rFonts w:ascii="宋体" w:hAnsi="宋体" w:hint="eastAsia"/>
              </w:rPr>
              <w:t>评标办法</w:t>
            </w:r>
          </w:p>
        </w:tc>
        <w:tc>
          <w:tcPr>
            <w:tcW w:w="6027" w:type="dxa"/>
            <w:tcBorders>
              <w:top w:val="single" w:sz="2" w:space="0" w:color="auto"/>
              <w:left w:val="single" w:sz="2" w:space="0" w:color="auto"/>
              <w:bottom w:val="single" w:sz="2" w:space="0" w:color="auto"/>
              <w:right w:val="single" w:sz="2" w:space="0" w:color="auto"/>
            </w:tcBorders>
            <w:vAlign w:val="center"/>
          </w:tcPr>
          <w:p w14:paraId="6E603D05">
            <w:pPr>
              <w:spacing w:line="360" w:lineRule="auto"/>
              <w:rPr>
                <w:rFonts w:ascii="宋体" w:hAnsi="宋体"/>
                <w:lang w:eastAsia="zh-CN"/>
              </w:rPr>
            </w:pPr>
            <w:r>
              <w:rPr>
                <w:rFonts w:ascii="MS Gothic" w:eastAsia="MS Gothic" w:hAnsi="MS Gothic" w:hint="eastAsia"/>
                <w:lang w:eastAsia="zh-CN"/>
              </w:rPr>
              <w:t>☑</w:t>
            </w:r>
            <w:r>
              <w:rPr>
                <w:rFonts w:ascii="宋体" w:hAnsi="宋体" w:hint="eastAsia"/>
                <w:lang w:eastAsia="zh-CN"/>
              </w:rPr>
              <w:t>综合评估法</w:t>
            </w:r>
          </w:p>
          <w:p w14:paraId="112D1DC5">
            <w:pPr>
              <w:spacing w:line="360" w:lineRule="auto"/>
              <w:rPr>
                <w:rFonts w:ascii="宋体" w:hAnsi="宋体"/>
                <w:lang w:eastAsia="zh-CN"/>
              </w:rPr>
            </w:pPr>
            <w:r>
              <w:rPr>
                <w:rFonts w:ascii="宋体" w:hAnsi="宋体" w:hint="eastAsia"/>
                <w:lang w:eastAsia="zh-CN"/>
              </w:rPr>
              <w:t>□经评审的最低投标价法</w:t>
            </w:r>
          </w:p>
        </w:tc>
      </w:tr>
      <w:tr w14:paraId="47E23862">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1923844D">
            <w:pPr>
              <w:spacing w:line="360" w:lineRule="auto"/>
              <w:jc w:val="center"/>
              <w:rPr>
                <w:rFonts w:ascii="宋体" w:hAnsi="宋体"/>
              </w:rPr>
            </w:pPr>
            <w:r>
              <w:rPr>
                <w:rFonts w:ascii="宋体" w:hAnsi="宋体" w:hint="eastAsia"/>
              </w:rPr>
              <w:t>7.1</w:t>
            </w:r>
          </w:p>
        </w:tc>
        <w:tc>
          <w:tcPr>
            <w:tcW w:w="2069" w:type="dxa"/>
            <w:tcBorders>
              <w:top w:val="single" w:sz="2" w:space="0" w:color="auto"/>
              <w:left w:val="single" w:sz="2" w:space="0" w:color="auto"/>
              <w:bottom w:val="single" w:sz="2" w:space="0" w:color="auto"/>
              <w:right w:val="single" w:sz="2" w:space="0" w:color="auto"/>
            </w:tcBorders>
            <w:vAlign w:val="center"/>
          </w:tcPr>
          <w:p w14:paraId="4C7122D5">
            <w:pPr>
              <w:spacing w:line="360" w:lineRule="auto"/>
              <w:jc w:val="center"/>
              <w:rPr>
                <w:rFonts w:ascii="宋体" w:hAnsi="宋体"/>
                <w:lang w:eastAsia="zh-CN"/>
              </w:rPr>
            </w:pPr>
            <w:r>
              <w:rPr>
                <w:rFonts w:ascii="宋体" w:hAnsi="宋体" w:hint="eastAsia"/>
                <w:lang w:eastAsia="zh-CN"/>
              </w:rPr>
              <w:t>是否授权评标委员会确定中标人</w:t>
            </w:r>
          </w:p>
        </w:tc>
        <w:tc>
          <w:tcPr>
            <w:tcW w:w="6027" w:type="dxa"/>
            <w:tcBorders>
              <w:top w:val="single" w:sz="2" w:space="0" w:color="auto"/>
              <w:left w:val="single" w:sz="2" w:space="0" w:color="auto"/>
              <w:bottom w:val="single" w:sz="2" w:space="0" w:color="auto"/>
              <w:right w:val="single" w:sz="2" w:space="0" w:color="auto"/>
            </w:tcBorders>
            <w:vAlign w:val="center"/>
          </w:tcPr>
          <w:p w14:paraId="39CA6FFF">
            <w:pPr>
              <w:spacing w:line="360" w:lineRule="auto"/>
              <w:rPr>
                <w:rFonts w:ascii="宋体" w:hAnsi="宋体" w:hint="eastAsia"/>
                <w:sz w:val="24"/>
                <w:szCs w:val="24"/>
                <w:highlight w:val="none"/>
                <w:lang w:val="en-US" w:eastAsia="zh-CN"/>
              </w:rPr>
            </w:pPr>
            <w:r>
              <w:rPr>
                <w:rFonts w:ascii="宋体" w:hAnsi="宋体" w:hint="eastAsia"/>
                <w:sz w:val="24"/>
                <w:szCs w:val="24"/>
                <w:highlight w:val="none"/>
              </w:rPr>
              <w:t>否，</w:t>
            </w:r>
            <w:r>
              <w:rPr>
                <w:rFonts w:ascii="宋体" w:hAnsi="宋体" w:hint="eastAsia"/>
                <w:sz w:val="24"/>
                <w:szCs w:val="24"/>
                <w:highlight w:val="none"/>
                <w:lang w:val="en-US" w:eastAsia="zh-CN"/>
              </w:rPr>
              <w:t>本项目采用中标候选人评定分离机制，推荐的中标候选人数为3人。当有效投标为2人时，可推荐2人，不足2人时，评标委员会不推荐中标候选人，本次招标失败。</w:t>
            </w:r>
          </w:p>
          <w:p w14:paraId="07CBE95A">
            <w:pPr>
              <w:spacing w:line="360" w:lineRule="auto"/>
              <w:rPr>
                <w:rFonts w:ascii="宋体" w:hAnsi="宋体" w:hint="eastAsia"/>
                <w:sz w:val="24"/>
                <w:szCs w:val="24"/>
                <w:highlight w:val="none"/>
                <w:lang w:val="en-US" w:eastAsia="zh-CN"/>
              </w:rPr>
            </w:pPr>
            <w:r>
              <w:rPr>
                <w:rFonts w:ascii="宋体" w:hAnsi="宋体" w:hint="eastAsia"/>
                <w:sz w:val="24"/>
                <w:szCs w:val="24"/>
                <w:highlight w:val="none"/>
                <w:lang w:val="en-US" w:eastAsia="zh-CN"/>
              </w:rPr>
              <w:t>采用经评审的最低投标价法时，按照经评审的投标价（即评标价，以下同）由低到高的顺序推荐中标候选人，经评审的投标价相等时，投标报价低的优先。处于同一优先推荐顺序的投标人全部纳入中标候选人。</w:t>
            </w:r>
          </w:p>
          <w:p w14:paraId="1999FEB7">
            <w:pPr>
              <w:spacing w:line="360" w:lineRule="auto"/>
              <w:rPr>
                <w:rFonts w:ascii="宋体" w:hAnsi="宋体" w:hint="eastAsia"/>
                <w:sz w:val="24"/>
                <w:szCs w:val="24"/>
                <w:highlight w:val="none"/>
                <w:lang w:val="en-US" w:eastAsia="zh-CN"/>
              </w:rPr>
            </w:pPr>
            <w:r>
              <w:rPr>
                <w:rFonts w:ascii="宋体" w:hAnsi="宋体" w:hint="eastAsia"/>
                <w:sz w:val="24"/>
                <w:szCs w:val="24"/>
                <w:highlight w:val="none"/>
                <w:lang w:val="en-US" w:eastAsia="zh-CN"/>
              </w:rPr>
              <w:t>例：经评审的投标价最低的为3人及以上，则全部推荐为中标候选人，不再推荐经评审的投标价次低的投标人。</w:t>
            </w:r>
          </w:p>
          <w:p w14:paraId="194FC34D">
            <w:pPr>
              <w:spacing w:line="360" w:lineRule="auto"/>
              <w:rPr>
                <w:rFonts w:ascii="宋体" w:hAnsi="宋体" w:hint="eastAsia"/>
                <w:sz w:val="24"/>
                <w:szCs w:val="24"/>
                <w:highlight w:val="none"/>
                <w:lang w:val="en-US" w:eastAsia="zh-CN"/>
              </w:rPr>
            </w:pPr>
            <w:r>
              <w:rPr>
                <w:rFonts w:ascii="宋体" w:hAnsi="宋体" w:hint="eastAsia"/>
                <w:sz w:val="24"/>
                <w:szCs w:val="24"/>
                <w:highlight w:val="none"/>
                <w:lang w:val="en-US" w:eastAsia="zh-CN"/>
              </w:rPr>
              <w:t>经评审的投标价最低的投标人为2人，经评审的投标价次低的投标人为2人及以上，则以上投标人全部推荐为中标候选人。</w:t>
            </w:r>
          </w:p>
          <w:p w14:paraId="68350C57">
            <w:pPr>
              <w:spacing w:line="360" w:lineRule="auto"/>
              <w:rPr>
                <w:rFonts w:ascii="宋体" w:hAnsi="宋体" w:hint="eastAsia"/>
                <w:highlight w:val="none"/>
                <w:lang w:eastAsia="zh-CN"/>
              </w:rPr>
            </w:pPr>
            <w:r>
              <w:rPr>
                <w:rFonts w:ascii="宋体" w:hAnsi="宋体" w:hint="eastAsia"/>
                <w:sz w:val="24"/>
                <w:szCs w:val="24"/>
                <w:highlight w:val="none"/>
                <w:lang w:val="en-US" w:eastAsia="zh-CN"/>
              </w:rPr>
              <w:t>其他情形以此类推。</w:t>
            </w:r>
          </w:p>
        </w:tc>
      </w:tr>
      <w:tr w14:paraId="109028F2">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FE1907F">
            <w:pPr>
              <w:spacing w:line="360" w:lineRule="auto"/>
              <w:jc w:val="center"/>
              <w:rPr>
                <w:rFonts w:ascii="宋体" w:hAnsi="宋体"/>
              </w:rPr>
            </w:pPr>
            <w:r>
              <w:rPr>
                <w:rFonts w:ascii="宋体" w:hAnsi="宋体" w:hint="eastAsia"/>
              </w:rPr>
              <w:t>7.3.1</w:t>
            </w:r>
          </w:p>
        </w:tc>
        <w:tc>
          <w:tcPr>
            <w:tcW w:w="2069" w:type="dxa"/>
            <w:tcBorders>
              <w:top w:val="single" w:sz="2" w:space="0" w:color="auto"/>
              <w:left w:val="single" w:sz="2" w:space="0" w:color="auto"/>
              <w:bottom w:val="single" w:sz="2" w:space="0" w:color="auto"/>
              <w:right w:val="single" w:sz="2" w:space="0" w:color="auto"/>
            </w:tcBorders>
            <w:vAlign w:val="center"/>
          </w:tcPr>
          <w:p w14:paraId="7C2FBACE">
            <w:pPr>
              <w:spacing w:line="360" w:lineRule="auto"/>
              <w:jc w:val="center"/>
              <w:rPr>
                <w:rFonts w:ascii="宋体" w:hAnsi="宋体"/>
              </w:rPr>
            </w:pPr>
            <w:r>
              <w:rPr>
                <w:rFonts w:ascii="宋体" w:hAnsi="宋体" w:hint="eastAsia"/>
              </w:rPr>
              <w:t>履约担保</w:t>
            </w:r>
          </w:p>
        </w:tc>
        <w:tc>
          <w:tcPr>
            <w:tcW w:w="6027" w:type="dxa"/>
            <w:tcBorders>
              <w:top w:val="single" w:sz="2" w:space="0" w:color="auto"/>
              <w:left w:val="single" w:sz="2" w:space="0" w:color="auto"/>
              <w:bottom w:val="single" w:sz="2" w:space="0" w:color="auto"/>
              <w:right w:val="single" w:sz="2" w:space="0" w:color="auto"/>
            </w:tcBorders>
            <w:vAlign w:val="center"/>
          </w:tcPr>
          <w:p w14:paraId="5E60CEF3">
            <w:pPr>
              <w:spacing w:line="360" w:lineRule="auto"/>
              <w:rPr>
                <w:rFonts w:ascii="宋体" w:hAnsi="宋体"/>
                <w:lang w:eastAsia="zh-CN"/>
              </w:rPr>
            </w:pPr>
            <w:r>
              <w:rPr>
                <w:rFonts w:ascii="宋体" w:hAnsi="宋体" w:hint="eastAsia"/>
                <w:lang w:eastAsia="zh-CN"/>
              </w:rPr>
              <w:t>投标最高限价</w:t>
            </w:r>
            <w:r>
              <w:rPr>
                <w:rFonts w:ascii="宋体" w:hAnsi="宋体" w:hint="eastAsia"/>
                <w:color w:val="00B0F0"/>
                <w:u w:val="single"/>
                <w:lang w:eastAsia="zh-CN"/>
              </w:rPr>
              <w:t xml:space="preserve"> 260293250.02  </w:t>
            </w:r>
            <w:r>
              <w:rPr>
                <w:rFonts w:ascii="宋体" w:hAnsi="宋体" w:hint="eastAsia"/>
                <w:lang w:eastAsia="zh-CN"/>
              </w:rPr>
              <w:t>元。</w:t>
            </w:r>
          </w:p>
          <w:p w14:paraId="6685FEA2">
            <w:pPr>
              <w:spacing w:line="360" w:lineRule="auto"/>
              <w:rPr>
                <w:rFonts w:ascii="宋体" w:hAnsi="宋体"/>
                <w:lang w:eastAsia="zh-CN"/>
              </w:rPr>
            </w:pPr>
            <w:r>
              <w:rPr>
                <w:rFonts w:ascii="宋体" w:hAnsi="宋体" w:hint="eastAsia"/>
                <w:lang w:eastAsia="zh-CN"/>
              </w:rPr>
              <w:t>履约保证金=中标价（扣除招标暂定部分）的</w:t>
            </w:r>
            <w:r>
              <w:rPr>
                <w:rFonts w:ascii="宋体" w:hAnsi="宋体" w:hint="eastAsia"/>
                <w:color w:val="00B0F0"/>
                <w:u w:val="single"/>
                <w:lang w:eastAsia="zh-CN"/>
              </w:rPr>
              <w:t xml:space="preserve">  </w:t>
            </w:r>
            <w:r>
              <w:rPr>
                <w:rFonts w:ascii="宋体" w:hAnsi="宋体" w:hint="eastAsia"/>
                <w:color w:val="00B0F0"/>
                <w:u w:val="single"/>
                <w:lang w:val="en-US" w:eastAsia="zh-CN"/>
              </w:rPr>
              <w:t>10</w:t>
            </w:r>
            <w:r>
              <w:rPr>
                <w:rFonts w:ascii="宋体" w:hAnsi="宋体" w:hint="eastAsia"/>
                <w:color w:val="00B0F0"/>
                <w:u w:val="single"/>
                <w:lang w:eastAsia="zh-CN"/>
              </w:rPr>
              <w:t xml:space="preserve">  </w:t>
            </w:r>
            <w:r>
              <w:rPr>
                <w:rFonts w:ascii="宋体" w:hAnsi="宋体" w:hint="eastAsia"/>
                <w:lang w:eastAsia="zh-CN"/>
              </w:rPr>
              <w:t>%。</w:t>
            </w:r>
          </w:p>
          <w:p w14:paraId="4151F59A">
            <w:pPr>
              <w:adjustRightInd w:val="0"/>
              <w:snapToGrid w:val="0"/>
              <w:spacing w:line="360" w:lineRule="auto"/>
              <w:rPr>
                <w:rFonts w:ascii="宋体" w:hAnsi="宋体" w:cs="宋体"/>
                <w:lang w:eastAsia="zh-CN"/>
              </w:rPr>
            </w:pPr>
            <w:r>
              <w:rPr>
                <w:rFonts w:ascii="宋体" w:hAnsi="宋体" w:cs="宋体" w:hint="eastAsia"/>
                <w:lang w:eastAsia="zh-CN"/>
              </w:rPr>
              <w:t>投标人可以选用下列形式之一提交履约保证金：</w:t>
            </w:r>
          </w:p>
          <w:p w14:paraId="508AC3EF">
            <w:pPr>
              <w:spacing w:line="360" w:lineRule="auto"/>
              <w:rPr>
                <w:rFonts w:ascii="宋体" w:hAnsi="宋体"/>
                <w:lang w:eastAsia="zh-CN"/>
              </w:rPr>
            </w:pPr>
            <w:r>
              <w:rPr>
                <w:rFonts w:ascii="宋体" w:hAnsi="宋体" w:cs="宋体" w:hint="eastAsia"/>
                <w:lang w:eastAsia="zh-CN"/>
              </w:rPr>
              <w:t>（</w:t>
            </w:r>
            <w:r>
              <w:rPr>
                <w:rFonts w:ascii="宋体" w:hAnsi="宋体" w:hint="eastAsia"/>
                <w:lang w:eastAsia="zh-CN"/>
              </w:rPr>
              <w:t>1）以现金或者支票形式全额提交。采用该形式的履约担保必须通过中标人基本账户以银行转账方式提交。</w:t>
            </w:r>
          </w:p>
          <w:p w14:paraId="043FBCEF">
            <w:pPr>
              <w:spacing w:line="440" w:lineRule="exact"/>
              <w:rPr>
                <w:rFonts w:ascii="宋体" w:hAnsi="宋体"/>
                <w:lang w:eastAsia="zh-CN"/>
              </w:rPr>
            </w:pPr>
            <w:r>
              <w:rPr>
                <w:rFonts w:ascii="宋体" w:hAnsi="宋体" w:hint="eastAsia"/>
                <w:lang w:eastAsia="zh-CN"/>
              </w:rPr>
              <w:t>（2）以银行保函或专业担保公司保函或保险合同形式全额提交。采用该形式的履约担保必须提供银行出具的保函或保险公司出具的保险合同或专业担保公司出具的保函原件。</w:t>
            </w:r>
          </w:p>
          <w:p w14:paraId="19F046D9">
            <w:pPr>
              <w:spacing w:line="440" w:lineRule="exact"/>
              <w:rPr>
                <w:rFonts w:ascii="宋体" w:hAnsi="宋体"/>
                <w:lang w:eastAsia="zh-CN"/>
              </w:rPr>
            </w:pPr>
            <w:r>
              <w:rPr>
                <w:rFonts w:ascii="宋体" w:hAnsi="宋体" w:hint="eastAsia"/>
                <w:lang w:eastAsia="zh-CN"/>
              </w:rPr>
              <w:t>（3）以现金或者支票、银行保函或专业担保公司保函或保险合同形式组合提交。采用现金或者支票形式的履约担保必须通过中标人基本账户以银行转账方式提交；采用银行保函或专业担保公司保函或保险合同形式的履约担保必须提供银行出具的保函或专业担保公司出具的保函或保险公司出具的保险合同原件。</w:t>
            </w:r>
          </w:p>
          <w:p w14:paraId="7B42A492">
            <w:pPr>
              <w:spacing w:line="360" w:lineRule="auto"/>
              <w:rPr>
                <w:rFonts w:ascii="宋体" w:hAnsi="宋体"/>
                <w:lang w:eastAsia="zh-CN"/>
              </w:rPr>
            </w:pPr>
            <w:r>
              <w:rPr>
                <w:rFonts w:ascii="宋体" w:hAnsi="宋体" w:hint="eastAsia"/>
                <w:lang w:eastAsia="zh-CN"/>
              </w:rPr>
              <w:t>注：《四川省住房和城乡建设厅中国银行保险监督管理委员会四川监管局关于深入推进建设工程保证保险工作的通知》（川建行规〔2019〕8号）规定：“严格落实国务院清理规范工程建设领域保证金的工作要求，积极推行工程担保制度，支持银行业金融机构、专业担保公司、保险机构作为工程担保保证人开展工程担保业务。建筑企业可以银行保函、专业担保公司担保函、保证保险等方式替代现金缴纳各类保证金，任何单位不得无故拒绝。”</w:t>
            </w:r>
          </w:p>
          <w:p w14:paraId="21281FD5">
            <w:pPr>
              <w:spacing w:line="360" w:lineRule="auto"/>
              <w:rPr>
                <w:rFonts w:ascii="宋体" w:hAnsi="宋体"/>
                <w:lang w:eastAsia="zh-CN"/>
              </w:rPr>
            </w:pPr>
            <w:r>
              <w:rPr>
                <w:rFonts w:ascii="宋体" w:hAnsi="宋体" w:hint="eastAsia"/>
                <w:lang w:eastAsia="zh-CN"/>
              </w:rPr>
              <w:t>注：对达到履约保证金退还条件的，招标人应当在一个工作日内退还。</w:t>
            </w:r>
          </w:p>
        </w:tc>
      </w:tr>
      <w:tr w14:paraId="3A770CDD">
        <w:tblPrEx>
          <w:tblW w:w="15173" w:type="dxa"/>
          <w:tblInd w:w="0" w:type="dxa"/>
          <w:tblLayout w:type="fixed"/>
          <w:tblCellMar>
            <w:top w:w="0" w:type="dxa"/>
            <w:left w:w="108" w:type="dxa"/>
            <w:bottom w:w="0" w:type="dxa"/>
            <w:right w:w="108" w:type="dxa"/>
          </w:tblCellMar>
        </w:tblPrEx>
        <w:trPr>
          <w:gridAfter w:val="1"/>
          <w:wAfter w:w="5981" w:type="dxa"/>
        </w:trPr>
        <w:tc>
          <w:tcPr>
            <w:tcW w:w="1050" w:type="dxa"/>
            <w:tcBorders>
              <w:top w:val="single" w:sz="2" w:space="0" w:color="auto"/>
              <w:left w:val="single" w:sz="2" w:space="0" w:color="auto"/>
              <w:bottom w:val="single" w:sz="2" w:space="0" w:color="auto"/>
              <w:right w:val="single" w:sz="2" w:space="0" w:color="auto"/>
            </w:tcBorders>
            <w:vAlign w:val="center"/>
          </w:tcPr>
          <w:p w14:paraId="39FD4C58">
            <w:pPr>
              <w:spacing w:line="360" w:lineRule="auto"/>
              <w:jc w:val="center"/>
              <w:rPr>
                <w:rFonts w:ascii="宋体" w:hAnsi="宋体"/>
              </w:rPr>
            </w:pPr>
            <w:r>
              <w:rPr>
                <w:rFonts w:ascii="宋体" w:hAnsi="宋体" w:hint="eastAsia"/>
              </w:rPr>
              <w:t>10</w:t>
            </w:r>
          </w:p>
        </w:tc>
        <w:tc>
          <w:tcPr>
            <w:tcW w:w="8142" w:type="dxa"/>
            <w:gridSpan w:val="3"/>
            <w:tcBorders>
              <w:top w:val="single" w:sz="2" w:space="0" w:color="auto"/>
              <w:left w:val="single" w:sz="2" w:space="0" w:color="auto"/>
              <w:bottom w:val="single" w:sz="2" w:space="0" w:color="auto"/>
              <w:right w:val="single" w:sz="2" w:space="0" w:color="auto"/>
            </w:tcBorders>
            <w:vAlign w:val="center"/>
          </w:tcPr>
          <w:p w14:paraId="216FD2A9">
            <w:pPr>
              <w:spacing w:line="360" w:lineRule="auto"/>
              <w:jc w:val="center"/>
              <w:rPr>
                <w:rFonts w:ascii="宋体" w:hAnsi="宋体"/>
              </w:rPr>
            </w:pPr>
            <w:r>
              <w:rPr>
                <w:rFonts w:ascii="宋体" w:hAnsi="宋体" w:hint="eastAsia"/>
              </w:rPr>
              <w:t>需要补充的其他内容</w:t>
            </w:r>
          </w:p>
        </w:tc>
      </w:tr>
      <w:tr w14:paraId="02F05D92">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135B77E1">
            <w:pPr>
              <w:spacing w:line="360" w:lineRule="auto"/>
              <w:jc w:val="center"/>
              <w:rPr>
                <w:rFonts w:ascii="宋体" w:hAnsi="宋体"/>
              </w:rPr>
            </w:pPr>
            <w:r>
              <w:rPr>
                <w:rFonts w:ascii="宋体" w:hAnsi="宋体" w:hint="eastAsia"/>
              </w:rPr>
              <w:t>10.1</w:t>
            </w:r>
          </w:p>
        </w:tc>
        <w:tc>
          <w:tcPr>
            <w:tcW w:w="2069" w:type="dxa"/>
            <w:tcBorders>
              <w:top w:val="single" w:sz="2" w:space="0" w:color="auto"/>
              <w:left w:val="single" w:sz="2" w:space="0" w:color="auto"/>
              <w:bottom w:val="single" w:sz="2" w:space="0" w:color="auto"/>
              <w:right w:val="single" w:sz="2" w:space="0" w:color="auto"/>
            </w:tcBorders>
            <w:vAlign w:val="center"/>
          </w:tcPr>
          <w:p w14:paraId="1701D10D">
            <w:pPr>
              <w:spacing w:line="360" w:lineRule="auto"/>
              <w:jc w:val="center"/>
              <w:rPr>
                <w:rFonts w:ascii="宋体" w:hAnsi="宋体"/>
              </w:rPr>
            </w:pPr>
            <w:r>
              <w:rPr>
                <w:rFonts w:ascii="宋体" w:hAnsi="宋体" w:hint="eastAsia"/>
              </w:rPr>
              <w:t>编页码</w:t>
            </w:r>
          </w:p>
        </w:tc>
        <w:tc>
          <w:tcPr>
            <w:tcW w:w="6027" w:type="dxa"/>
            <w:tcBorders>
              <w:top w:val="single" w:sz="2" w:space="0" w:color="auto"/>
              <w:left w:val="single" w:sz="2" w:space="0" w:color="auto"/>
              <w:bottom w:val="single" w:sz="2" w:space="0" w:color="auto"/>
              <w:right w:val="single" w:sz="2" w:space="0" w:color="auto"/>
            </w:tcBorders>
            <w:vAlign w:val="center"/>
          </w:tcPr>
          <w:p w14:paraId="14030FCD">
            <w:pPr>
              <w:spacing w:line="360" w:lineRule="auto"/>
              <w:rPr>
                <w:rFonts w:ascii="宋体" w:hAnsi="宋体"/>
              </w:rPr>
            </w:pPr>
            <w:r>
              <w:rPr>
                <w:rFonts w:ascii="宋体" w:hAnsi="宋体" w:hint="eastAsia"/>
              </w:rPr>
              <w:t>不需要。</w:t>
            </w:r>
          </w:p>
        </w:tc>
      </w:tr>
      <w:tr w14:paraId="3A73DC71">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6D012268">
            <w:pPr>
              <w:spacing w:line="360" w:lineRule="auto"/>
              <w:jc w:val="center"/>
              <w:rPr>
                <w:rFonts w:ascii="宋体" w:hAnsi="宋体"/>
              </w:rPr>
            </w:pPr>
            <w:r>
              <w:rPr>
                <w:rFonts w:ascii="宋体" w:hAnsi="宋体" w:hint="eastAsia"/>
              </w:rPr>
              <w:t>10.2</w:t>
            </w:r>
          </w:p>
        </w:tc>
        <w:tc>
          <w:tcPr>
            <w:tcW w:w="2069" w:type="dxa"/>
            <w:tcBorders>
              <w:top w:val="single" w:sz="2" w:space="0" w:color="auto"/>
              <w:left w:val="single" w:sz="2" w:space="0" w:color="auto"/>
              <w:bottom w:val="single" w:sz="2" w:space="0" w:color="auto"/>
              <w:right w:val="single" w:sz="2" w:space="0" w:color="auto"/>
            </w:tcBorders>
            <w:vAlign w:val="center"/>
          </w:tcPr>
          <w:p w14:paraId="52506F66">
            <w:pPr>
              <w:spacing w:line="360" w:lineRule="auto"/>
              <w:jc w:val="center"/>
              <w:rPr>
                <w:rFonts w:ascii="宋体" w:hAnsi="宋体"/>
              </w:rPr>
            </w:pPr>
            <w:r>
              <w:rPr>
                <w:rFonts w:ascii="宋体" w:hAnsi="宋体" w:hint="eastAsia"/>
              </w:rPr>
              <w:t>招标代理服务费</w:t>
            </w:r>
          </w:p>
        </w:tc>
        <w:tc>
          <w:tcPr>
            <w:tcW w:w="6027" w:type="dxa"/>
            <w:tcBorders>
              <w:top w:val="single" w:sz="2" w:space="0" w:color="auto"/>
              <w:left w:val="single" w:sz="2" w:space="0" w:color="auto"/>
              <w:bottom w:val="single" w:sz="2" w:space="0" w:color="auto"/>
              <w:right w:val="single" w:sz="2" w:space="0" w:color="auto"/>
            </w:tcBorders>
            <w:vAlign w:val="center"/>
          </w:tcPr>
          <w:p w14:paraId="41C7688B">
            <w:pPr>
              <w:adjustRightInd w:val="0"/>
              <w:snapToGrid w:val="0"/>
              <w:spacing w:line="360" w:lineRule="auto"/>
              <w:rPr>
                <w:rFonts w:ascii="宋体" w:hAnsi="宋体" w:cs="宋体"/>
                <w:lang w:eastAsia="zh-CN"/>
              </w:rPr>
            </w:pPr>
            <w:sdt>
              <w:sdtPr>
                <w:rPr>
                  <w:rFonts w:ascii="宋体" w:hAnsi="宋体" w:cs="宋体" w:hint="eastAsia"/>
                  <w:lang w:eastAsia="zh-CN"/>
                </w:rPr>
                <w:id w:val="1343053434"/>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不适合(自行招标)。</w:t>
            </w:r>
          </w:p>
          <w:p w14:paraId="0B1ADDE3">
            <w:pPr>
              <w:adjustRightInd w:val="0"/>
              <w:snapToGrid w:val="0"/>
              <w:spacing w:line="360" w:lineRule="auto"/>
              <w:rPr>
                <w:rFonts w:ascii="宋体" w:hAnsi="宋体" w:cs="宋体"/>
                <w:lang w:eastAsia="zh-CN"/>
              </w:rPr>
            </w:pPr>
            <w:sdt>
              <w:sdtPr>
                <w:rPr>
                  <w:rFonts w:ascii="宋体" w:hAnsi="宋体" w:cs="宋体" w:hint="eastAsia"/>
                  <w:lang w:eastAsia="zh-CN"/>
                </w:rPr>
                <w:id w:val="-1783026754"/>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招标人支付。</w:t>
            </w:r>
          </w:p>
          <w:p w14:paraId="01BCFB2A">
            <w:pPr>
              <w:spacing w:line="360" w:lineRule="auto"/>
              <w:rPr>
                <w:rFonts w:ascii="宋体" w:hAnsi="宋体"/>
                <w:lang w:eastAsia="zh-CN"/>
              </w:rPr>
            </w:pPr>
            <w:sdt>
              <w:sdtPr>
                <w:rPr>
                  <w:rFonts w:ascii="宋体" w:hAnsi="宋体" w:cs="宋体" w:hint="eastAsia"/>
                  <w:lang w:eastAsia="zh-CN"/>
                </w:rPr>
                <w:id w:val="801273713"/>
                <w14:checkbox>
                  <w14:checked w14:val="1"/>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cs="宋体" w:hint="eastAsia"/>
                <w:lang w:eastAsia="zh-CN"/>
              </w:rPr>
              <w:t>中标的投标人支付，支付标准：</w:t>
            </w:r>
            <w:r>
              <w:rPr>
                <w:rFonts w:ascii="宋体" w:hAnsi="宋体" w:cs="宋体" w:hint="eastAsia"/>
                <w:color w:val="00B0F0"/>
                <w:u w:val="single"/>
                <w:lang w:eastAsia="zh-CN"/>
              </w:rPr>
              <w:t xml:space="preserve">  参照国家计委印发的《招标代理服务收费管理暂行办法》（计价格【2002】1980号）和《国家发展改革委办公厅关于招标代理服务收费有关问题的通知》（发改办价格【2003】857号）规定标准下浮20%收取招标代理服务费  </w:t>
            </w:r>
            <w:r>
              <w:rPr>
                <w:rFonts w:ascii="宋体" w:hAnsi="宋体" w:cs="宋体" w:hint="eastAsia"/>
                <w:lang w:eastAsia="zh-CN"/>
              </w:rPr>
              <w:t>（按照招标代理合同约定填写）。</w:t>
            </w:r>
          </w:p>
        </w:tc>
      </w:tr>
      <w:tr w14:paraId="00D6C54B">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D75D240">
            <w:pPr>
              <w:spacing w:line="360" w:lineRule="auto"/>
              <w:jc w:val="center"/>
              <w:rPr>
                <w:rFonts w:ascii="宋体" w:hAnsi="宋体"/>
              </w:rPr>
            </w:pPr>
            <w:r>
              <w:rPr>
                <w:rFonts w:ascii="宋体" w:hAnsi="宋体" w:hint="eastAsia"/>
              </w:rPr>
              <w:t>10.3</w:t>
            </w:r>
          </w:p>
        </w:tc>
        <w:tc>
          <w:tcPr>
            <w:tcW w:w="2069" w:type="dxa"/>
            <w:tcBorders>
              <w:top w:val="single" w:sz="2" w:space="0" w:color="auto"/>
              <w:left w:val="single" w:sz="2" w:space="0" w:color="auto"/>
              <w:bottom w:val="single" w:sz="2" w:space="0" w:color="auto"/>
              <w:right w:val="single" w:sz="2" w:space="0" w:color="auto"/>
            </w:tcBorders>
            <w:vAlign w:val="center"/>
          </w:tcPr>
          <w:p w14:paraId="17ACD8D7">
            <w:pPr>
              <w:spacing w:line="360" w:lineRule="auto"/>
              <w:jc w:val="center"/>
              <w:rPr>
                <w:rFonts w:ascii="宋体" w:hAnsi="宋体"/>
              </w:rPr>
            </w:pPr>
            <w:r>
              <w:rPr>
                <w:rFonts w:ascii="宋体" w:hAnsi="宋体" w:hint="eastAsia"/>
              </w:rPr>
              <w:t>报价唯一</w:t>
            </w:r>
          </w:p>
        </w:tc>
        <w:tc>
          <w:tcPr>
            <w:tcW w:w="6027" w:type="dxa"/>
            <w:tcBorders>
              <w:top w:val="single" w:sz="2" w:space="0" w:color="auto"/>
              <w:left w:val="single" w:sz="2" w:space="0" w:color="auto"/>
              <w:bottom w:val="single" w:sz="2" w:space="0" w:color="auto"/>
              <w:right w:val="single" w:sz="2" w:space="0" w:color="auto"/>
            </w:tcBorders>
            <w:vAlign w:val="center"/>
          </w:tcPr>
          <w:p w14:paraId="18060C0E">
            <w:pPr>
              <w:spacing w:line="360" w:lineRule="auto"/>
              <w:rPr>
                <w:rFonts w:ascii="宋体" w:hAnsi="宋体"/>
                <w:lang w:eastAsia="zh-CN"/>
              </w:rPr>
            </w:pPr>
            <w:r>
              <w:rPr>
                <w:rFonts w:ascii="宋体" w:hAnsi="宋体" w:hint="eastAsia"/>
                <w:lang w:eastAsia="zh-CN"/>
              </w:rPr>
              <w:t>投标报价文件（包括投标函）中的任何单价、合价或总价，不论其大写金额或小写金额均只能有一个。</w:t>
            </w:r>
          </w:p>
        </w:tc>
      </w:tr>
      <w:tr w14:paraId="616530A6">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3DDD0F7C">
            <w:pPr>
              <w:spacing w:line="360" w:lineRule="auto"/>
              <w:jc w:val="center"/>
              <w:rPr>
                <w:rFonts w:ascii="宋体" w:hAnsi="宋体"/>
              </w:rPr>
            </w:pPr>
            <w:r>
              <w:rPr>
                <w:rFonts w:ascii="宋体" w:hAnsi="宋体" w:hint="eastAsia"/>
              </w:rPr>
              <w:t>10.4</w:t>
            </w:r>
          </w:p>
        </w:tc>
        <w:tc>
          <w:tcPr>
            <w:tcW w:w="2069" w:type="dxa"/>
            <w:tcBorders>
              <w:top w:val="single" w:sz="2" w:space="0" w:color="auto"/>
              <w:left w:val="single" w:sz="2" w:space="0" w:color="auto"/>
              <w:bottom w:val="single" w:sz="2" w:space="0" w:color="auto"/>
              <w:right w:val="single" w:sz="2" w:space="0" w:color="auto"/>
            </w:tcBorders>
            <w:vAlign w:val="center"/>
          </w:tcPr>
          <w:p w14:paraId="717AF7F4">
            <w:pPr>
              <w:spacing w:line="360" w:lineRule="auto"/>
              <w:jc w:val="center"/>
              <w:rPr>
                <w:rFonts w:ascii="宋体" w:hAnsi="宋体"/>
              </w:rPr>
            </w:pPr>
            <w:r>
              <w:rPr>
                <w:rFonts w:ascii="宋体" w:hAnsi="宋体" w:hint="eastAsia"/>
              </w:rPr>
              <w:t>低于成本报价</w:t>
            </w:r>
          </w:p>
        </w:tc>
        <w:tc>
          <w:tcPr>
            <w:tcW w:w="6027" w:type="dxa"/>
            <w:tcBorders>
              <w:top w:val="single" w:sz="2" w:space="0" w:color="auto"/>
              <w:left w:val="single" w:sz="2" w:space="0" w:color="auto"/>
              <w:bottom w:val="single" w:sz="2" w:space="0" w:color="auto"/>
              <w:right w:val="single" w:sz="2" w:space="0" w:color="auto"/>
            </w:tcBorders>
            <w:vAlign w:val="center"/>
          </w:tcPr>
          <w:p w14:paraId="249A831F">
            <w:pPr>
              <w:spacing w:line="360" w:lineRule="auto"/>
              <w:rPr>
                <w:rFonts w:ascii="宋体" w:hAnsi="宋体"/>
                <w:lang w:eastAsia="zh-CN"/>
              </w:rPr>
            </w:pPr>
            <w:r>
              <w:rPr>
                <w:rFonts w:ascii="宋体" w:hAnsi="宋体" w:hint="eastAsia"/>
                <w:lang w:eastAsia="zh-CN"/>
              </w:rPr>
              <w:t>按照第三章“评标办法”前附表2.2的“投标报价（含成本）评审”进行。</w:t>
            </w:r>
          </w:p>
        </w:tc>
      </w:tr>
      <w:tr w14:paraId="6380A7FC">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79161FD1">
            <w:pPr>
              <w:spacing w:line="360" w:lineRule="auto"/>
              <w:jc w:val="center"/>
              <w:rPr>
                <w:rFonts w:ascii="宋体" w:hAnsi="宋体"/>
              </w:rPr>
            </w:pPr>
            <w:r>
              <w:rPr>
                <w:rFonts w:ascii="宋体" w:hAnsi="宋体" w:hint="eastAsia"/>
              </w:rPr>
              <w:t>10.5</w:t>
            </w:r>
          </w:p>
        </w:tc>
        <w:tc>
          <w:tcPr>
            <w:tcW w:w="2069" w:type="dxa"/>
            <w:tcBorders>
              <w:top w:val="single" w:sz="2" w:space="0" w:color="auto"/>
              <w:left w:val="single" w:sz="2" w:space="0" w:color="auto"/>
              <w:bottom w:val="single" w:sz="2" w:space="0" w:color="auto"/>
              <w:right w:val="single" w:sz="2" w:space="0" w:color="auto"/>
            </w:tcBorders>
            <w:vAlign w:val="center"/>
          </w:tcPr>
          <w:p w14:paraId="2A37C8E8">
            <w:pPr>
              <w:spacing w:line="360" w:lineRule="auto"/>
              <w:jc w:val="center"/>
              <w:rPr>
                <w:rFonts w:ascii="宋体" w:hAnsi="宋体"/>
              </w:rPr>
            </w:pPr>
            <w:r>
              <w:rPr>
                <w:rFonts w:ascii="宋体" w:hAnsi="宋体" w:hint="eastAsia"/>
              </w:rPr>
              <w:t>中标价</w:t>
            </w:r>
          </w:p>
        </w:tc>
        <w:tc>
          <w:tcPr>
            <w:tcW w:w="6027" w:type="dxa"/>
            <w:tcBorders>
              <w:top w:val="single" w:sz="2" w:space="0" w:color="auto"/>
              <w:left w:val="single" w:sz="2" w:space="0" w:color="auto"/>
              <w:bottom w:val="single" w:sz="2" w:space="0" w:color="auto"/>
              <w:right w:val="single" w:sz="2" w:space="0" w:color="auto"/>
            </w:tcBorders>
            <w:vAlign w:val="center"/>
          </w:tcPr>
          <w:p w14:paraId="7C29BEE5">
            <w:pPr>
              <w:spacing w:line="360" w:lineRule="auto"/>
              <w:rPr>
                <w:rFonts w:ascii="宋体" w:hAnsi="宋体"/>
                <w:lang w:eastAsia="zh-CN"/>
              </w:rPr>
            </w:pPr>
            <w:r>
              <w:rPr>
                <w:rFonts w:ascii="宋体" w:hAnsi="宋体" w:hint="eastAsia"/>
                <w:lang w:eastAsia="zh-CN"/>
              </w:rPr>
              <w:t>以中标的投标人在投标函中的投标报价为准。按第三章“评标办法”3.1.3对投标报价进行修正的，以投标人接受的修正价格为中标价。</w:t>
            </w:r>
          </w:p>
          <w:p w14:paraId="1F354F49">
            <w:pPr>
              <w:spacing w:line="360" w:lineRule="auto"/>
              <w:rPr>
                <w:rFonts w:ascii="宋体" w:hAnsi="宋体"/>
                <w:lang w:eastAsia="zh-CN"/>
              </w:rPr>
            </w:pPr>
            <w:r>
              <w:rPr>
                <w:rFonts w:ascii="宋体" w:hAnsi="宋体" w:hint="eastAsia"/>
                <w:lang w:eastAsia="zh-CN"/>
              </w:rPr>
              <w:t>无论是采用综合评估法还是经评审的最低投标价法，不保证报价最低的投标人中标，也不解释原因。</w:t>
            </w:r>
          </w:p>
        </w:tc>
      </w:tr>
      <w:tr w14:paraId="16742984">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2CA212C7">
            <w:pPr>
              <w:spacing w:line="360" w:lineRule="auto"/>
              <w:jc w:val="center"/>
              <w:rPr>
                <w:rFonts w:ascii="宋体" w:hAnsi="宋体"/>
              </w:rPr>
            </w:pPr>
            <w:r>
              <w:rPr>
                <w:rFonts w:ascii="宋体" w:hAnsi="宋体" w:hint="eastAsia"/>
              </w:rPr>
              <w:t>10.6</w:t>
            </w:r>
          </w:p>
        </w:tc>
        <w:tc>
          <w:tcPr>
            <w:tcW w:w="2069" w:type="dxa"/>
            <w:tcBorders>
              <w:top w:val="single" w:sz="2" w:space="0" w:color="auto"/>
              <w:left w:val="single" w:sz="2" w:space="0" w:color="auto"/>
              <w:bottom w:val="single" w:sz="2" w:space="0" w:color="auto"/>
              <w:right w:val="single" w:sz="2" w:space="0" w:color="auto"/>
            </w:tcBorders>
            <w:vAlign w:val="center"/>
          </w:tcPr>
          <w:p w14:paraId="28CEADC2">
            <w:pPr>
              <w:spacing w:line="360" w:lineRule="auto"/>
              <w:jc w:val="center"/>
              <w:rPr>
                <w:rFonts w:ascii="宋体" w:hAnsi="宋体"/>
              </w:rPr>
            </w:pPr>
            <w:r>
              <w:rPr>
                <w:rFonts w:ascii="宋体" w:hAnsi="宋体" w:hint="eastAsia"/>
              </w:rPr>
              <w:t>确定中标人</w:t>
            </w:r>
          </w:p>
        </w:tc>
        <w:tc>
          <w:tcPr>
            <w:tcW w:w="6027" w:type="dxa"/>
            <w:tcBorders>
              <w:top w:val="single" w:sz="2" w:space="0" w:color="auto"/>
              <w:left w:val="single" w:sz="2" w:space="0" w:color="auto"/>
              <w:bottom w:val="single" w:sz="2" w:space="0" w:color="auto"/>
              <w:right w:val="single" w:sz="2" w:space="0" w:color="auto"/>
            </w:tcBorders>
            <w:vAlign w:val="center"/>
          </w:tcPr>
          <w:p w14:paraId="5B6CA9D0">
            <w:pPr>
              <w:spacing w:line="360" w:lineRule="auto"/>
              <w:rPr>
                <w:rFonts w:ascii="宋体" w:hAnsi="宋体"/>
                <w:lang w:eastAsia="zh-CN"/>
              </w:rPr>
            </w:pPr>
            <w:r>
              <w:rPr>
                <w:rFonts w:ascii="宋体" w:hAnsi="宋体" w:hint="eastAsia"/>
                <w:lang w:eastAsia="zh-CN"/>
              </w:rPr>
              <w:t>如投标人被推荐为第一中标候选人的多个标段配置了相同的项目经理或技术负责人，则按如下方式选择其中一个标段作为中标人：</w:t>
            </w:r>
          </w:p>
          <w:p w14:paraId="383D6E6D">
            <w:pPr>
              <w:spacing w:line="360" w:lineRule="auto"/>
              <w:rPr>
                <w:rFonts w:ascii="宋体" w:hAnsi="宋体"/>
                <w:lang w:eastAsia="zh-CN"/>
              </w:rPr>
            </w:pPr>
            <w:sdt>
              <w:sdtPr>
                <w:rPr>
                  <w:rFonts w:ascii="宋体" w:hAnsi="宋体" w:hint="eastAsia"/>
                  <w:lang w:eastAsia="zh-CN"/>
                </w:rPr>
                <w:id w:val="1565535646"/>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由投标人选择中标的合同段，选择原则为：</w:t>
            </w:r>
            <w:r>
              <w:rPr>
                <w:rFonts w:ascii="宋体" w:hAnsi="宋体" w:hint="eastAsia"/>
                <w:color w:val="00B0F0"/>
                <w:u w:val="single"/>
                <w:lang w:eastAsia="zh-CN"/>
              </w:rPr>
              <w:t xml:space="preserve">       </w:t>
            </w:r>
            <w:r>
              <w:rPr>
                <w:rFonts w:ascii="宋体" w:hAnsi="宋体" w:hint="eastAsia"/>
                <w:lang w:eastAsia="zh-CN"/>
              </w:rPr>
              <w:t>。</w:t>
            </w:r>
          </w:p>
          <w:p w14:paraId="39551170">
            <w:pPr>
              <w:spacing w:line="360" w:lineRule="auto"/>
              <w:rPr>
                <w:rFonts w:ascii="宋体" w:hAnsi="宋体"/>
                <w:lang w:eastAsia="zh-CN"/>
              </w:rPr>
            </w:pPr>
            <w:sdt>
              <w:sdtPr>
                <w:rPr>
                  <w:rFonts w:ascii="宋体" w:hAnsi="宋体" w:hint="eastAsia"/>
                  <w:lang w:eastAsia="zh-CN"/>
                </w:rPr>
                <w:id w:val="1454436281"/>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由招标人选择中标的合同段，选择原则为：</w:t>
            </w:r>
            <w:r>
              <w:rPr>
                <w:rFonts w:ascii="宋体" w:hAnsi="宋体" w:hint="eastAsia"/>
                <w:color w:val="00B0F0"/>
                <w:u w:val="single"/>
                <w:lang w:eastAsia="zh-CN"/>
              </w:rPr>
              <w:t xml:space="preserve">       </w:t>
            </w:r>
            <w:r>
              <w:rPr>
                <w:rFonts w:ascii="宋体" w:hAnsi="宋体" w:hint="eastAsia"/>
                <w:lang w:eastAsia="zh-CN"/>
              </w:rPr>
              <w:t>。</w:t>
            </w:r>
          </w:p>
          <w:p w14:paraId="6E917FF1">
            <w:pPr>
              <w:spacing w:line="360" w:lineRule="auto"/>
              <w:rPr>
                <w:rFonts w:ascii="宋体" w:hAnsi="宋体"/>
                <w:lang w:eastAsia="zh-CN"/>
              </w:rPr>
            </w:pPr>
          </w:p>
          <w:p w14:paraId="1531F186">
            <w:pPr>
              <w:spacing w:line="360" w:lineRule="auto"/>
              <w:rPr>
                <w:rFonts w:ascii="宋体" w:hAnsi="宋体"/>
                <w:lang w:eastAsia="zh-CN"/>
              </w:rPr>
            </w:pPr>
            <w:r>
              <w:rPr>
                <w:rFonts w:ascii="宋体" w:hAnsi="宋体" w:hint="eastAsia"/>
                <w:lang w:eastAsia="zh-CN"/>
              </w:rPr>
              <w:t xml:space="preserve"> </w:t>
            </w:r>
            <w:r>
              <w:rPr>
                <w:rFonts w:ascii="宋体" w:hAnsi="宋体" w:hint="eastAsia"/>
                <w:sz w:val="24"/>
                <w:szCs w:val="24"/>
              </w:rPr>
              <w:t>注：</w:t>
            </w:r>
            <w:r>
              <w:rPr>
                <w:rFonts w:ascii="宋体" w:eastAsia="宋体" w:hAnsi="宋体" w:cs="宋体" w:hint="eastAsia"/>
                <w:sz w:val="24"/>
                <w:szCs w:val="24"/>
                <w:highlight w:val="none"/>
                <w:lang w:val="en-US" w:eastAsia="zh-CN"/>
              </w:rPr>
              <w:t>根据《四川省发展和改革委员会等部门关于扩面推广工程建设项目招标投标中标候选人评定分离机制的通知》，我省依法必须招标的国家投资工程建设项目，原则上应当使用中标候选人评定分离机制确定中标人。招标人按照定标方案从评标委员会推荐的中标候选人范围内确定中标人。中标人有放弃中标、因不可抗力不能履行合同、不按照招标文件要求提交履约保证金，或者被查实存在影响中标结果的违法行为等情形，不符合中标条件的，可在其余中标候选人中另行确定中标人或重新招标。所有中标人都被取消资格的，重新招标。</w:t>
            </w:r>
          </w:p>
        </w:tc>
      </w:tr>
      <w:tr w14:paraId="73C4B7A6">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B81FFFC">
            <w:pPr>
              <w:spacing w:line="360" w:lineRule="auto"/>
              <w:jc w:val="center"/>
              <w:rPr>
                <w:rFonts w:ascii="宋体" w:hAnsi="宋体"/>
              </w:rPr>
            </w:pPr>
            <w:r>
              <w:rPr>
                <w:rFonts w:ascii="宋体" w:hAnsi="宋体" w:hint="eastAsia"/>
              </w:rPr>
              <w:t>10.7</w:t>
            </w:r>
          </w:p>
        </w:tc>
        <w:tc>
          <w:tcPr>
            <w:tcW w:w="2069" w:type="dxa"/>
            <w:tcBorders>
              <w:top w:val="single" w:sz="2" w:space="0" w:color="auto"/>
              <w:left w:val="single" w:sz="2" w:space="0" w:color="auto"/>
              <w:bottom w:val="single" w:sz="2" w:space="0" w:color="auto"/>
              <w:right w:val="single" w:sz="2" w:space="0" w:color="auto"/>
            </w:tcBorders>
            <w:vAlign w:val="center"/>
          </w:tcPr>
          <w:p w14:paraId="65ED16BD">
            <w:pPr>
              <w:spacing w:line="360" w:lineRule="auto"/>
              <w:jc w:val="center"/>
              <w:rPr>
                <w:rFonts w:ascii="宋体" w:hAnsi="宋体"/>
                <w:lang w:eastAsia="zh-CN"/>
              </w:rPr>
            </w:pPr>
            <w:r>
              <w:rPr>
                <w:rFonts w:ascii="宋体" w:hAnsi="宋体" w:hint="eastAsia"/>
                <w:lang w:eastAsia="zh-CN"/>
              </w:rPr>
              <w:t>合同履行过程中物价波动引起的价格调整</w:t>
            </w:r>
          </w:p>
        </w:tc>
        <w:tc>
          <w:tcPr>
            <w:tcW w:w="6027" w:type="dxa"/>
            <w:tcBorders>
              <w:top w:val="single" w:sz="2" w:space="0" w:color="auto"/>
              <w:left w:val="single" w:sz="2" w:space="0" w:color="auto"/>
              <w:bottom w:val="single" w:sz="2" w:space="0" w:color="auto"/>
              <w:right w:val="single" w:sz="2" w:space="0" w:color="auto"/>
            </w:tcBorders>
            <w:vAlign w:val="center"/>
          </w:tcPr>
          <w:p w14:paraId="62D173D9">
            <w:pPr>
              <w:spacing w:line="360" w:lineRule="auto"/>
              <w:rPr>
                <w:rFonts w:ascii="宋体" w:hAnsi="宋体"/>
                <w:lang w:eastAsia="zh-CN"/>
              </w:rPr>
            </w:pPr>
            <w:sdt>
              <w:sdtPr>
                <w:rPr>
                  <w:rFonts w:ascii="宋体" w:hAnsi="宋体" w:hint="eastAsia"/>
                  <w:lang w:eastAsia="zh-CN"/>
                </w:rPr>
                <w:id w:val="229049877"/>
                <w14:checkbox>
                  <w14:checked w14:val="1"/>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sz w:val="24"/>
                    <w:szCs w:val="24"/>
                    <w:lang w:val="en-US" w:eastAsia="zh-CN" w:bidi="ar-SA"/>
                  </w:rPr>
                  <w:t>☑</w:t>
                </w:r>
              </w:sdtContent>
            </w:sdt>
            <w:r>
              <w:rPr>
                <w:rFonts w:ascii="宋体" w:hAnsi="宋体" w:hint="eastAsia"/>
                <w:lang w:eastAsia="zh-CN"/>
              </w:rPr>
              <w:t>可以调整。按第四章“合同条款及格式”处理。</w:t>
            </w:r>
          </w:p>
          <w:p w14:paraId="75391B0C">
            <w:pPr>
              <w:spacing w:line="360" w:lineRule="auto"/>
              <w:rPr>
                <w:rFonts w:ascii="宋体" w:hAnsi="宋体"/>
                <w:lang w:eastAsia="zh-CN"/>
              </w:rPr>
            </w:pPr>
            <w:sdt>
              <w:sdtPr>
                <w:rPr>
                  <w:rFonts w:ascii="宋体" w:hAnsi="宋体" w:hint="eastAsia"/>
                  <w:lang w:eastAsia="zh-CN"/>
                </w:rPr>
                <w:id w:val="-2069176968"/>
                <w14:checkbox>
                  <w14:checked w14:val="0"/>
                  <w14:checkedState w14:val="2611" w14:font="MS Gothic"/>
                  <w14:uncheckedState w14:val="2610" w14:font="MS Gothic"/>
                </w14:checkbox>
              </w:sdtPr>
              <w:sdtEndPr>
                <w:rPr>
                  <w:rFonts w:ascii="宋体" w:hAnsi="宋体" w:hint="eastAsia"/>
                  <w:lang w:eastAsia="zh-CN"/>
                </w:rPr>
              </w:sdtEndPr>
              <w:sdtContent>
                <w:r>
                  <w:rPr>
                    <w:rFonts w:ascii="MS Gothic" w:eastAsia="MS Gothic" w:hAnsi="MS Gothic" w:cs="MS Gothic" w:hint="eastAsia"/>
                    <w:lang w:eastAsia="zh-CN"/>
                  </w:rPr>
                  <w:t>☐</w:t>
                </w:r>
              </w:sdtContent>
            </w:sdt>
            <w:r>
              <w:rPr>
                <w:rFonts w:ascii="宋体" w:hAnsi="宋体" w:hint="eastAsia"/>
                <w:lang w:eastAsia="zh-CN"/>
              </w:rPr>
              <w:t>不可以调整。在履行合同时，应按照合同约定的单价和价格作价进行支付，即投标报价表中标明的单价和价格在合同执行过程中是固定不变的，不因物价波动而调整，风险和收益由承包人自行承担。但因法律变化引起的价格调整除外。</w:t>
            </w:r>
          </w:p>
          <w:p w14:paraId="731DD27E">
            <w:pPr>
              <w:spacing w:line="360" w:lineRule="auto"/>
              <w:rPr>
                <w:rFonts w:ascii="宋体" w:hAnsi="宋体"/>
                <w:lang w:eastAsia="zh-CN"/>
              </w:rPr>
            </w:pPr>
            <w:r>
              <w:rPr>
                <w:rFonts w:ascii="宋体" w:hAnsi="宋体" w:hint="eastAsia"/>
                <w:lang w:eastAsia="zh-CN"/>
              </w:rPr>
              <w:t>注： （1）《工程建设项目施工招标投标办法》（七部委30号令)第三十条：“施工招标项目工期较长的，招标文件中可以规定工程造价指数体系、价格调整因素和调整方法。”</w:t>
            </w:r>
          </w:p>
          <w:p w14:paraId="13AA9229">
            <w:pPr>
              <w:spacing w:line="360" w:lineRule="auto"/>
              <w:rPr>
                <w:rFonts w:ascii="宋体" w:hAnsi="宋体"/>
              </w:rPr>
            </w:pPr>
            <w:r>
              <w:rPr>
                <w:rFonts w:ascii="宋体" w:hAnsi="宋体" w:hint="eastAsia"/>
                <w:sz w:val="24"/>
                <w:szCs w:val="24"/>
                <w:highlight w:val="none"/>
                <w:lang w:val="en-US" w:eastAsia="zh-CN"/>
              </w:rPr>
              <w:t>（2）《建设工程工程量清单计价标准》（GB/T50500-2024）第3.3.1条：“建设工程的施工发承包，应在招标文件、合同中明确计量与计价的风险内容及其范围，不得采用无限风险、所有风险或类似语句约定工程计量与计价中的风险内容及范围。”</w:t>
            </w:r>
          </w:p>
        </w:tc>
      </w:tr>
      <w:tr w14:paraId="5E7E4BF9">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0DCDC56E">
            <w:pPr>
              <w:spacing w:line="360" w:lineRule="auto"/>
              <w:jc w:val="center"/>
              <w:rPr>
                <w:rFonts w:ascii="宋体" w:hAnsi="宋体"/>
              </w:rPr>
            </w:pPr>
            <w:r>
              <w:rPr>
                <w:rFonts w:ascii="宋体" w:hAnsi="宋体" w:hint="eastAsia"/>
              </w:rPr>
              <w:t>10.8</w:t>
            </w:r>
          </w:p>
        </w:tc>
        <w:tc>
          <w:tcPr>
            <w:tcW w:w="2069" w:type="dxa"/>
            <w:tcBorders>
              <w:top w:val="single" w:sz="2" w:space="0" w:color="auto"/>
              <w:left w:val="single" w:sz="2" w:space="0" w:color="auto"/>
              <w:bottom w:val="single" w:sz="2" w:space="0" w:color="auto"/>
              <w:right w:val="single" w:sz="2" w:space="0" w:color="auto"/>
            </w:tcBorders>
            <w:vAlign w:val="center"/>
          </w:tcPr>
          <w:p w14:paraId="00D27CE3">
            <w:pPr>
              <w:spacing w:line="360" w:lineRule="auto"/>
              <w:jc w:val="center"/>
              <w:rPr>
                <w:rFonts w:ascii="宋体" w:hAnsi="宋体"/>
              </w:rPr>
            </w:pPr>
            <w:r>
              <w:rPr>
                <w:rFonts w:ascii="宋体" w:hAnsi="宋体" w:hint="eastAsia"/>
              </w:rPr>
              <w:t>压证施工制度</w:t>
            </w:r>
          </w:p>
        </w:tc>
        <w:tc>
          <w:tcPr>
            <w:tcW w:w="6027" w:type="dxa"/>
            <w:tcBorders>
              <w:top w:val="single" w:sz="2" w:space="0" w:color="auto"/>
              <w:left w:val="single" w:sz="2" w:space="0" w:color="auto"/>
              <w:bottom w:val="single" w:sz="2" w:space="0" w:color="auto"/>
              <w:right w:val="single" w:sz="2" w:space="0" w:color="auto"/>
            </w:tcBorders>
            <w:vAlign w:val="center"/>
          </w:tcPr>
          <w:p w14:paraId="780B2372">
            <w:pPr>
              <w:spacing w:line="360" w:lineRule="auto"/>
              <w:rPr>
                <w:rFonts w:ascii="宋体" w:hAnsi="宋体"/>
                <w:lang w:eastAsia="zh-CN"/>
              </w:rPr>
            </w:pPr>
            <w:r>
              <w:rPr>
                <w:rFonts w:ascii="宋体" w:hAnsi="宋体" w:hint="eastAsia"/>
                <w:lang w:eastAsia="zh-CN"/>
              </w:rPr>
              <w:t>实行项目经理压证施工制度。投标文件承诺的项目经理的执业资格证书原件，须在签订合同前由中标人提供给项目业主，合同标的的主体工程完工后方予退还。</w:t>
            </w:r>
          </w:p>
        </w:tc>
      </w:tr>
      <w:tr w14:paraId="446A54FB">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34ADD24C">
            <w:pPr>
              <w:spacing w:line="360" w:lineRule="auto"/>
              <w:jc w:val="center"/>
              <w:rPr>
                <w:rFonts w:ascii="宋体" w:hAnsi="宋体"/>
              </w:rPr>
            </w:pPr>
            <w:r>
              <w:rPr>
                <w:rFonts w:ascii="宋体" w:hAnsi="宋体" w:hint="eastAsia"/>
              </w:rPr>
              <w:t>10.9</w:t>
            </w:r>
          </w:p>
        </w:tc>
        <w:tc>
          <w:tcPr>
            <w:tcW w:w="2069" w:type="dxa"/>
            <w:tcBorders>
              <w:top w:val="single" w:sz="2" w:space="0" w:color="auto"/>
              <w:left w:val="single" w:sz="2" w:space="0" w:color="auto"/>
              <w:bottom w:val="single" w:sz="2" w:space="0" w:color="auto"/>
              <w:right w:val="single" w:sz="2" w:space="0" w:color="auto"/>
            </w:tcBorders>
            <w:vAlign w:val="center"/>
          </w:tcPr>
          <w:p w14:paraId="64196A97">
            <w:pPr>
              <w:spacing w:line="360" w:lineRule="auto"/>
              <w:jc w:val="center"/>
              <w:rPr>
                <w:rFonts w:ascii="宋体" w:hAnsi="宋体"/>
              </w:rPr>
            </w:pPr>
            <w:r>
              <w:rPr>
                <w:rFonts w:ascii="宋体" w:hAnsi="宋体" w:hint="eastAsia"/>
              </w:rPr>
              <w:t>严禁转包和违法分包</w:t>
            </w:r>
          </w:p>
        </w:tc>
        <w:tc>
          <w:tcPr>
            <w:tcW w:w="6027" w:type="dxa"/>
            <w:tcBorders>
              <w:top w:val="single" w:sz="2" w:space="0" w:color="auto"/>
              <w:left w:val="single" w:sz="2" w:space="0" w:color="auto"/>
              <w:bottom w:val="single" w:sz="2" w:space="0" w:color="auto"/>
              <w:right w:val="single" w:sz="2" w:space="0" w:color="auto"/>
            </w:tcBorders>
            <w:vAlign w:val="center"/>
          </w:tcPr>
          <w:p w14:paraId="1256D76D">
            <w:pPr>
              <w:spacing w:line="360" w:lineRule="auto"/>
              <w:rPr>
                <w:rFonts w:ascii="宋体" w:hAnsi="宋体"/>
                <w:lang w:eastAsia="zh-CN"/>
              </w:rPr>
            </w:pPr>
            <w:r>
              <w:rPr>
                <w:rFonts w:ascii="宋体" w:hAnsi="宋体" w:hint="eastAsia"/>
                <w:lang w:eastAsia="zh-CN"/>
              </w:rPr>
              <w:t>中标人在合同履行中，不得存在《建筑工程施工发包与承包违法行为认定查处管理办法》（建市规〔2019〕1号）规定的转包和违法分包的情形。</w:t>
            </w:r>
          </w:p>
        </w:tc>
      </w:tr>
      <w:tr w14:paraId="4C73596F">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30ED5F08">
            <w:pPr>
              <w:spacing w:line="360" w:lineRule="auto"/>
              <w:jc w:val="center"/>
              <w:rPr>
                <w:rFonts w:ascii="宋体" w:hAnsi="宋体"/>
              </w:rPr>
            </w:pPr>
            <w:r>
              <w:rPr>
                <w:rFonts w:ascii="宋体" w:hAnsi="宋体" w:hint="eastAsia"/>
              </w:rPr>
              <w:t>10.10</w:t>
            </w:r>
          </w:p>
        </w:tc>
        <w:tc>
          <w:tcPr>
            <w:tcW w:w="2069" w:type="dxa"/>
            <w:tcBorders>
              <w:top w:val="single" w:sz="2" w:space="0" w:color="auto"/>
              <w:left w:val="single" w:sz="2" w:space="0" w:color="auto"/>
              <w:bottom w:val="single" w:sz="2" w:space="0" w:color="auto"/>
              <w:right w:val="single" w:sz="2" w:space="0" w:color="auto"/>
            </w:tcBorders>
            <w:vAlign w:val="center"/>
          </w:tcPr>
          <w:p w14:paraId="2978608B">
            <w:pPr>
              <w:spacing w:line="360" w:lineRule="auto"/>
              <w:jc w:val="center"/>
              <w:rPr>
                <w:rFonts w:ascii="宋体" w:hAnsi="宋体"/>
                <w:lang w:eastAsia="zh-CN"/>
              </w:rPr>
            </w:pPr>
            <w:r>
              <w:rPr>
                <w:rFonts w:ascii="宋体" w:hAnsi="宋体" w:hint="eastAsia"/>
                <w:lang w:eastAsia="zh-CN"/>
              </w:rPr>
              <w:t>招标文件内容冲突的解决及优先适用次序</w:t>
            </w:r>
          </w:p>
        </w:tc>
        <w:tc>
          <w:tcPr>
            <w:tcW w:w="6027" w:type="dxa"/>
            <w:tcBorders>
              <w:top w:val="single" w:sz="2" w:space="0" w:color="auto"/>
              <w:left w:val="single" w:sz="2" w:space="0" w:color="auto"/>
              <w:bottom w:val="single" w:sz="2" w:space="0" w:color="auto"/>
              <w:right w:val="single" w:sz="2" w:space="0" w:color="auto"/>
            </w:tcBorders>
            <w:vAlign w:val="center"/>
          </w:tcPr>
          <w:p w14:paraId="74A4B76F">
            <w:pPr>
              <w:spacing w:line="360" w:lineRule="auto"/>
              <w:rPr>
                <w:rFonts w:ascii="宋体" w:hAnsi="宋体"/>
                <w:lang w:eastAsia="zh-CN"/>
              </w:rPr>
            </w:pPr>
            <w:r>
              <w:rPr>
                <w:rFonts w:ascii="宋体" w:hAnsi="宋体" w:cs="宋体" w:hint="eastAsia"/>
                <w:lang w:eastAsia="zh-CN"/>
              </w:rPr>
              <w:t>招标文件中招标人编制的内容前后有矛盾或不一致，有时间先后顺序的，以时间在后的修改、澄清或补正文件为准；没有时间先后顺序的，以公平的原则进行处理。投标人须知前附表和招标文件中“注”的内容与正文不一致时，以投标人须知前附表和招标文件中“注”的内容为准。</w:t>
            </w:r>
          </w:p>
          <w:p w14:paraId="6BAEAE39">
            <w:pPr>
              <w:spacing w:line="360" w:lineRule="auto"/>
              <w:rPr>
                <w:rFonts w:ascii="宋体" w:hAnsi="宋体"/>
                <w:lang w:eastAsia="zh-CN"/>
              </w:rPr>
            </w:pPr>
            <w:r>
              <w:rPr>
                <w:rFonts w:ascii="宋体" w:hAnsi="宋体" w:cs="宋体" w:hint="eastAsia"/>
                <w:lang w:eastAsia="zh-CN"/>
              </w:rPr>
              <w:t>对招标文件的内容理解有争议的，由招标人按照招标文件所使用的词句、招标文件的有关条款、招标的目的、习惯以及诚实信用原则，确定该条款的真实意思，有两种以上解释的，作出不利于招标人一方的解释。</w:t>
            </w:r>
          </w:p>
        </w:tc>
      </w:tr>
      <w:tr w14:paraId="6F032FCB">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7382C815">
            <w:pPr>
              <w:spacing w:line="360" w:lineRule="auto"/>
              <w:jc w:val="center"/>
              <w:rPr>
                <w:rFonts w:ascii="宋体" w:hAnsi="宋体"/>
              </w:rPr>
            </w:pPr>
            <w:r>
              <w:rPr>
                <w:rFonts w:ascii="宋体" w:hAnsi="宋体" w:hint="eastAsia"/>
              </w:rPr>
              <w:t>10.11</w:t>
            </w:r>
          </w:p>
        </w:tc>
        <w:tc>
          <w:tcPr>
            <w:tcW w:w="2069" w:type="dxa"/>
            <w:tcBorders>
              <w:top w:val="single" w:sz="2" w:space="0" w:color="auto"/>
              <w:left w:val="single" w:sz="2" w:space="0" w:color="auto"/>
              <w:bottom w:val="single" w:sz="2" w:space="0" w:color="auto"/>
              <w:right w:val="single" w:sz="2" w:space="0" w:color="auto"/>
            </w:tcBorders>
            <w:vAlign w:val="center"/>
          </w:tcPr>
          <w:p w14:paraId="60736A19">
            <w:pPr>
              <w:spacing w:line="360" w:lineRule="auto"/>
              <w:jc w:val="center"/>
              <w:rPr>
                <w:rFonts w:ascii="宋体" w:hAnsi="宋体"/>
                <w:lang w:eastAsia="zh-CN"/>
              </w:rPr>
            </w:pPr>
            <w:r>
              <w:rPr>
                <w:rFonts w:ascii="宋体" w:hAnsi="宋体" w:hint="eastAsia"/>
                <w:lang w:eastAsia="zh-CN"/>
              </w:rPr>
              <w:t>投标文件的真实性要求</w:t>
            </w:r>
          </w:p>
        </w:tc>
        <w:tc>
          <w:tcPr>
            <w:tcW w:w="6027" w:type="dxa"/>
            <w:tcBorders>
              <w:top w:val="single" w:sz="2" w:space="0" w:color="auto"/>
              <w:left w:val="single" w:sz="2" w:space="0" w:color="auto"/>
              <w:bottom w:val="single" w:sz="2" w:space="0" w:color="auto"/>
              <w:right w:val="single" w:sz="2" w:space="0" w:color="auto"/>
            </w:tcBorders>
            <w:vAlign w:val="center"/>
          </w:tcPr>
          <w:p w14:paraId="7C27A252">
            <w:pPr>
              <w:spacing w:line="360" w:lineRule="auto"/>
              <w:rPr>
                <w:rFonts w:ascii="宋体" w:hAnsi="宋体"/>
                <w:lang w:eastAsia="zh-CN"/>
              </w:rPr>
            </w:pPr>
            <w:r>
              <w:rPr>
                <w:rFonts w:ascii="宋体" w:hAnsi="宋体" w:hint="eastAsia"/>
                <w:lang w:eastAsia="zh-CN"/>
              </w:rPr>
              <w:t>投标人所递交的投标文件（包括有关资料、澄清）应不存在弄虚作假或隐瞒。</w:t>
            </w:r>
          </w:p>
          <w:p w14:paraId="24686064">
            <w:pPr>
              <w:spacing w:line="360" w:lineRule="auto"/>
              <w:rPr>
                <w:rFonts w:ascii="宋体" w:hAnsi="宋体"/>
                <w:lang w:eastAsia="zh-CN"/>
              </w:rPr>
            </w:pPr>
            <w:r>
              <w:rPr>
                <w:rFonts w:ascii="宋体" w:hAnsi="宋体" w:hint="eastAsia"/>
                <w:lang w:eastAsia="zh-CN"/>
              </w:rPr>
              <w:t>投标人声明不存在限制投标情形但被发现存在限制投标情形的，属于隐瞒情形（单位负责人为同一人或者存在控股、管理关系的不同单位，在同一标段投标或者未划分标段的同一招标项目投标，若投标人在投标文件中已填报上述信息的，不属于隐瞒情形）。</w:t>
            </w:r>
          </w:p>
          <w:p w14:paraId="2F8F0A82">
            <w:pPr>
              <w:spacing w:line="360" w:lineRule="auto"/>
              <w:rPr>
                <w:rFonts w:ascii="宋体" w:hAnsi="宋体"/>
                <w:lang w:eastAsia="zh-CN"/>
              </w:rPr>
            </w:pPr>
            <w:r>
              <w:rPr>
                <w:rFonts w:ascii="宋体" w:hAnsi="宋体"/>
                <w:lang w:eastAsia="zh-CN"/>
              </w:rPr>
              <w:t>如投标文件存在弄虚作假或隐瞒，在评标阶段发现的，评标委员会应将该投标文件作否决投标处理；中标候选人确定后发现的，招标人依照《中华人民共和国招标投标法实施条例》第五十五条的规定处理。</w:t>
            </w:r>
          </w:p>
        </w:tc>
      </w:tr>
      <w:tr w14:paraId="315D9EDD">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66AF876B">
            <w:pPr>
              <w:spacing w:line="360" w:lineRule="auto"/>
              <w:jc w:val="center"/>
              <w:rPr>
                <w:rFonts w:ascii="宋体" w:hAnsi="宋体"/>
              </w:rPr>
            </w:pPr>
            <w:r>
              <w:rPr>
                <w:rFonts w:ascii="宋体" w:hAnsi="宋体" w:hint="eastAsia"/>
              </w:rPr>
              <w:t>10.12</w:t>
            </w:r>
          </w:p>
        </w:tc>
        <w:tc>
          <w:tcPr>
            <w:tcW w:w="2069" w:type="dxa"/>
            <w:tcBorders>
              <w:top w:val="single" w:sz="2" w:space="0" w:color="auto"/>
              <w:left w:val="single" w:sz="2" w:space="0" w:color="auto"/>
              <w:bottom w:val="single" w:sz="2" w:space="0" w:color="auto"/>
              <w:right w:val="single" w:sz="2" w:space="0" w:color="auto"/>
            </w:tcBorders>
            <w:vAlign w:val="center"/>
          </w:tcPr>
          <w:p w14:paraId="27975121">
            <w:pPr>
              <w:spacing w:line="360" w:lineRule="auto"/>
              <w:jc w:val="center"/>
              <w:rPr>
                <w:rFonts w:ascii="宋体" w:hAnsi="宋体"/>
              </w:rPr>
            </w:pPr>
            <w:r>
              <w:rPr>
                <w:rFonts w:ascii="宋体" w:hAnsi="宋体" w:hint="eastAsia"/>
              </w:rPr>
              <w:t>知识产权</w:t>
            </w:r>
          </w:p>
        </w:tc>
        <w:tc>
          <w:tcPr>
            <w:tcW w:w="6027" w:type="dxa"/>
            <w:tcBorders>
              <w:top w:val="single" w:sz="2" w:space="0" w:color="auto"/>
              <w:left w:val="single" w:sz="2" w:space="0" w:color="auto"/>
              <w:bottom w:val="single" w:sz="2" w:space="0" w:color="auto"/>
              <w:right w:val="single" w:sz="2" w:space="0" w:color="auto"/>
            </w:tcBorders>
            <w:vAlign w:val="center"/>
          </w:tcPr>
          <w:p w14:paraId="156016E5">
            <w:pPr>
              <w:spacing w:line="360" w:lineRule="auto"/>
              <w:rPr>
                <w:rFonts w:ascii="宋体" w:hAnsi="宋体"/>
                <w:lang w:eastAsia="zh-CN"/>
              </w:rPr>
            </w:pPr>
            <w:r>
              <w:rPr>
                <w:rFonts w:ascii="宋体" w:hAnsi="宋体" w:cs="宋体" w:hint="eastAsia"/>
                <w:lang w:eastAsia="zh-CN"/>
              </w:rPr>
              <w:t>构成本招标文件的各组成部分，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3EFDEABE">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473C5B82">
            <w:pPr>
              <w:spacing w:line="360" w:lineRule="auto"/>
              <w:jc w:val="center"/>
              <w:rPr>
                <w:rFonts w:ascii="宋体" w:hAnsi="宋体"/>
              </w:rPr>
            </w:pPr>
            <w:r>
              <w:rPr>
                <w:rFonts w:ascii="宋体" w:hAnsi="宋体" w:hint="eastAsia"/>
              </w:rPr>
              <w:t>10.13</w:t>
            </w:r>
          </w:p>
        </w:tc>
        <w:tc>
          <w:tcPr>
            <w:tcW w:w="2069" w:type="dxa"/>
            <w:tcBorders>
              <w:top w:val="single" w:sz="2" w:space="0" w:color="auto"/>
              <w:left w:val="single" w:sz="2" w:space="0" w:color="auto"/>
              <w:bottom w:val="single" w:sz="2" w:space="0" w:color="auto"/>
              <w:right w:val="single" w:sz="2" w:space="0" w:color="auto"/>
            </w:tcBorders>
            <w:vAlign w:val="center"/>
          </w:tcPr>
          <w:p w14:paraId="64DD1C6D">
            <w:pPr>
              <w:adjustRightInd w:val="0"/>
              <w:snapToGrid w:val="0"/>
              <w:spacing w:line="360" w:lineRule="auto"/>
              <w:rPr>
                <w:rFonts w:ascii="宋体" w:hAnsi="宋体"/>
                <w:highlight w:val="none"/>
                <w:lang w:eastAsia="zh-CN"/>
              </w:rPr>
            </w:pPr>
            <w:r>
              <w:rPr>
                <w:rFonts w:ascii="宋体" w:eastAsia="宋体" w:hAnsi="宋体" w:cs="宋体" w:hint="eastAsia"/>
                <w:sz w:val="24"/>
                <w:szCs w:val="24"/>
                <w:highlight w:val="none"/>
              </w:rPr>
              <w:t>中标候选人公示</w:t>
            </w:r>
            <w:r>
              <w:rPr>
                <w:rFonts w:ascii="宋体" w:eastAsia="宋体" w:hAnsi="宋体" w:cs="宋体" w:hint="eastAsia"/>
                <w:sz w:val="24"/>
                <w:szCs w:val="24"/>
                <w:highlight w:val="none"/>
                <w:lang w:eastAsia="zh-CN"/>
              </w:rPr>
              <w:t>、</w:t>
            </w:r>
            <w:r>
              <w:rPr>
                <w:rFonts w:ascii="宋体" w:eastAsia="宋体" w:hAnsi="宋体" w:cs="宋体" w:hint="eastAsia"/>
                <w:sz w:val="24"/>
                <w:szCs w:val="24"/>
                <w:highlight w:val="none"/>
                <w:lang w:val="en-US" w:eastAsia="zh-CN"/>
              </w:rPr>
              <w:t>定标结果公示</w:t>
            </w:r>
            <w:r>
              <w:rPr>
                <w:rFonts w:ascii="宋体" w:eastAsia="宋体" w:hAnsi="宋体" w:cs="宋体" w:hint="eastAsia"/>
                <w:sz w:val="24"/>
                <w:szCs w:val="24"/>
                <w:highlight w:val="none"/>
              </w:rPr>
              <w:t>媒介及期限</w:t>
            </w:r>
          </w:p>
        </w:tc>
        <w:tc>
          <w:tcPr>
            <w:tcW w:w="6027" w:type="dxa"/>
            <w:tcBorders>
              <w:top w:val="single" w:sz="2" w:space="0" w:color="auto"/>
              <w:left w:val="single" w:sz="2" w:space="0" w:color="auto"/>
              <w:bottom w:val="single" w:sz="2" w:space="0" w:color="auto"/>
              <w:right w:val="single" w:sz="2" w:space="0" w:color="auto"/>
            </w:tcBorders>
            <w:vAlign w:val="center"/>
          </w:tcPr>
          <w:p w14:paraId="44ED4AF2">
            <w:pPr>
              <w:spacing w:line="360" w:lineRule="auto"/>
              <w:rPr>
                <w:rFonts w:ascii="宋体" w:eastAsia="宋体" w:hAnsi="宋体" w:cs="宋体" w:hint="eastAsia"/>
                <w:sz w:val="24"/>
                <w:szCs w:val="24"/>
                <w:highlight w:val="none"/>
              </w:rPr>
            </w:pPr>
            <w:r>
              <w:rPr>
                <w:rFonts w:ascii="宋体" w:eastAsia="宋体" w:hAnsi="宋体" w:cs="宋体" w:hint="eastAsia"/>
                <w:sz w:val="24"/>
                <w:szCs w:val="24"/>
                <w:highlight w:val="none"/>
              </w:rPr>
              <w:t>公示媒介：同招标公告发布媒介</w:t>
            </w:r>
          </w:p>
          <w:p w14:paraId="0BFEF233">
            <w:pPr>
              <w:spacing w:line="360" w:lineRule="auto"/>
              <w:rPr>
                <w:rFonts w:ascii="宋体" w:eastAsia="宋体" w:hAnsi="宋体" w:cs="宋体" w:hint="eastAsia"/>
                <w:sz w:val="24"/>
                <w:szCs w:val="24"/>
                <w:highlight w:val="none"/>
              </w:rPr>
            </w:pPr>
            <w:r>
              <w:rPr>
                <w:rFonts w:ascii="宋体" w:eastAsia="宋体" w:hAnsi="宋体" w:cs="宋体" w:hint="eastAsia"/>
                <w:sz w:val="24"/>
                <w:szCs w:val="24"/>
                <w:highlight w:val="none"/>
              </w:rPr>
              <w:t>中标候选人公示期限：不少于3日，</w:t>
            </w:r>
            <w:r>
              <w:rPr>
                <w:rFonts w:ascii="宋体" w:eastAsia="宋体" w:hAnsi="宋体" w:cs="宋体" w:hint="eastAsia"/>
                <w:sz w:val="24"/>
                <w:szCs w:val="24"/>
                <w:highlight w:val="none"/>
                <w:lang w:val="en-US" w:eastAsia="zh-CN"/>
              </w:rPr>
              <w:t>公示期</w:t>
            </w:r>
            <w:r>
              <w:rPr>
                <w:rFonts w:ascii="宋体" w:eastAsia="宋体" w:hAnsi="宋体" w:cs="宋体" w:hint="eastAsia"/>
                <w:sz w:val="24"/>
                <w:szCs w:val="24"/>
                <w:highlight w:val="none"/>
              </w:rPr>
              <w:t>最后一日</w:t>
            </w:r>
            <w:r>
              <w:rPr>
                <w:rFonts w:ascii="宋体" w:eastAsia="宋体" w:hAnsi="宋体" w:cs="宋体" w:hint="eastAsia"/>
                <w:sz w:val="24"/>
                <w:szCs w:val="24"/>
                <w:highlight w:val="none"/>
                <w:lang w:val="en-US" w:eastAsia="zh-CN"/>
              </w:rPr>
              <w:t>应为工作日</w:t>
            </w:r>
            <w:r>
              <w:rPr>
                <w:rFonts w:ascii="宋体" w:eastAsia="宋体" w:hAnsi="宋体" w:cs="宋体" w:hint="eastAsia"/>
                <w:sz w:val="24"/>
                <w:szCs w:val="24"/>
                <w:highlight w:val="none"/>
              </w:rPr>
              <w:t>。</w:t>
            </w:r>
          </w:p>
          <w:p w14:paraId="5C03A7DA">
            <w:pPr>
              <w:spacing w:line="360" w:lineRule="auto"/>
              <w:rPr>
                <w:rFonts w:ascii="宋体" w:hAnsi="宋体"/>
                <w:highlight w:val="none"/>
              </w:rPr>
            </w:pPr>
            <w:r>
              <w:rPr>
                <w:rFonts w:ascii="宋体" w:eastAsia="宋体" w:hAnsi="宋体" w:cs="宋体" w:hint="eastAsia"/>
                <w:sz w:val="24"/>
                <w:szCs w:val="24"/>
                <w:highlight w:val="none"/>
                <w:lang w:val="en-US" w:eastAsia="zh-CN"/>
              </w:rPr>
              <w:t>定标结果公示</w:t>
            </w:r>
            <w:r>
              <w:rPr>
                <w:rFonts w:ascii="宋体" w:eastAsia="宋体" w:hAnsi="宋体" w:cs="宋体" w:hint="eastAsia"/>
                <w:sz w:val="24"/>
                <w:szCs w:val="24"/>
                <w:highlight w:val="none"/>
              </w:rPr>
              <w:t>期限</w:t>
            </w:r>
            <w:r>
              <w:rPr>
                <w:rFonts w:ascii="宋体" w:eastAsia="宋体" w:hAnsi="宋体" w:cs="宋体" w:hint="eastAsia"/>
                <w:sz w:val="24"/>
                <w:szCs w:val="24"/>
                <w:highlight w:val="none"/>
                <w:lang w:eastAsia="zh-CN"/>
              </w:rPr>
              <w:t>：</w:t>
            </w:r>
            <w:r>
              <w:rPr>
                <w:rFonts w:ascii="宋体" w:eastAsia="宋体" w:hAnsi="宋体" w:cs="宋体" w:hint="eastAsia"/>
                <w:sz w:val="24"/>
                <w:szCs w:val="24"/>
                <w:highlight w:val="none"/>
                <w:lang w:val="en-US" w:eastAsia="zh-CN"/>
              </w:rPr>
              <w:t>定标结束后，招标人应在3日内将定标结果通过四川省公共资源交易信息网等指定媒介进行公示，公示期不少于3日。</w:t>
            </w:r>
          </w:p>
        </w:tc>
      </w:tr>
      <w:tr w14:paraId="4FF31466">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19170CE3">
            <w:pPr>
              <w:spacing w:line="360" w:lineRule="auto"/>
              <w:jc w:val="center"/>
              <w:rPr>
                <w:rFonts w:ascii="宋体" w:hAnsi="宋体"/>
              </w:rPr>
            </w:pPr>
            <w:r>
              <w:rPr>
                <w:rFonts w:ascii="宋体" w:hAnsi="宋体" w:hint="eastAsia"/>
              </w:rPr>
              <w:t>10.14</w:t>
            </w:r>
          </w:p>
        </w:tc>
        <w:tc>
          <w:tcPr>
            <w:tcW w:w="2069" w:type="dxa"/>
            <w:tcBorders>
              <w:top w:val="single" w:sz="2" w:space="0" w:color="auto"/>
              <w:left w:val="single" w:sz="2" w:space="0" w:color="auto"/>
              <w:bottom w:val="single" w:sz="2" w:space="0" w:color="auto"/>
              <w:right w:val="single" w:sz="2" w:space="0" w:color="auto"/>
            </w:tcBorders>
            <w:vAlign w:val="center"/>
          </w:tcPr>
          <w:p w14:paraId="6E954918">
            <w:pPr>
              <w:spacing w:line="360" w:lineRule="auto"/>
              <w:jc w:val="center"/>
              <w:rPr>
                <w:rFonts w:ascii="宋体" w:hAnsi="宋体"/>
              </w:rPr>
            </w:pPr>
            <w:r>
              <w:rPr>
                <w:rFonts w:ascii="宋体" w:hAnsi="宋体" w:hint="eastAsia"/>
              </w:rPr>
              <w:t>计算机辅助评标</w:t>
            </w:r>
          </w:p>
        </w:tc>
        <w:tc>
          <w:tcPr>
            <w:tcW w:w="6027" w:type="dxa"/>
            <w:tcBorders>
              <w:top w:val="single" w:sz="2" w:space="0" w:color="auto"/>
              <w:left w:val="single" w:sz="2" w:space="0" w:color="auto"/>
              <w:bottom w:val="single" w:sz="2" w:space="0" w:color="auto"/>
              <w:right w:val="single" w:sz="2" w:space="0" w:color="auto"/>
            </w:tcBorders>
            <w:vAlign w:val="center"/>
          </w:tcPr>
          <w:p w14:paraId="3444CC6F">
            <w:pPr>
              <w:spacing w:line="360" w:lineRule="auto"/>
              <w:rPr>
                <w:rFonts w:ascii="宋体" w:hAnsi="宋体"/>
                <w:lang w:eastAsia="zh-CN"/>
              </w:rPr>
            </w:pPr>
            <w:r>
              <w:rPr>
                <w:rFonts w:ascii="宋体" w:hAnsi="宋体" w:hint="eastAsia"/>
                <w:lang w:eastAsia="zh-CN"/>
              </w:rPr>
              <w:t>本次招标采用计算机辅助评标系统进行评标，投标人应保证其所递交的包含TBJ格式的已标价工程量清单文件。</w:t>
            </w:r>
          </w:p>
        </w:tc>
      </w:tr>
      <w:tr w14:paraId="5009904C">
        <w:tblPrEx>
          <w:tblW w:w="15173" w:type="dxa"/>
          <w:tblInd w:w="0" w:type="dxa"/>
          <w:tblLayout w:type="fixed"/>
          <w:tblCellMar>
            <w:top w:w="0" w:type="dxa"/>
            <w:left w:w="108" w:type="dxa"/>
            <w:bottom w:w="0" w:type="dxa"/>
            <w:right w:w="108" w:type="dxa"/>
          </w:tblCellMar>
        </w:tblPrEx>
        <w:tc>
          <w:tcPr>
            <w:tcW w:w="1050" w:type="dxa"/>
            <w:tcBorders>
              <w:top w:val="single" w:sz="2" w:space="0" w:color="auto"/>
              <w:left w:val="single" w:sz="2" w:space="0" w:color="auto"/>
              <w:bottom w:val="single" w:sz="2" w:space="0" w:color="auto"/>
              <w:right w:val="single" w:sz="2" w:space="0" w:color="auto"/>
            </w:tcBorders>
            <w:shd w:val="clear" w:color="auto" w:fill="auto"/>
            <w:vAlign w:val="center"/>
          </w:tcPr>
          <w:p w14:paraId="43BE4615">
            <w:pPr>
              <w:adjustRightInd w:val="0"/>
              <w:snapToGrid w:val="0"/>
              <w:spacing w:line="360" w:lineRule="auto"/>
              <w:rPr>
                <w:rFonts w:ascii="宋体" w:eastAsia="宋体" w:hAnsi="宋体" w:cs="宋体" w:hint="default"/>
                <w:color w:val="000000" w:themeColor="text1"/>
                <w:sz w:val="24"/>
                <w:szCs w:val="24"/>
                <w:lang w:val="en-US" w:eastAsia="zh-CN" w:bidi="ar-SA"/>
                <w14:textFill>
                  <w14:solidFill>
                    <w14:schemeClr w14:val="tx1"/>
                  </w14:solidFill>
                </w14:textFill>
              </w:rPr>
            </w:pPr>
            <w:r>
              <w:rPr>
                <w:rFonts w:ascii="宋体" w:eastAsia="宋体" w:hAnsi="宋体" w:cs="宋体" w:hint="eastAsia"/>
                <w:color w:val="000000" w:themeColor="text1"/>
                <w:sz w:val="24"/>
                <w:szCs w:val="24"/>
                <w:lang w:val="en-US" w:eastAsia="zh-CN" w:bidi="ar-SA"/>
                <w14:textFill>
                  <w14:solidFill>
                    <w14:schemeClr w14:val="tx1"/>
                  </w14:solidFill>
                </w14:textFill>
              </w:rPr>
              <w:t>10.15</w:t>
            </w:r>
          </w:p>
        </w:tc>
        <w:tc>
          <w:tcPr>
            <w:tcW w:w="2069" w:type="dxa"/>
            <w:tcBorders>
              <w:top w:val="single" w:sz="2" w:space="0" w:color="auto"/>
              <w:left w:val="single" w:sz="2" w:space="0" w:color="auto"/>
              <w:bottom w:val="single" w:sz="2" w:space="0" w:color="auto"/>
              <w:right w:val="single" w:sz="2" w:space="0" w:color="auto"/>
            </w:tcBorders>
            <w:shd w:val="clear" w:color="auto" w:fill="auto"/>
            <w:vAlign w:val="center"/>
          </w:tcPr>
          <w:p w14:paraId="3CBDB47F">
            <w:pPr>
              <w:adjustRightInd w:val="0"/>
              <w:snapToGrid w:val="0"/>
              <w:spacing w:line="360" w:lineRule="auto"/>
              <w:jc w:val="center"/>
              <w:rPr>
                <w:rFonts w:ascii="宋体" w:eastAsia="宋体" w:hAnsi="宋体" w:cs="宋体" w:hint="eastAsia"/>
                <w:color w:val="000000" w:themeColor="text1"/>
                <w:sz w:val="24"/>
                <w:szCs w:val="24"/>
                <w:highlight w:val="none"/>
                <w:lang w:val="en-US" w:eastAsia="en-US" w:bidi="ar-SA"/>
                <w14:textFill>
                  <w14:solidFill>
                    <w14:schemeClr w14:val="tx1"/>
                  </w14:solidFill>
                </w14:textFill>
              </w:rPr>
            </w:pPr>
            <w:r>
              <w:rPr>
                <w:rFonts w:ascii="宋体" w:eastAsia="宋体" w:hAnsi="宋体" w:cs="宋体" w:hint="eastAsia"/>
                <w:sz w:val="24"/>
                <w:szCs w:val="24"/>
                <w:highlight w:val="none"/>
                <w:lang w:val="en-US" w:eastAsia="zh-CN"/>
              </w:rPr>
              <w:t>视为“串通投标”的情形</w:t>
            </w:r>
          </w:p>
        </w:tc>
        <w:tc>
          <w:tcPr>
            <w:tcW w:w="6027" w:type="dxa"/>
            <w:tcBorders>
              <w:top w:val="single" w:sz="2" w:space="0" w:color="auto"/>
              <w:left w:val="single" w:sz="2" w:space="0" w:color="auto"/>
              <w:bottom w:val="single" w:sz="2" w:space="0" w:color="auto"/>
              <w:right w:val="single" w:sz="2" w:space="0" w:color="auto"/>
            </w:tcBorders>
            <w:shd w:val="clear" w:color="auto" w:fill="auto"/>
            <w:vAlign w:val="center"/>
          </w:tcPr>
          <w:p w14:paraId="23DA5A72">
            <w:pPr>
              <w:adjustRightInd w:val="0"/>
              <w:snapToGrid w:val="0"/>
              <w:spacing w:line="360" w:lineRule="auto"/>
              <w:rPr>
                <w:rFonts w:ascii="宋体" w:eastAsia="宋体" w:hAnsi="宋体" w:cs="宋体" w:hint="eastAsia"/>
                <w:sz w:val="24"/>
                <w:szCs w:val="24"/>
                <w:highlight w:val="none"/>
                <w:lang w:val="en-US" w:eastAsia="zh-CN"/>
              </w:rPr>
            </w:pPr>
            <w:r>
              <w:rPr>
                <w:rFonts w:ascii="宋体" w:eastAsia="宋体" w:hAnsi="宋体" w:cs="宋体" w:hint="eastAsia"/>
                <w:sz w:val="24"/>
                <w:szCs w:val="24"/>
                <w:highlight w:val="none"/>
                <w:lang w:val="en-US" w:eastAsia="zh-CN"/>
              </w:rPr>
              <w:t>以下情形视为第三章“评标办法”第3.1.2（2）项的“串通投标”情形，评标委员会应按照评标办法“注（7）”的规定进行认定处理，可以视情况要求投标人予以澄清、说明：</w:t>
            </w:r>
          </w:p>
          <w:p w14:paraId="6E78135E">
            <w:pPr>
              <w:adjustRightInd w:val="0"/>
              <w:snapToGrid w:val="0"/>
              <w:spacing w:line="360" w:lineRule="auto"/>
              <w:rPr>
                <w:rFonts w:ascii="宋体" w:eastAsia="宋体" w:hAnsi="宋体" w:cs="宋体" w:hint="eastAsia"/>
                <w:sz w:val="24"/>
                <w:szCs w:val="24"/>
                <w:highlight w:val="none"/>
              </w:rPr>
            </w:pPr>
            <w:r>
              <w:rPr>
                <w:rFonts w:ascii="宋体" w:eastAsia="宋体" w:hAnsi="宋体" w:cs="宋体" w:hint="eastAsia"/>
                <w:sz w:val="24"/>
                <w:szCs w:val="24"/>
                <w:highlight w:val="none"/>
                <w:lang w:val="en-US" w:eastAsia="zh-CN"/>
              </w:rPr>
              <w:t xml:space="preserve">（1）不同投标人的投标文件由同一单位或者个人编制〔包括但不限于：a.同一标段的不同投标人电子投标文件编制时的机器码(计算机网卡MAC 地址、CPU 编号和硬盘信息)均相同的；b.不同投标人的投标价格清单的计价软件编号、机器码任一条相同的〕。 </w:t>
            </w:r>
          </w:p>
          <w:p w14:paraId="7FF8325B">
            <w:pPr>
              <w:adjustRightInd w:val="0"/>
              <w:snapToGrid w:val="0"/>
              <w:spacing w:line="360" w:lineRule="auto"/>
              <w:rPr>
                <w:rFonts w:ascii="宋体" w:eastAsia="宋体" w:hAnsi="宋体" w:cs="宋体" w:hint="eastAsia"/>
                <w:sz w:val="24"/>
                <w:szCs w:val="24"/>
                <w:highlight w:val="none"/>
              </w:rPr>
            </w:pPr>
            <w:r>
              <w:rPr>
                <w:rFonts w:ascii="宋体" w:eastAsia="宋体" w:hAnsi="宋体" w:cs="宋体" w:hint="eastAsia"/>
                <w:sz w:val="24"/>
                <w:szCs w:val="24"/>
                <w:highlight w:val="none"/>
                <w:lang w:val="en-US" w:eastAsia="zh-CN"/>
              </w:rPr>
              <w:t xml:space="preserve">（2）不同投标人委托同一单位或者个人办理投标事宜〔包括但不限于：a.不同投标人从同一投标单位或同一自然人的互联网协议（IP）地址上传投标文件；b.购买电子保函或参加投标活动的人员为同一标段其他投标人的在职人员〕。 </w:t>
            </w:r>
          </w:p>
          <w:p w14:paraId="739FAEBB">
            <w:pPr>
              <w:adjustRightInd w:val="0"/>
              <w:snapToGrid w:val="0"/>
              <w:spacing w:line="360" w:lineRule="auto"/>
              <w:rPr>
                <w:rFonts w:ascii="宋体" w:eastAsia="宋体" w:hAnsi="宋体" w:cs="宋体" w:hint="eastAsia"/>
                <w:sz w:val="24"/>
                <w:szCs w:val="24"/>
                <w:highlight w:val="none"/>
              </w:rPr>
            </w:pPr>
            <w:r>
              <w:rPr>
                <w:rFonts w:ascii="宋体" w:eastAsia="宋体" w:hAnsi="宋体" w:cs="宋体" w:hint="eastAsia"/>
                <w:sz w:val="24"/>
                <w:szCs w:val="24"/>
                <w:highlight w:val="none"/>
                <w:lang w:val="en-US" w:eastAsia="zh-CN"/>
              </w:rPr>
              <w:t xml:space="preserve">（3）不同投标人的投标文件载明的项目管理成员为同一人。 </w:t>
            </w:r>
          </w:p>
          <w:p w14:paraId="22D7D809">
            <w:pPr>
              <w:adjustRightInd w:val="0"/>
              <w:snapToGrid w:val="0"/>
              <w:spacing w:line="360" w:lineRule="auto"/>
              <w:rPr>
                <w:rFonts w:ascii="宋体" w:eastAsia="宋体" w:hAnsi="宋体" w:cs="宋体" w:hint="eastAsia"/>
                <w:sz w:val="24"/>
                <w:szCs w:val="24"/>
                <w:highlight w:val="none"/>
              </w:rPr>
            </w:pPr>
            <w:r>
              <w:rPr>
                <w:rFonts w:ascii="宋体" w:eastAsia="宋体" w:hAnsi="宋体" w:cs="宋体" w:hint="eastAsia"/>
                <w:sz w:val="24"/>
                <w:szCs w:val="24"/>
                <w:highlight w:val="none"/>
                <w:lang w:val="en-US" w:eastAsia="zh-CN"/>
              </w:rPr>
              <w:t xml:space="preserve">（4）不同投标人的投标文件异常一致或者投标报价呈规律性差异。 </w:t>
            </w:r>
          </w:p>
          <w:p w14:paraId="6E3491E7">
            <w:pPr>
              <w:adjustRightInd w:val="0"/>
              <w:snapToGrid w:val="0"/>
              <w:spacing w:line="360" w:lineRule="auto"/>
              <w:rPr>
                <w:rFonts w:ascii="宋体" w:eastAsia="宋体" w:hAnsi="宋体" w:cs="宋体" w:hint="eastAsia"/>
                <w:sz w:val="24"/>
                <w:szCs w:val="24"/>
                <w:highlight w:val="none"/>
              </w:rPr>
            </w:pPr>
            <w:r>
              <w:rPr>
                <w:rFonts w:ascii="宋体" w:eastAsia="宋体" w:hAnsi="宋体" w:cs="宋体" w:hint="eastAsia"/>
                <w:sz w:val="24"/>
                <w:szCs w:val="24"/>
                <w:highlight w:val="none"/>
                <w:lang w:val="en-US" w:eastAsia="zh-CN"/>
              </w:rPr>
              <w:t xml:space="preserve">（5）不同投标人的投标文件相互混装。 </w:t>
            </w:r>
          </w:p>
          <w:p w14:paraId="6AAAB339">
            <w:pPr>
              <w:adjustRightInd w:val="0"/>
              <w:snapToGrid w:val="0"/>
              <w:spacing w:line="360" w:lineRule="auto"/>
              <w:rPr>
                <w:rFonts w:ascii="宋体" w:eastAsia="宋体" w:hAnsi="宋体" w:cs="宋体" w:hint="eastAsia"/>
                <w:sz w:val="24"/>
                <w:szCs w:val="24"/>
                <w:highlight w:val="none"/>
              </w:rPr>
            </w:pPr>
            <w:r>
              <w:rPr>
                <w:rFonts w:ascii="宋体" w:eastAsia="宋体" w:hAnsi="宋体" w:cs="宋体" w:hint="eastAsia"/>
                <w:sz w:val="24"/>
                <w:szCs w:val="24"/>
                <w:highlight w:val="none"/>
                <w:lang w:val="en-US" w:eastAsia="zh-CN"/>
              </w:rPr>
              <w:t>（6）不同投标人的投标保证金从同一单位或者个人的账户转出（包括但不限于：不同投标人通过同一单位或者个人账户购买电子保函）。</w:t>
            </w:r>
          </w:p>
          <w:p w14:paraId="5E4BB1A3">
            <w:pPr>
              <w:adjustRightInd w:val="0"/>
              <w:snapToGrid w:val="0"/>
              <w:spacing w:line="360" w:lineRule="auto"/>
              <w:rPr>
                <w:rFonts w:ascii="宋体" w:hAnsi="宋体" w:eastAsiaTheme="minorEastAsia" w:cs="Times New Roman" w:hint="eastAsia"/>
                <w:color w:val="000000" w:themeColor="text1"/>
                <w:sz w:val="24"/>
                <w:szCs w:val="24"/>
                <w:highlight w:val="none"/>
                <w:lang w:val="en-US" w:eastAsia="zh-CN" w:bidi="ar-SA"/>
                <w14:textFill>
                  <w14:solidFill>
                    <w14:schemeClr w14:val="tx1"/>
                  </w14:solidFill>
                </w14:textFill>
              </w:rPr>
            </w:pPr>
            <w:r>
              <w:rPr>
                <w:rFonts w:ascii="宋体" w:eastAsia="宋体" w:hAnsi="宋体" w:cs="宋体" w:hint="eastAsia"/>
                <w:sz w:val="24"/>
                <w:szCs w:val="24"/>
                <w:highlight w:val="none"/>
                <w:lang w:val="en-US" w:eastAsia="zh-CN"/>
              </w:rPr>
              <w:t>评标委员会发现的以上情形，招标人应在评标结束后及时向有关行政监督部门报告。</w:t>
            </w:r>
          </w:p>
        </w:tc>
        <w:tc>
          <w:tcPr>
            <w:tcW w:w="602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1AE6DB4">
            <w:pPr>
              <w:adjustRightInd w:val="0"/>
              <w:snapToGrid w:val="0"/>
              <w:spacing w:line="360" w:lineRule="auto"/>
              <w:rPr>
                <w:rFonts w:ascii="宋体" w:hAnsi="宋体" w:eastAsiaTheme="minorEastAsia" w:cs="Times New Roman" w:hint="eastAsia"/>
                <w:color w:val="000000" w:themeColor="text1"/>
                <w:sz w:val="24"/>
                <w:szCs w:val="24"/>
                <w:lang w:val="en-US" w:eastAsia="zh-CN" w:bidi="ar-SA"/>
                <w14:textFill>
                  <w14:solidFill>
                    <w14:schemeClr w14:val="tx1"/>
                  </w14:solidFill>
                </w14:textFill>
              </w:rPr>
            </w:pPr>
            <w:r>
              <w:rPr>
                <w:rFonts w:ascii="宋体" w:eastAsia="宋体" w:hAnsi="宋体" w:cs="宋体" w:hint="eastAsia"/>
                <w:sz w:val="24"/>
                <w:szCs w:val="24"/>
                <w:highlight w:val="cyan"/>
              </w:rPr>
              <w:t>中标候选人公示</w:t>
            </w:r>
            <w:r>
              <w:rPr>
                <w:rFonts w:ascii="宋体" w:eastAsia="宋体" w:hAnsi="宋体" w:cs="宋体" w:hint="eastAsia"/>
                <w:sz w:val="24"/>
                <w:szCs w:val="24"/>
                <w:highlight w:val="cyan"/>
                <w:lang w:eastAsia="zh-CN"/>
              </w:rPr>
              <w:t>、</w:t>
            </w:r>
            <w:r>
              <w:rPr>
                <w:rFonts w:ascii="宋体" w:eastAsia="宋体" w:hAnsi="宋体" w:cs="宋体" w:hint="eastAsia"/>
                <w:sz w:val="24"/>
                <w:szCs w:val="24"/>
                <w:highlight w:val="cyan"/>
                <w:lang w:val="en-US" w:eastAsia="zh-CN"/>
              </w:rPr>
              <w:t>定标结果公示</w:t>
            </w:r>
            <w:r>
              <w:rPr>
                <w:rFonts w:ascii="宋体" w:eastAsia="宋体" w:hAnsi="宋体" w:cs="宋体" w:hint="eastAsia"/>
                <w:sz w:val="24"/>
                <w:szCs w:val="24"/>
                <w:highlight w:val="cyan"/>
              </w:rPr>
              <w:t>媒介及期限</w:t>
            </w:r>
          </w:p>
        </w:tc>
      </w:tr>
      <w:tr w14:paraId="4D968690">
        <w:tblPrEx>
          <w:tblW w:w="15173" w:type="dxa"/>
          <w:tblInd w:w="0" w:type="dxa"/>
          <w:tblLayout w:type="fixed"/>
          <w:tblCellMar>
            <w:top w:w="0" w:type="dxa"/>
            <w:left w:w="108" w:type="dxa"/>
            <w:bottom w:w="0" w:type="dxa"/>
            <w:right w:w="108" w:type="dxa"/>
          </w:tblCellMar>
        </w:tblPrEx>
        <w:tc>
          <w:tcPr>
            <w:tcW w:w="1050" w:type="dxa"/>
            <w:tcBorders>
              <w:top w:val="single" w:sz="2" w:space="0" w:color="auto"/>
              <w:left w:val="single" w:sz="2" w:space="0" w:color="auto"/>
              <w:bottom w:val="single" w:sz="2" w:space="0" w:color="auto"/>
              <w:right w:val="single" w:sz="2" w:space="0" w:color="auto"/>
            </w:tcBorders>
            <w:shd w:val="clear" w:color="auto" w:fill="auto"/>
            <w:vAlign w:val="center"/>
          </w:tcPr>
          <w:p w14:paraId="58E3005C">
            <w:pPr>
              <w:adjustRightInd w:val="0"/>
              <w:snapToGrid w:val="0"/>
              <w:spacing w:line="360" w:lineRule="auto"/>
              <w:rPr>
                <w:rFonts w:ascii="宋体" w:hAnsi="宋体" w:eastAsiaTheme="minorEastAsia" w:cs="宋体" w:hint="default"/>
                <w:color w:val="000000" w:themeColor="text1"/>
                <w:sz w:val="24"/>
                <w:szCs w:val="24"/>
                <w:lang w:val="en-US" w:eastAsia="zh-CN"/>
                <w14:textFill>
                  <w14:solidFill>
                    <w14:schemeClr w14:val="tx1"/>
                  </w14:solidFill>
                </w14:textFill>
              </w:rPr>
            </w:pPr>
            <w:r>
              <w:rPr>
                <w:rFonts w:ascii="宋体" w:hAnsi="宋体" w:cs="宋体" w:hint="eastAsia"/>
                <w:color w:val="000000" w:themeColor="text1"/>
                <w:sz w:val="24"/>
                <w:szCs w:val="24"/>
                <w:lang w:val="en-US" w:eastAsia="zh-CN"/>
                <w14:textFill>
                  <w14:solidFill>
                    <w14:schemeClr w14:val="tx1"/>
                  </w14:solidFill>
                </w14:textFill>
              </w:rPr>
              <w:t>10.16</w:t>
            </w:r>
          </w:p>
        </w:tc>
        <w:tc>
          <w:tcPr>
            <w:tcW w:w="2069" w:type="dxa"/>
            <w:tcBorders>
              <w:top w:val="single" w:sz="2" w:space="0" w:color="auto"/>
              <w:left w:val="single" w:sz="2" w:space="0" w:color="auto"/>
              <w:bottom w:val="single" w:sz="2" w:space="0" w:color="auto"/>
              <w:right w:val="single" w:sz="2" w:space="0" w:color="auto"/>
            </w:tcBorders>
            <w:shd w:val="clear" w:color="auto" w:fill="auto"/>
            <w:vAlign w:val="center"/>
          </w:tcPr>
          <w:p w14:paraId="2138C464">
            <w:pPr>
              <w:adjustRightInd w:val="0"/>
              <w:snapToGrid w:val="0"/>
              <w:spacing w:line="360" w:lineRule="auto"/>
              <w:rPr>
                <w:rFonts w:ascii="宋体" w:hAnsi="宋体" w:eastAsiaTheme="minorEastAsia" w:cs="宋体" w:hint="eastAsia"/>
                <w:color w:val="000000" w:themeColor="text1"/>
                <w:sz w:val="24"/>
                <w:szCs w:val="24"/>
                <w:lang w:val="en-US" w:eastAsia="en-US" w:bidi="ar-SA"/>
                <w14:textFill>
                  <w14:solidFill>
                    <w14:schemeClr w14:val="tx1"/>
                  </w14:solidFill>
                </w14:textFill>
              </w:rPr>
            </w:pPr>
            <w:r>
              <w:rPr>
                <w:rFonts w:ascii="宋体" w:eastAsia="宋体" w:hAnsi="宋体" w:cs="宋体" w:hint="eastAsia"/>
                <w:sz w:val="24"/>
                <w:szCs w:val="24"/>
                <w:highlight w:val="none"/>
                <w:lang w:val="en-US" w:eastAsia="zh-CN"/>
              </w:rPr>
              <w:t>是否采用“暗标”评审方式</w:t>
            </w:r>
          </w:p>
        </w:tc>
        <w:tc>
          <w:tcPr>
            <w:tcW w:w="6027" w:type="dxa"/>
            <w:tcBorders>
              <w:top w:val="single" w:sz="2" w:space="0" w:color="auto"/>
              <w:left w:val="single" w:sz="2" w:space="0" w:color="auto"/>
              <w:bottom w:val="single" w:sz="2" w:space="0" w:color="auto"/>
              <w:right w:val="single" w:sz="2" w:space="0" w:color="auto"/>
            </w:tcBorders>
            <w:shd w:val="clear" w:color="auto" w:fill="auto"/>
            <w:vAlign w:val="center"/>
          </w:tcPr>
          <w:p w14:paraId="61E42465">
            <w:pPr>
              <w:adjustRightInd w:val="0"/>
              <w:snapToGrid w:val="0"/>
              <w:spacing w:line="360" w:lineRule="auto"/>
              <w:rPr>
                <w:rFonts w:ascii="宋体" w:eastAsia="宋体" w:hAnsi="宋体" w:cs="宋体" w:hint="eastAsia"/>
                <w:sz w:val="24"/>
                <w:szCs w:val="24"/>
                <w:highlight w:val="none"/>
                <w:lang w:val="en-US" w:eastAsia="zh-CN"/>
              </w:rPr>
            </w:pPr>
            <w:r>
              <w:rPr>
                <w:rFonts w:ascii="宋体" w:eastAsia="宋体" w:hAnsi="宋体" w:cs="宋体" w:hint="eastAsia"/>
                <w:sz w:val="24"/>
                <w:szCs w:val="24"/>
                <w:highlight w:val="none"/>
                <w:lang w:val="en-US" w:eastAsia="zh-CN"/>
              </w:rPr>
              <w:t>□ 不采用</w:t>
            </w:r>
          </w:p>
          <w:p w14:paraId="35018484">
            <w:pPr>
              <w:spacing w:line="360" w:lineRule="auto"/>
              <w:rPr>
                <w:rFonts w:ascii="宋体" w:eastAsia="宋体" w:hAnsi="宋体" w:cs="宋体" w:hint="eastAsia"/>
                <w:color w:val="auto"/>
                <w:kern w:val="2"/>
                <w:sz w:val="24"/>
                <w:szCs w:val="24"/>
                <w:highlight w:val="none"/>
                <w:lang w:val="en-US" w:eastAsia="zh-CN" w:bidi="ar-SA"/>
              </w:rPr>
            </w:pPr>
            <w:r>
              <w:rPr>
                <w:rFonts w:ascii="宋体" w:eastAsia="宋体" w:hAnsi="宋体" w:cs="宋体" w:hint="eastAsia"/>
                <w:sz w:val="24"/>
                <w:szCs w:val="24"/>
                <w:highlight w:val="none"/>
                <w:lang w:val="en-US" w:eastAsia="zh-CN"/>
              </w:rPr>
              <w:t>☑</w:t>
            </w:r>
            <w:r>
              <w:rPr>
                <w:rFonts w:ascii="宋体" w:eastAsia="宋体" w:hAnsi="宋体" w:cs="宋体" w:hint="eastAsia"/>
                <w:color w:val="auto"/>
                <w:kern w:val="2"/>
                <w:sz w:val="24"/>
                <w:szCs w:val="24"/>
                <w:highlight w:val="none"/>
                <w:lang w:val="en-US" w:eastAsia="zh-CN" w:bidi="ar-SA"/>
              </w:rPr>
              <w:t>采用（适用综合评估法），勘察纲要/设计方案（设计大纲）/勘察纲要、设计大纲/监理大纲/施工组织设计/承包人建议书和承包人实施方案采用暗标评审方式，投标文件该部分需单独编制，且要求如下：</w:t>
            </w:r>
          </w:p>
          <w:p w14:paraId="1FB6CEFE">
            <w:pPr>
              <w:spacing w:line="360" w:lineRule="auto"/>
              <w:rPr>
                <w:rFonts w:ascii="宋体" w:eastAsia="宋体" w:hAnsi="宋体" w:cs="宋体" w:hint="eastAsia"/>
                <w:color w:val="auto"/>
                <w:kern w:val="2"/>
                <w:sz w:val="24"/>
                <w:szCs w:val="24"/>
                <w:highlight w:val="none"/>
                <w:lang w:val="en-US" w:eastAsia="zh-CN" w:bidi="ar-SA"/>
              </w:rPr>
            </w:pPr>
            <w:r>
              <w:rPr>
                <w:rFonts w:ascii="宋体" w:eastAsia="宋体" w:hAnsi="宋体" w:cs="宋体" w:hint="eastAsia"/>
                <w:color w:val="auto"/>
                <w:kern w:val="2"/>
                <w:sz w:val="24"/>
                <w:szCs w:val="24"/>
                <w:highlight w:val="none"/>
                <w:lang w:val="en-US" w:eastAsia="zh-CN" w:bidi="ar-SA"/>
              </w:rPr>
              <w:t>1.投标文件暗标部分均不得出现可能泄露投标人单位及个人信息的文字、图片、图表等有关表述或者任何标记，否则</w:t>
            </w:r>
            <w:r>
              <w:rPr>
                <w:rFonts w:ascii="宋体" w:hAnsi="宋体" w:hint="eastAsia"/>
                <w:sz w:val="24"/>
                <w:szCs w:val="24"/>
                <w:highlight w:val="none"/>
              </w:rPr>
              <w:t>，评标委员会对其投标文件作否决投标处理。</w:t>
            </w:r>
          </w:p>
          <w:p w14:paraId="6D8A57E6">
            <w:pPr>
              <w:spacing w:line="360" w:lineRule="auto"/>
              <w:rPr>
                <w:rFonts w:ascii="宋体" w:eastAsia="宋体" w:hAnsi="宋体" w:cs="宋体" w:hint="eastAsia"/>
                <w:color w:val="auto"/>
                <w:kern w:val="2"/>
                <w:sz w:val="24"/>
                <w:szCs w:val="24"/>
                <w:highlight w:val="none"/>
                <w:lang w:val="en-US" w:eastAsia="zh-CN" w:bidi="ar-SA"/>
              </w:rPr>
            </w:pPr>
            <w:r>
              <w:rPr>
                <w:rFonts w:ascii="宋体" w:eastAsia="宋体" w:hAnsi="宋体" w:cs="宋体" w:hint="eastAsia"/>
                <w:color w:val="auto"/>
                <w:kern w:val="2"/>
                <w:sz w:val="24"/>
                <w:szCs w:val="24"/>
                <w:highlight w:val="none"/>
                <w:lang w:val="en-US" w:eastAsia="zh-CN" w:bidi="ar-SA"/>
              </w:rPr>
              <w:t>2.在评审暗标部分时，需要向投标人发出澄清的，不得出现可能泄露投标人单位及个人信息的文字、图片、图表等有关表述或者任何标记，否则</w:t>
            </w:r>
            <w:r>
              <w:rPr>
                <w:rFonts w:ascii="宋体" w:hAnsi="宋体" w:hint="eastAsia"/>
                <w:sz w:val="24"/>
                <w:szCs w:val="24"/>
                <w:highlight w:val="none"/>
              </w:rPr>
              <w:t>投标文件作否决投标处理。</w:t>
            </w:r>
          </w:p>
          <w:p w14:paraId="4067F54A">
            <w:pPr>
              <w:spacing w:line="360" w:lineRule="auto"/>
              <w:rPr>
                <w:rFonts w:ascii="宋体" w:eastAsia="宋体" w:hAnsi="宋体" w:cs="宋体" w:hint="eastAsia"/>
                <w:color w:val="auto"/>
                <w:kern w:val="2"/>
                <w:sz w:val="24"/>
                <w:szCs w:val="24"/>
                <w:highlight w:val="none"/>
                <w:lang w:val="en-US" w:eastAsia="zh-CN" w:bidi="ar-SA"/>
              </w:rPr>
            </w:pPr>
            <w:r>
              <w:rPr>
                <w:rFonts w:ascii="宋体" w:eastAsia="宋体" w:hAnsi="宋体" w:cs="宋体" w:hint="eastAsia"/>
                <w:color w:val="auto"/>
                <w:kern w:val="2"/>
                <w:sz w:val="24"/>
                <w:szCs w:val="24"/>
                <w:highlight w:val="none"/>
                <w:lang w:val="en-US" w:eastAsia="zh-CN" w:bidi="ar-SA"/>
              </w:rPr>
              <w:t>3. 投标人使用投标文件编制工具编制暗标部分内容，投标文件编制工具将所有投标人投标文件中的此部分内容规范成统一格式。</w:t>
            </w:r>
          </w:p>
          <w:p w14:paraId="11143B27">
            <w:pPr>
              <w:adjustRightInd w:val="0"/>
              <w:snapToGrid w:val="0"/>
              <w:spacing w:line="360" w:lineRule="auto"/>
              <w:rPr>
                <w:rFonts w:ascii="宋体" w:eastAsia="宋体" w:hAnsi="宋体" w:cs="宋体" w:hint="eastAsia"/>
                <w:b w:val="0"/>
                <w:bCs w:val="0"/>
                <w:color w:val="auto"/>
                <w:kern w:val="2"/>
                <w:sz w:val="24"/>
                <w:szCs w:val="24"/>
                <w:highlight w:val="none"/>
                <w:u w:val="none"/>
                <w:lang w:val="en-US" w:eastAsia="zh-CN" w:bidi="ar-SA"/>
              </w:rPr>
            </w:pPr>
            <w:r>
              <w:rPr>
                <w:rFonts w:ascii="宋体" w:eastAsia="宋体" w:hAnsi="宋体" w:cs="宋体" w:hint="eastAsia"/>
                <w:b w:val="0"/>
                <w:bCs w:val="0"/>
                <w:color w:val="auto"/>
                <w:kern w:val="2"/>
                <w:sz w:val="24"/>
                <w:szCs w:val="24"/>
                <w:highlight w:val="none"/>
                <w:lang w:val="en-US" w:eastAsia="zh-CN" w:bidi="ar-SA"/>
              </w:rPr>
              <w:t>4.暗标部分的页数不得超过</w:t>
            </w:r>
            <w:r>
              <w:rPr>
                <w:rFonts w:ascii="宋体" w:eastAsia="宋体" w:hAnsi="宋体" w:cs="宋体" w:hint="eastAsia"/>
                <w:b w:val="0"/>
                <w:bCs w:val="0"/>
                <w:color w:val="auto"/>
                <w:kern w:val="2"/>
                <w:sz w:val="24"/>
                <w:szCs w:val="24"/>
                <w:highlight w:val="none"/>
                <w:u w:val="single"/>
                <w:lang w:val="en-US" w:eastAsia="zh-CN" w:bidi="ar-SA"/>
              </w:rPr>
              <w:t xml:space="preserve">  500   </w:t>
            </w:r>
            <w:r>
              <w:rPr>
                <w:rFonts w:ascii="宋体" w:eastAsia="宋体" w:hAnsi="宋体" w:cs="宋体" w:hint="eastAsia"/>
                <w:b w:val="0"/>
                <w:bCs w:val="0"/>
                <w:color w:val="auto"/>
                <w:kern w:val="2"/>
                <w:sz w:val="24"/>
                <w:szCs w:val="24"/>
                <w:highlight w:val="none"/>
                <w:u w:val="none"/>
                <w:lang w:val="en-US" w:eastAsia="zh-CN" w:bidi="ar-SA"/>
              </w:rPr>
              <w:t>页（由招标人结合项目特点设定）。</w:t>
            </w:r>
          </w:p>
          <w:p w14:paraId="090E5F7B">
            <w:pPr>
              <w:adjustRightInd w:val="0"/>
              <w:snapToGrid w:val="0"/>
              <w:spacing w:line="360" w:lineRule="auto"/>
              <w:rPr>
                <w:rFonts w:ascii="宋体" w:hAnsi="宋体"/>
                <w:sz w:val="24"/>
                <w:szCs w:val="24"/>
              </w:rPr>
            </w:pPr>
            <w:r>
              <w:rPr>
                <w:rFonts w:ascii="宋体" w:hAnsi="宋体" w:cs="宋体" w:hint="eastAsia"/>
                <w:sz w:val="24"/>
                <w:szCs w:val="24"/>
                <w:highlight w:val="none"/>
              </w:rPr>
              <w:t>5</w:t>
            </w:r>
            <w:r>
              <w:rPr>
                <w:rFonts w:ascii="宋体" w:hAnsi="宋体" w:cs="宋体"/>
                <w:sz w:val="24"/>
                <w:szCs w:val="24"/>
                <w:highlight w:val="none"/>
              </w:rPr>
              <w:t>.</w:t>
            </w:r>
            <w:r>
              <w:rPr>
                <w:rFonts w:ascii="宋体" w:hAnsi="宋体" w:hint="eastAsia"/>
                <w:sz w:val="24"/>
                <w:szCs w:val="24"/>
                <w:highlight w:val="none"/>
              </w:rPr>
              <w:t xml:space="preserve"> </w:t>
            </w:r>
            <w:r>
              <w:rPr>
                <w:rFonts w:ascii="宋体" w:hAnsi="宋体" w:hint="eastAsia"/>
                <w:sz w:val="24"/>
                <w:szCs w:val="24"/>
              </w:rPr>
              <w:t>评标委员会“暗标”部分评审结论提交后，原则上不允许修改“暗标”部分的评审结果。</w:t>
            </w:r>
          </w:p>
          <w:p w14:paraId="11F6CDA8">
            <w:sdt>
              <w:sdtPr>
                <w:rPr>
                  <w:rFonts w:ascii="宋体" w:hAnsi="宋体" w:eastAsiaTheme="minorEastAsia" w:cs="Times New Roman" w:hint="eastAsia"/>
                  <w:sz w:val="24"/>
                  <w:szCs w:val="24"/>
                  <w:lang w:val="en-US" w:eastAsia="en-US" w:bidi="ar-SA"/>
                </w:rPr>
                <w:id w:val="147459682"/>
                <w14:checkbox>
                  <w14:checked w14:val="1"/>
                  <w14:checkedState w14:val="2611" w14:font="MS Gothic"/>
                  <w14:uncheckedState w14:val="2610" w14:font="MS Gothic"/>
                </w14:checkbox>
              </w:sdtPr>
              <w:sdtEndPr>
                <w:rPr>
                  <w:rFonts w:ascii="宋体" w:hAnsi="宋体" w:eastAsiaTheme="minorEastAsia" w:cs="Times New Roman" w:hint="eastAsia"/>
                  <w:sz w:val="24"/>
                  <w:szCs w:val="24"/>
                  <w:lang w:val="en-US" w:eastAsia="en-US" w:bidi="ar-SA"/>
                </w:rPr>
              </w:sdtEndPr>
              <w:sdtContent>
                <w:r>
                  <w:rPr>
                    <w:rFonts w:ascii="MS Gothic" w:eastAsia="MS Gothic" w:hAnsi="MS Gothic" w:cs="MS Gothic"/>
                    <w:sz w:val="24"/>
                    <w:szCs w:val="24"/>
                    <w:lang w:val="en-US" w:eastAsia="en-US" w:bidi="ar-SA"/>
                  </w:rPr>
                  <w:t>☑</w:t>
                </w:r>
              </w:sdtContent>
            </w:sdt>
            <w:r>
              <w:rPr>
                <w:rFonts w:ascii="宋体" w:hAnsi="宋体" w:hint="eastAsia"/>
                <w:sz w:val="24"/>
                <w:szCs w:val="24"/>
              </w:rPr>
              <w:t>6</w:t>
            </w:r>
            <w:r>
              <w:rPr>
                <w:rFonts w:ascii="宋体" w:hAnsi="宋体"/>
                <w:sz w:val="24"/>
                <w:szCs w:val="24"/>
              </w:rPr>
              <w:t>.</w:t>
            </w:r>
            <w:r>
              <w:rPr>
                <w:rFonts w:hint="eastAsia"/>
              </w:rPr>
              <w:t xml:space="preserve"> </w:t>
            </w:r>
            <w:r>
              <w:rPr>
                <w:rFonts w:ascii="宋体" w:hAnsi="宋体" w:hint="eastAsia"/>
                <w:sz w:val="24"/>
                <w:szCs w:val="24"/>
              </w:rPr>
              <w:t>滥用人工智能软件编制冗长、无序的投标文件等影响正常评审秩序的投标文件作否决投标处理。</w:t>
            </w:r>
          </w:p>
          <w:p w14:paraId="6A2F28DA"/>
          <w:p w14:paraId="29FF3236"/>
          <w:p w14:paraId="18AFEABB"/>
          <w:p w14:paraId="4E482445"/>
          <w:p w14:paraId="2F516170"/>
          <w:p w14:paraId="229A6EED">
            <w:pPr>
              <w:adjustRightInd w:val="0"/>
              <w:snapToGrid w:val="0"/>
              <w:spacing w:line="360" w:lineRule="auto"/>
              <w:rPr>
                <w:rFonts w:ascii="宋体" w:hAnsi="宋体" w:eastAsiaTheme="minorEastAsia" w:cs="Times New Roman" w:hint="eastAsia"/>
                <w:color w:val="000000" w:themeColor="text1"/>
                <w:sz w:val="24"/>
                <w:szCs w:val="24"/>
                <w:lang w:val="en-US" w:eastAsia="en-US" w:bidi="ar-SA"/>
                <w14:textFill>
                  <w14:solidFill>
                    <w14:schemeClr w14:val="tx1"/>
                  </w14:solidFill>
                </w14:textFill>
              </w:rPr>
            </w:pPr>
          </w:p>
        </w:tc>
        <w:tc>
          <w:tcPr>
            <w:tcW w:w="602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8032CDB">
            <w:pPr>
              <w:adjustRightInd w:val="0"/>
              <w:snapToGrid w:val="0"/>
              <w:spacing w:line="360" w:lineRule="auto"/>
              <w:rPr>
                <w:rFonts w:ascii="Times New Roman" w:hAnsi="Times New Roman" w:eastAsiaTheme="minorEastAsia" w:cs="Times New Roman" w:hint="eastAsia"/>
                <w:color w:val="000000" w:themeColor="text1"/>
                <w:spacing w:val="-6"/>
                <w:sz w:val="24"/>
                <w:szCs w:val="24"/>
                <w:lang w:val="en-US" w:eastAsia="en-US" w:bidi="ar-SA"/>
                <w14:textFill>
                  <w14:solidFill>
                    <w14:schemeClr w14:val="tx1"/>
                  </w14:solidFill>
                </w14:textFill>
              </w:rPr>
            </w:pPr>
            <w:r>
              <w:rPr>
                <w:rFonts w:ascii="宋体" w:eastAsia="宋体" w:hAnsi="宋体" w:cs="宋体" w:hint="eastAsia"/>
                <w:sz w:val="24"/>
                <w:szCs w:val="24"/>
                <w:highlight w:val="cyan"/>
              </w:rPr>
              <w:t>中标候选人公示</w:t>
            </w:r>
            <w:r>
              <w:rPr>
                <w:rFonts w:ascii="宋体" w:eastAsia="宋体" w:hAnsi="宋体" w:cs="宋体" w:hint="eastAsia"/>
                <w:sz w:val="24"/>
                <w:szCs w:val="24"/>
                <w:highlight w:val="cyan"/>
                <w:lang w:eastAsia="zh-CN"/>
              </w:rPr>
              <w:t>、</w:t>
            </w:r>
            <w:r>
              <w:rPr>
                <w:rFonts w:ascii="宋体" w:eastAsia="宋体" w:hAnsi="宋体" w:cs="宋体" w:hint="eastAsia"/>
                <w:sz w:val="24"/>
                <w:szCs w:val="24"/>
                <w:highlight w:val="cyan"/>
                <w:lang w:val="en-US" w:eastAsia="zh-CN"/>
              </w:rPr>
              <w:t>定标结果公示</w:t>
            </w:r>
            <w:r>
              <w:rPr>
                <w:rFonts w:ascii="宋体" w:eastAsia="宋体" w:hAnsi="宋体" w:cs="宋体" w:hint="eastAsia"/>
                <w:sz w:val="24"/>
                <w:szCs w:val="24"/>
                <w:highlight w:val="cyan"/>
              </w:rPr>
              <w:t>媒介及期限</w:t>
            </w:r>
          </w:p>
        </w:tc>
      </w:tr>
      <w:tr w14:paraId="734E4F1F">
        <w:tblPrEx>
          <w:tblW w:w="15173" w:type="dxa"/>
          <w:tblInd w:w="0" w:type="dxa"/>
          <w:tblLayout w:type="fixed"/>
          <w:tblCellMar>
            <w:top w:w="0" w:type="dxa"/>
            <w:left w:w="108" w:type="dxa"/>
            <w:bottom w:w="0" w:type="dxa"/>
            <w:right w:w="108" w:type="dxa"/>
          </w:tblCellMar>
        </w:tblPrEx>
        <w:trPr>
          <w:gridAfter w:val="1"/>
          <w:wAfter w:w="5981" w:type="dxa"/>
        </w:trPr>
        <w:tc>
          <w:tcPr>
            <w:tcW w:w="9192" w:type="dxa"/>
            <w:gridSpan w:val="4"/>
            <w:tcBorders>
              <w:top w:val="single" w:sz="2" w:space="0" w:color="auto"/>
              <w:left w:val="single" w:sz="2" w:space="0" w:color="auto"/>
              <w:bottom w:val="single" w:sz="2" w:space="0" w:color="auto"/>
              <w:right w:val="single" w:sz="2" w:space="0" w:color="auto"/>
            </w:tcBorders>
            <w:vAlign w:val="center"/>
          </w:tcPr>
          <w:p w14:paraId="3C2E403B">
            <w:pPr>
              <w:spacing w:line="360" w:lineRule="auto"/>
              <w:jc w:val="center"/>
              <w:rPr>
                <w:rFonts w:ascii="宋体" w:hAnsi="宋体"/>
                <w:lang w:eastAsia="zh-CN"/>
              </w:rPr>
            </w:pPr>
            <w:r>
              <w:rPr>
                <w:rFonts w:ascii="宋体" w:hAnsi="宋体" w:cs="宋体" w:hint="eastAsia"/>
                <w:lang w:eastAsia="zh-CN"/>
              </w:rPr>
              <w:t>投标人须知前附表增加条款表</w:t>
            </w:r>
          </w:p>
        </w:tc>
      </w:tr>
      <w:tr w14:paraId="26A1A0B9">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6C0F321D">
            <w:pPr>
              <w:spacing w:line="360" w:lineRule="auto"/>
              <w:jc w:val="center"/>
              <w:rPr>
                <w:rFonts w:ascii="宋体" w:hAnsi="宋体"/>
              </w:rPr>
            </w:pPr>
            <w:r>
              <w:rPr>
                <w:rFonts w:ascii="宋体" w:hAnsi="宋体" w:cs="宋体" w:hint="eastAsia"/>
              </w:rPr>
              <w:t>条款号</w:t>
            </w:r>
          </w:p>
        </w:tc>
        <w:tc>
          <w:tcPr>
            <w:tcW w:w="2069" w:type="dxa"/>
            <w:tcBorders>
              <w:top w:val="single" w:sz="2" w:space="0" w:color="auto"/>
              <w:left w:val="single" w:sz="2" w:space="0" w:color="auto"/>
              <w:bottom w:val="single" w:sz="2" w:space="0" w:color="auto"/>
              <w:right w:val="single" w:sz="2" w:space="0" w:color="auto"/>
            </w:tcBorders>
            <w:vAlign w:val="center"/>
          </w:tcPr>
          <w:p w14:paraId="3D6A7089">
            <w:pPr>
              <w:spacing w:line="360" w:lineRule="auto"/>
              <w:jc w:val="center"/>
              <w:rPr>
                <w:rFonts w:ascii="宋体" w:hAnsi="宋体"/>
              </w:rPr>
            </w:pPr>
            <w:r>
              <w:rPr>
                <w:rFonts w:ascii="宋体" w:hAnsi="宋体" w:cs="宋体" w:hint="eastAsia"/>
              </w:rPr>
              <w:t>条款名称</w:t>
            </w:r>
          </w:p>
        </w:tc>
        <w:tc>
          <w:tcPr>
            <w:tcW w:w="6027" w:type="dxa"/>
            <w:tcBorders>
              <w:top w:val="single" w:sz="2" w:space="0" w:color="auto"/>
              <w:left w:val="single" w:sz="2" w:space="0" w:color="auto"/>
              <w:bottom w:val="single" w:sz="2" w:space="0" w:color="auto"/>
              <w:right w:val="single" w:sz="2" w:space="0" w:color="auto"/>
            </w:tcBorders>
            <w:vAlign w:val="center"/>
          </w:tcPr>
          <w:p w14:paraId="4A4BD27A">
            <w:pPr>
              <w:spacing w:line="360" w:lineRule="auto"/>
              <w:jc w:val="center"/>
              <w:rPr>
                <w:rFonts w:ascii="宋体" w:hAnsi="宋体"/>
              </w:rPr>
            </w:pPr>
            <w:r>
              <w:rPr>
                <w:rFonts w:ascii="宋体" w:hAnsi="宋体" w:cs="宋体" w:hint="eastAsia"/>
              </w:rPr>
              <w:t>编列内容</w:t>
            </w:r>
          </w:p>
        </w:tc>
      </w:tr>
      <w:tr w14:paraId="23C2D4B3">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4E7685F">
            <w:pPr>
              <w:spacing w:line="360" w:lineRule="auto"/>
              <w:jc w:val="center"/>
              <w:rPr>
                <w:rFonts w:ascii="宋体" w:hAnsi="宋体"/>
              </w:rPr>
            </w:pPr>
            <w:r>
              <w:rPr>
                <w:rFonts w:ascii="宋体" w:hAnsi="宋体" w:cs="宋体" w:hint="eastAsia"/>
              </w:rPr>
              <w:t>…10.17…</w:t>
            </w:r>
          </w:p>
        </w:tc>
        <w:tc>
          <w:tcPr>
            <w:tcW w:w="2069" w:type="dxa"/>
            <w:tcBorders>
              <w:top w:val="single" w:sz="2" w:space="0" w:color="auto"/>
              <w:left w:val="single" w:sz="2" w:space="0" w:color="auto"/>
              <w:bottom w:val="single" w:sz="2" w:space="0" w:color="auto"/>
              <w:right w:val="single" w:sz="2" w:space="0" w:color="auto"/>
            </w:tcBorders>
            <w:vAlign w:val="center"/>
          </w:tcPr>
          <w:p w14:paraId="0E0D40BF">
            <w:pPr>
              <w:spacing w:line="360" w:lineRule="auto"/>
              <w:jc w:val="center"/>
              <w:rPr>
                <w:rFonts w:ascii="宋体" w:hAnsi="宋体"/>
              </w:rPr>
            </w:pPr>
            <w:r>
              <w:rPr>
                <w:rFonts w:ascii="宋体" w:hAnsi="宋体" w:cs="宋体" w:hint="eastAsia"/>
              </w:rPr>
              <w:t>…其他要求…</w:t>
            </w:r>
          </w:p>
        </w:tc>
        <w:tc>
          <w:tcPr>
            <w:tcW w:w="6027" w:type="dxa"/>
            <w:tcBorders>
              <w:top w:val="single" w:sz="2" w:space="0" w:color="auto"/>
              <w:left w:val="single" w:sz="2" w:space="0" w:color="auto"/>
              <w:bottom w:val="single" w:sz="2" w:space="0" w:color="auto"/>
              <w:right w:val="single" w:sz="2" w:space="0" w:color="auto"/>
            </w:tcBorders>
            <w:vAlign w:val="center"/>
          </w:tcPr>
          <w:p w14:paraId="56B54F08">
            <w:pPr>
              <w:spacing w:line="360" w:lineRule="auto"/>
              <w:rPr>
                <w:rFonts w:ascii="宋体" w:hAnsi="宋体"/>
              </w:rPr>
            </w:pPr>
            <w:r>
              <w:rPr>
                <w:rFonts w:ascii="宋体" w:hAnsi="宋体" w:cs="宋体" w:hint="eastAsia"/>
              </w:rPr>
              <w:t>…</w:t>
            </w:r>
            <w:r>
              <w:rPr>
                <w:rFonts w:ascii="宋体" w:hAnsi="宋体" w:cs="宋体" w:hint="eastAsia"/>
                <w:lang w:val="en-US" w:eastAsia="zh-CN"/>
              </w:rPr>
              <w:t>1、</w:t>
            </w:r>
            <w:r>
              <w:rPr>
                <w:rFonts w:ascii="宋体" w:hAnsi="宋体" w:cs="宋体" w:hint="eastAsia"/>
              </w:rPr>
              <w:t>投标人须书面承诺完全接受本招标文件约定的全过程履约考核、分级预警、强制清退；若中标后出现考核不合格、严重违约或触发清退情形，自愿接受全部处罚、清退出场、承担全部损失。（履约考核及清退管理办法详见招标文件附件，书面承诺格式不限，加盖投标人单位公章）…</w:t>
            </w:r>
          </w:p>
        </w:tc>
      </w:tr>
      <w:tr w14:paraId="6AC925FE">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26B9B63">
            <w:pPr>
              <w:spacing w:line="360" w:lineRule="auto"/>
              <w:jc w:val="center"/>
              <w:rPr>
                <w:rFonts w:ascii="宋体" w:hAnsi="宋体"/>
              </w:rPr>
            </w:pPr>
            <w:r>
              <w:rPr>
                <w:rFonts w:ascii="宋体" w:hAnsi="宋体" w:cs="宋体" w:hint="eastAsia"/>
              </w:rPr>
              <w:t>……</w:t>
            </w:r>
          </w:p>
        </w:tc>
        <w:tc>
          <w:tcPr>
            <w:tcW w:w="2069" w:type="dxa"/>
            <w:tcBorders>
              <w:top w:val="single" w:sz="2" w:space="0" w:color="auto"/>
              <w:left w:val="single" w:sz="2" w:space="0" w:color="auto"/>
              <w:bottom w:val="single" w:sz="2" w:space="0" w:color="auto"/>
              <w:right w:val="single" w:sz="2" w:space="0" w:color="auto"/>
            </w:tcBorders>
            <w:vAlign w:val="center"/>
          </w:tcPr>
          <w:p w14:paraId="36E0C66A">
            <w:pPr>
              <w:spacing w:line="360" w:lineRule="auto"/>
              <w:jc w:val="center"/>
              <w:rPr>
                <w:rFonts w:ascii="宋体" w:hAnsi="宋体"/>
              </w:rPr>
            </w:pPr>
            <w:r>
              <w:rPr>
                <w:rFonts w:ascii="宋体" w:hAnsi="宋体" w:cs="宋体" w:hint="eastAsia"/>
              </w:rPr>
              <w:t>……</w:t>
            </w:r>
          </w:p>
        </w:tc>
        <w:tc>
          <w:tcPr>
            <w:tcW w:w="6027" w:type="dxa"/>
            <w:tcBorders>
              <w:top w:val="single" w:sz="2" w:space="0" w:color="auto"/>
              <w:left w:val="single" w:sz="2" w:space="0" w:color="auto"/>
              <w:bottom w:val="single" w:sz="2" w:space="0" w:color="auto"/>
              <w:right w:val="single" w:sz="2" w:space="0" w:color="auto"/>
            </w:tcBorders>
            <w:vAlign w:val="center"/>
          </w:tcPr>
          <w:p w14:paraId="49C21152">
            <w:pPr>
              <w:spacing w:line="360" w:lineRule="auto"/>
              <w:rPr>
                <w:rFonts w:ascii="宋体" w:hAnsi="宋体"/>
              </w:rPr>
            </w:pPr>
            <w:r>
              <w:rPr>
                <w:rFonts w:ascii="宋体" w:hAnsi="宋体" w:cs="宋体" w:hint="eastAsia"/>
              </w:rPr>
              <w:t>……</w:t>
            </w:r>
          </w:p>
        </w:tc>
      </w:tr>
      <w:tr w14:paraId="190CC72A">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9028CE6">
            <w:pPr>
              <w:spacing w:line="360" w:lineRule="auto"/>
              <w:jc w:val="center"/>
              <w:rPr>
                <w:rFonts w:ascii="宋体" w:hAnsi="宋体" w:cs="宋体"/>
              </w:rPr>
            </w:pPr>
            <w:r>
              <w:rPr>
                <w:rFonts w:ascii="宋体" w:hAnsi="宋体" w:cs="宋体" w:hint="eastAsia"/>
              </w:rPr>
              <w:t>……</w:t>
            </w:r>
          </w:p>
        </w:tc>
        <w:tc>
          <w:tcPr>
            <w:tcW w:w="2069" w:type="dxa"/>
            <w:tcBorders>
              <w:top w:val="single" w:sz="2" w:space="0" w:color="auto"/>
              <w:left w:val="single" w:sz="2" w:space="0" w:color="auto"/>
              <w:bottom w:val="single" w:sz="2" w:space="0" w:color="auto"/>
              <w:right w:val="single" w:sz="2" w:space="0" w:color="auto"/>
            </w:tcBorders>
            <w:vAlign w:val="center"/>
          </w:tcPr>
          <w:p w14:paraId="3F601F12">
            <w:pPr>
              <w:spacing w:line="360" w:lineRule="auto"/>
              <w:jc w:val="center"/>
              <w:rPr>
                <w:rFonts w:ascii="宋体" w:hAnsi="宋体" w:cs="宋体"/>
              </w:rPr>
            </w:pPr>
            <w:r>
              <w:rPr>
                <w:rFonts w:ascii="宋体" w:hAnsi="宋体" w:cs="宋体" w:hint="eastAsia"/>
              </w:rPr>
              <w:t>……</w:t>
            </w:r>
          </w:p>
        </w:tc>
        <w:tc>
          <w:tcPr>
            <w:tcW w:w="6027" w:type="dxa"/>
            <w:tcBorders>
              <w:top w:val="single" w:sz="2" w:space="0" w:color="auto"/>
              <w:left w:val="single" w:sz="2" w:space="0" w:color="auto"/>
              <w:bottom w:val="single" w:sz="2" w:space="0" w:color="auto"/>
              <w:right w:val="single" w:sz="2" w:space="0" w:color="auto"/>
            </w:tcBorders>
            <w:vAlign w:val="center"/>
          </w:tcPr>
          <w:p w14:paraId="010FEB53">
            <w:pPr>
              <w:spacing w:line="360" w:lineRule="auto"/>
              <w:rPr>
                <w:rFonts w:ascii="宋体" w:hAnsi="宋体" w:cs="宋体"/>
              </w:rPr>
            </w:pPr>
            <w:r>
              <w:rPr>
                <w:rFonts w:ascii="宋体" w:hAnsi="宋体" w:cs="宋体" w:hint="eastAsia"/>
              </w:rPr>
              <w:t>……</w:t>
            </w:r>
          </w:p>
        </w:tc>
      </w:tr>
      <w:tr w14:paraId="47761DE8">
        <w:tblPrEx>
          <w:tblW w:w="15173" w:type="dxa"/>
          <w:tblInd w:w="0" w:type="dxa"/>
          <w:tblLayout w:type="fixed"/>
          <w:tblCellMar>
            <w:top w:w="0" w:type="dxa"/>
            <w:left w:w="108" w:type="dxa"/>
            <w:bottom w:w="0" w:type="dxa"/>
            <w:right w:w="108" w:type="dxa"/>
          </w:tblCellMar>
        </w:tblPrEx>
        <w:trPr>
          <w:gridAfter w:val="2"/>
          <w:wAfter w:w="6027" w:type="dxa"/>
        </w:trPr>
        <w:tc>
          <w:tcPr>
            <w:tcW w:w="1050" w:type="dxa"/>
            <w:tcBorders>
              <w:top w:val="single" w:sz="2" w:space="0" w:color="auto"/>
              <w:left w:val="single" w:sz="2" w:space="0" w:color="auto"/>
              <w:bottom w:val="single" w:sz="2" w:space="0" w:color="auto"/>
              <w:right w:val="single" w:sz="2" w:space="0" w:color="auto"/>
            </w:tcBorders>
            <w:vAlign w:val="center"/>
          </w:tcPr>
          <w:p w14:paraId="51AFBEC1">
            <w:pPr>
              <w:spacing w:line="360" w:lineRule="auto"/>
              <w:jc w:val="center"/>
              <w:rPr>
                <w:rFonts w:ascii="宋体" w:hAnsi="宋体" w:cs="宋体"/>
              </w:rPr>
            </w:pPr>
            <w:r>
              <w:rPr>
                <w:rFonts w:ascii="宋体" w:hAnsi="宋体" w:cs="宋体" w:hint="eastAsia"/>
              </w:rPr>
              <w:t>……</w:t>
            </w:r>
          </w:p>
        </w:tc>
        <w:tc>
          <w:tcPr>
            <w:tcW w:w="2069" w:type="dxa"/>
            <w:tcBorders>
              <w:top w:val="single" w:sz="2" w:space="0" w:color="auto"/>
              <w:left w:val="single" w:sz="2" w:space="0" w:color="auto"/>
              <w:bottom w:val="single" w:sz="2" w:space="0" w:color="auto"/>
              <w:right w:val="single" w:sz="2" w:space="0" w:color="auto"/>
            </w:tcBorders>
            <w:vAlign w:val="center"/>
          </w:tcPr>
          <w:p w14:paraId="00F29475">
            <w:pPr>
              <w:spacing w:line="360" w:lineRule="auto"/>
              <w:jc w:val="center"/>
              <w:rPr>
                <w:rFonts w:ascii="宋体" w:hAnsi="宋体" w:cs="宋体"/>
              </w:rPr>
            </w:pPr>
            <w:r>
              <w:rPr>
                <w:rFonts w:ascii="宋体" w:hAnsi="宋体" w:cs="宋体" w:hint="eastAsia"/>
              </w:rPr>
              <w:t>……</w:t>
            </w:r>
          </w:p>
        </w:tc>
        <w:tc>
          <w:tcPr>
            <w:tcW w:w="6027" w:type="dxa"/>
            <w:tcBorders>
              <w:top w:val="single" w:sz="2" w:space="0" w:color="auto"/>
              <w:left w:val="single" w:sz="2" w:space="0" w:color="auto"/>
              <w:bottom w:val="single" w:sz="2" w:space="0" w:color="auto"/>
              <w:right w:val="single" w:sz="2" w:space="0" w:color="auto"/>
            </w:tcBorders>
            <w:vAlign w:val="center"/>
          </w:tcPr>
          <w:p w14:paraId="2916E8D5">
            <w:pPr>
              <w:spacing w:line="360" w:lineRule="auto"/>
              <w:rPr>
                <w:rFonts w:ascii="宋体" w:hAnsi="宋体" w:cs="宋体"/>
              </w:rPr>
            </w:pPr>
            <w:r>
              <w:rPr>
                <w:rFonts w:ascii="宋体" w:hAnsi="宋体" w:cs="宋体" w:hint="eastAsia"/>
              </w:rPr>
              <w:t>……</w:t>
            </w:r>
          </w:p>
        </w:tc>
      </w:tr>
    </w:tbl>
    <w:p w14:paraId="71B27778">
      <w:pPr>
        <w:spacing w:line="36" w:lineRule="auto"/>
        <w:rPr>
          <w:rFonts w:ascii="宋体" w:hAnsi="宋体"/>
          <w:kern w:val="2"/>
          <w:sz w:val="27"/>
          <w:szCs w:val="22"/>
        </w:rPr>
      </w:pPr>
    </w:p>
    <w:p w14:paraId="56CFFD2E">
      <w:pPr>
        <w:rPr>
          <w:rFonts w:ascii="宋体" w:hAnsi="宋体"/>
          <w:sz w:val="27"/>
        </w:rPr>
      </w:pPr>
      <w:r>
        <w:rPr>
          <w:rFonts w:ascii="宋体" w:hAnsi="宋体" w:hint="eastAsia"/>
          <w:sz w:val="27"/>
        </w:rPr>
        <w:br w:type="page"/>
      </w:r>
    </w:p>
    <w:p w14:paraId="6566C91F">
      <w:pPr>
        <w:spacing w:line="36" w:lineRule="auto"/>
        <w:rPr>
          <w:rFonts w:ascii="宋体" w:hAnsi="宋体"/>
          <w:sz w:val="27"/>
        </w:rPr>
      </w:pPr>
    </w:p>
    <w:p w14:paraId="567E8FC8">
      <w:pPr>
        <w:pStyle w:val="Heading2"/>
        <w:rPr>
          <w:rFonts w:ascii="宋体" w:hAnsi="宋体"/>
          <w:sz w:val="24"/>
          <w:szCs w:val="24"/>
        </w:rPr>
      </w:pPr>
      <w:bookmarkStart w:id="10" w:name="_Toc256000002"/>
      <w:r>
        <w:rPr>
          <w:rFonts w:ascii="宋体" w:hAnsi="宋体" w:hint="eastAsia"/>
          <w:sz w:val="24"/>
          <w:szCs w:val="24"/>
        </w:rPr>
        <w:t>1.  总则</w:t>
      </w:r>
      <w:bookmarkEnd w:id="10"/>
    </w:p>
    <w:p w14:paraId="58372AAD">
      <w:pPr>
        <w:pStyle w:val="Heading3"/>
        <w:rPr>
          <w:rFonts w:ascii="宋体" w:hAnsi="宋体"/>
          <w:sz w:val="24"/>
          <w:szCs w:val="24"/>
        </w:rPr>
      </w:pPr>
      <w:bookmarkStart w:id="11" w:name="_Toc256000003"/>
      <w:r>
        <w:rPr>
          <w:rFonts w:ascii="宋体" w:hAnsi="宋体" w:hint="eastAsia"/>
          <w:sz w:val="24"/>
          <w:szCs w:val="24"/>
        </w:rPr>
        <w:t>1.1  项目概况</w:t>
      </w:r>
      <w:bookmarkEnd w:id="11"/>
    </w:p>
    <w:p w14:paraId="7CA7D2B1">
      <w:pPr>
        <w:spacing w:line="360" w:lineRule="auto"/>
        <w:ind w:firstLine="425" w:firstLineChars="177"/>
        <w:rPr>
          <w:rFonts w:ascii="宋体" w:hAnsi="宋体"/>
          <w:lang w:eastAsia="zh-CN"/>
        </w:rPr>
      </w:pPr>
      <w:r>
        <w:rPr>
          <w:rFonts w:ascii="宋体" w:hAnsi="宋体" w:hint="eastAsia"/>
          <w:lang w:eastAsia="zh-CN"/>
        </w:rPr>
        <w:t>1.1.1  根据《中华人民共和国招标投标法》</w:t>
      </w:r>
      <w:r>
        <w:rPr>
          <w:rFonts w:ascii="宋体" w:hAnsi="宋体" w:cs="宋体" w:hint="eastAsia"/>
          <w:lang w:eastAsia="zh-CN"/>
        </w:rPr>
        <w:t>、《中华人民共和国招标投标法实施条例》</w:t>
      </w:r>
      <w:r>
        <w:rPr>
          <w:rFonts w:ascii="宋体" w:hAnsi="宋体" w:hint="eastAsia"/>
          <w:lang w:eastAsia="zh-CN"/>
        </w:rPr>
        <w:t>等有关法律、法规和规章的规定，本招标项目已具备招标条件，现对施工进行招标。</w:t>
      </w:r>
    </w:p>
    <w:p w14:paraId="0449FDC6">
      <w:pPr>
        <w:spacing w:line="360" w:lineRule="auto"/>
        <w:ind w:firstLine="425" w:firstLineChars="177"/>
        <w:rPr>
          <w:rFonts w:ascii="宋体" w:hAnsi="宋体"/>
          <w:lang w:eastAsia="zh-CN"/>
        </w:rPr>
      </w:pPr>
      <w:r>
        <w:rPr>
          <w:rFonts w:ascii="宋体" w:hAnsi="宋体" w:hint="eastAsia"/>
          <w:lang w:eastAsia="zh-CN"/>
        </w:rPr>
        <w:t>1.1.2  本招标项目招标人：见投标人须知前附表。</w:t>
      </w:r>
    </w:p>
    <w:p w14:paraId="1B11DDB6">
      <w:pPr>
        <w:spacing w:line="360" w:lineRule="auto"/>
        <w:ind w:firstLine="425" w:firstLineChars="177"/>
        <w:rPr>
          <w:rFonts w:ascii="宋体" w:hAnsi="宋体"/>
          <w:lang w:eastAsia="zh-CN"/>
        </w:rPr>
      </w:pPr>
      <w:r>
        <w:rPr>
          <w:rFonts w:ascii="宋体" w:hAnsi="宋体" w:hint="eastAsia"/>
          <w:lang w:eastAsia="zh-CN"/>
        </w:rPr>
        <w:t>1.1.3  本标段招标代理机构：见投标人须知前附表。</w:t>
      </w:r>
    </w:p>
    <w:p w14:paraId="25EC4B12">
      <w:pPr>
        <w:spacing w:line="360" w:lineRule="auto"/>
        <w:ind w:firstLine="425" w:firstLineChars="177"/>
        <w:rPr>
          <w:rFonts w:ascii="宋体" w:hAnsi="宋体"/>
          <w:lang w:eastAsia="zh-CN"/>
        </w:rPr>
      </w:pPr>
      <w:r>
        <w:rPr>
          <w:rFonts w:ascii="宋体" w:hAnsi="宋体" w:hint="eastAsia"/>
          <w:lang w:eastAsia="zh-CN"/>
        </w:rPr>
        <w:t>1.1.4  本招标项目名称：见投标人须知前附表。</w:t>
      </w:r>
    </w:p>
    <w:p w14:paraId="4D86EE95">
      <w:pPr>
        <w:spacing w:line="360" w:lineRule="auto"/>
        <w:ind w:firstLine="425" w:firstLineChars="177"/>
        <w:rPr>
          <w:rFonts w:ascii="宋体" w:hAnsi="宋体"/>
          <w:lang w:eastAsia="zh-CN"/>
        </w:rPr>
      </w:pPr>
      <w:r>
        <w:rPr>
          <w:rFonts w:ascii="宋体" w:hAnsi="宋体" w:hint="eastAsia"/>
          <w:lang w:eastAsia="zh-CN"/>
        </w:rPr>
        <w:t>1.1.5  本标段建设地点：见投标人须知前附表。</w:t>
      </w:r>
    </w:p>
    <w:p w14:paraId="52EEE918">
      <w:pPr>
        <w:pStyle w:val="Heading3"/>
        <w:rPr>
          <w:rFonts w:ascii="宋体" w:hAnsi="宋体"/>
          <w:sz w:val="24"/>
          <w:szCs w:val="24"/>
        </w:rPr>
      </w:pPr>
      <w:bookmarkStart w:id="12" w:name="_Toc256000004"/>
      <w:r>
        <w:rPr>
          <w:rFonts w:ascii="宋体" w:hAnsi="宋体" w:hint="eastAsia"/>
          <w:sz w:val="24"/>
          <w:szCs w:val="24"/>
        </w:rPr>
        <w:t>1.2  资金来源和落实情况</w:t>
      </w:r>
      <w:bookmarkEnd w:id="12"/>
    </w:p>
    <w:p w14:paraId="1DA45F13">
      <w:pPr>
        <w:spacing w:line="360" w:lineRule="auto"/>
        <w:ind w:firstLine="425" w:firstLineChars="177"/>
        <w:rPr>
          <w:rFonts w:ascii="宋体" w:hAnsi="宋体"/>
          <w:lang w:eastAsia="zh-CN"/>
        </w:rPr>
      </w:pPr>
      <w:r>
        <w:rPr>
          <w:rFonts w:ascii="宋体" w:hAnsi="宋体" w:hint="eastAsia"/>
          <w:lang w:eastAsia="zh-CN"/>
        </w:rPr>
        <w:t>1.2.1  本招标项目的资金来源：见投标人须知前附表。</w:t>
      </w:r>
    </w:p>
    <w:p w14:paraId="17B7B6EF">
      <w:pPr>
        <w:spacing w:line="360" w:lineRule="auto"/>
        <w:ind w:firstLine="425" w:firstLineChars="177"/>
        <w:rPr>
          <w:rFonts w:ascii="宋体" w:hAnsi="宋体"/>
          <w:lang w:eastAsia="zh-CN"/>
        </w:rPr>
      </w:pPr>
      <w:r>
        <w:rPr>
          <w:rFonts w:ascii="宋体" w:hAnsi="宋体" w:hint="eastAsia"/>
          <w:lang w:eastAsia="zh-CN"/>
        </w:rPr>
        <w:t>1.2.2  本招标项目的出资比例：见投标人须知前附表。</w:t>
      </w:r>
    </w:p>
    <w:p w14:paraId="2BCC9693">
      <w:pPr>
        <w:spacing w:line="360" w:lineRule="auto"/>
        <w:ind w:firstLine="425" w:firstLineChars="177"/>
        <w:rPr>
          <w:rFonts w:ascii="宋体" w:hAnsi="宋体"/>
          <w:lang w:eastAsia="zh-CN"/>
        </w:rPr>
      </w:pPr>
      <w:r>
        <w:rPr>
          <w:rFonts w:ascii="宋体" w:hAnsi="宋体" w:hint="eastAsia"/>
          <w:lang w:eastAsia="zh-CN"/>
        </w:rPr>
        <w:t>1.2.3  本招标项目的资金落实情况：见投标人须知前附表。</w:t>
      </w:r>
    </w:p>
    <w:p w14:paraId="4F1BDD5E">
      <w:pPr>
        <w:pStyle w:val="Heading3"/>
        <w:rPr>
          <w:rFonts w:ascii="宋体" w:hAnsi="宋体"/>
          <w:sz w:val="24"/>
          <w:szCs w:val="24"/>
        </w:rPr>
      </w:pPr>
      <w:bookmarkStart w:id="13" w:name="_Toc256000005"/>
      <w:r>
        <w:rPr>
          <w:rFonts w:ascii="宋体" w:hAnsi="宋体" w:hint="eastAsia"/>
          <w:sz w:val="24"/>
          <w:szCs w:val="24"/>
        </w:rPr>
        <w:t>1.3  招标范围、计划工期和质量要求</w:t>
      </w:r>
      <w:bookmarkEnd w:id="13"/>
    </w:p>
    <w:p w14:paraId="1A4BDA21">
      <w:pPr>
        <w:spacing w:line="360" w:lineRule="auto"/>
        <w:ind w:firstLine="425" w:firstLineChars="177"/>
        <w:rPr>
          <w:rFonts w:ascii="宋体" w:hAnsi="宋体"/>
          <w:lang w:eastAsia="zh-CN"/>
        </w:rPr>
      </w:pPr>
      <w:r>
        <w:rPr>
          <w:rFonts w:ascii="宋体" w:hAnsi="宋体" w:hint="eastAsia"/>
          <w:lang w:eastAsia="zh-CN"/>
        </w:rPr>
        <w:t>1.3.1  本次招标范围：见投标人须知前附表。</w:t>
      </w:r>
    </w:p>
    <w:p w14:paraId="02B09DA9">
      <w:pPr>
        <w:spacing w:line="360" w:lineRule="auto"/>
        <w:ind w:firstLine="425" w:firstLineChars="177"/>
        <w:rPr>
          <w:rFonts w:ascii="宋体" w:hAnsi="宋体"/>
          <w:lang w:eastAsia="zh-CN"/>
        </w:rPr>
      </w:pPr>
      <w:r>
        <w:rPr>
          <w:rFonts w:ascii="宋体" w:hAnsi="宋体" w:hint="eastAsia"/>
          <w:lang w:eastAsia="zh-CN"/>
        </w:rPr>
        <w:t>1.3.2  本标段的计划工期：见投标人须知前附表。</w:t>
      </w:r>
    </w:p>
    <w:p w14:paraId="3F6E6294">
      <w:pPr>
        <w:spacing w:line="360" w:lineRule="auto"/>
        <w:ind w:firstLine="425" w:firstLineChars="177"/>
        <w:rPr>
          <w:rFonts w:ascii="宋体" w:hAnsi="宋体"/>
          <w:lang w:eastAsia="zh-CN"/>
        </w:rPr>
      </w:pPr>
      <w:r>
        <w:rPr>
          <w:rFonts w:ascii="宋体" w:hAnsi="宋体" w:hint="eastAsia"/>
          <w:lang w:eastAsia="zh-CN"/>
        </w:rPr>
        <w:t>1.3.3  本标段的质量要求：见投标人须知前附表。</w:t>
      </w:r>
    </w:p>
    <w:p w14:paraId="262DCD8E">
      <w:pPr>
        <w:pStyle w:val="Heading3"/>
        <w:rPr>
          <w:rFonts w:ascii="宋体" w:hAnsi="宋体"/>
          <w:sz w:val="24"/>
          <w:szCs w:val="24"/>
        </w:rPr>
      </w:pPr>
      <w:bookmarkStart w:id="14" w:name="_Toc256000006"/>
      <w:r>
        <w:rPr>
          <w:rFonts w:ascii="宋体" w:hAnsi="宋体" w:hint="eastAsia"/>
          <w:sz w:val="24"/>
          <w:szCs w:val="24"/>
        </w:rPr>
        <w:t>1.4  投标人资格要求（适用于已进行资格预审的）</w:t>
      </w:r>
      <w:bookmarkEnd w:id="14"/>
    </w:p>
    <w:p w14:paraId="19DB25F9">
      <w:pPr>
        <w:spacing w:line="360" w:lineRule="auto"/>
        <w:ind w:firstLine="425" w:firstLineChars="177"/>
        <w:rPr>
          <w:rFonts w:ascii="宋体" w:hAnsi="宋体"/>
          <w:lang w:eastAsia="zh-CN"/>
        </w:rPr>
      </w:pPr>
      <w:r>
        <w:rPr>
          <w:rFonts w:ascii="宋体" w:hAnsi="宋体" w:hint="eastAsia"/>
          <w:lang w:eastAsia="zh-CN"/>
        </w:rPr>
        <w:t>投标人应是收到招标人发出投标邀请书的单位。</w:t>
      </w:r>
    </w:p>
    <w:p w14:paraId="4D45BE9A">
      <w:pPr>
        <w:pStyle w:val="Heading3"/>
        <w:rPr>
          <w:rFonts w:ascii="宋体" w:hAnsi="宋体"/>
          <w:sz w:val="24"/>
          <w:szCs w:val="24"/>
        </w:rPr>
      </w:pPr>
      <w:bookmarkStart w:id="15" w:name="_Toc256000007"/>
      <w:r>
        <w:rPr>
          <w:rFonts w:ascii="宋体" w:hAnsi="宋体" w:hint="eastAsia"/>
          <w:sz w:val="24"/>
          <w:szCs w:val="24"/>
        </w:rPr>
        <w:t>1.4  投标人资格要求（适用于未进行资格预审的）</w:t>
      </w:r>
      <w:bookmarkEnd w:id="15"/>
    </w:p>
    <w:p w14:paraId="5E0283C8">
      <w:pPr>
        <w:spacing w:line="360" w:lineRule="auto"/>
        <w:ind w:firstLine="425" w:firstLineChars="177"/>
        <w:rPr>
          <w:rFonts w:ascii="宋体" w:hAnsi="宋体"/>
          <w:lang w:eastAsia="zh-CN"/>
        </w:rPr>
      </w:pPr>
      <w:r>
        <w:rPr>
          <w:rFonts w:ascii="宋体" w:hAnsi="宋体" w:hint="eastAsia"/>
          <w:lang w:eastAsia="zh-CN"/>
        </w:rPr>
        <w:t>1.4.1 投标人应具备承担本标段施工的资质条件、能力和信誉。</w:t>
      </w:r>
    </w:p>
    <w:p w14:paraId="2964D2F0">
      <w:pPr>
        <w:spacing w:line="360" w:lineRule="auto"/>
        <w:rPr>
          <w:rFonts w:ascii="宋体" w:hAnsi="宋体"/>
          <w:lang w:eastAsia="zh-CN"/>
        </w:rPr>
      </w:pPr>
      <w:r>
        <w:rPr>
          <w:rFonts w:ascii="宋体" w:hAnsi="宋体" w:hint="eastAsia"/>
          <w:lang w:eastAsia="zh-CN"/>
        </w:rPr>
        <w:t xml:space="preserve">    （1）资质条件：见投标人须知前附表；</w:t>
      </w:r>
    </w:p>
    <w:p w14:paraId="1BF2219D">
      <w:pPr>
        <w:spacing w:line="360" w:lineRule="auto"/>
        <w:rPr>
          <w:rFonts w:ascii="宋体" w:hAnsi="宋体"/>
          <w:lang w:eastAsia="zh-CN"/>
        </w:rPr>
      </w:pPr>
      <w:r>
        <w:rPr>
          <w:rFonts w:ascii="宋体" w:hAnsi="宋体" w:hint="eastAsia"/>
          <w:lang w:eastAsia="zh-CN"/>
        </w:rPr>
        <w:t xml:space="preserve">    （2）财务要求：见投标人须知前附表；</w:t>
      </w:r>
    </w:p>
    <w:p w14:paraId="67042EC0">
      <w:pPr>
        <w:spacing w:line="360" w:lineRule="auto"/>
        <w:rPr>
          <w:rFonts w:ascii="宋体" w:hAnsi="宋体"/>
          <w:lang w:eastAsia="zh-CN"/>
        </w:rPr>
      </w:pPr>
      <w:r>
        <w:rPr>
          <w:rFonts w:ascii="宋体" w:hAnsi="宋体" w:hint="eastAsia"/>
          <w:lang w:eastAsia="zh-CN"/>
        </w:rPr>
        <w:t xml:space="preserve">    （3）业绩要求：见投标人须知前附表；</w:t>
      </w:r>
    </w:p>
    <w:p w14:paraId="5D4F90AD">
      <w:pPr>
        <w:spacing w:line="360" w:lineRule="auto"/>
        <w:rPr>
          <w:rFonts w:ascii="宋体" w:hAnsi="宋体"/>
          <w:lang w:eastAsia="zh-CN"/>
        </w:rPr>
      </w:pPr>
      <w:r>
        <w:rPr>
          <w:rFonts w:ascii="宋体" w:hAnsi="宋体" w:hint="eastAsia"/>
          <w:lang w:eastAsia="zh-CN"/>
        </w:rPr>
        <w:t xml:space="preserve">    （4）信誉要求：见投标人须知前附表；</w:t>
      </w:r>
    </w:p>
    <w:p w14:paraId="11C2BE19">
      <w:pPr>
        <w:spacing w:line="360" w:lineRule="auto"/>
        <w:ind w:firstLine="480"/>
        <w:rPr>
          <w:rFonts w:ascii="宋体" w:hAnsi="宋体"/>
          <w:lang w:eastAsia="zh-CN"/>
        </w:rPr>
      </w:pPr>
      <w:r>
        <w:rPr>
          <w:rFonts w:ascii="宋体" w:hAnsi="宋体" w:hint="eastAsia"/>
          <w:lang w:eastAsia="zh-CN"/>
        </w:rPr>
        <w:t>（5）项目经理的资格要求：见投标人须知前附表；</w:t>
      </w:r>
    </w:p>
    <w:p w14:paraId="5D862AF7">
      <w:pPr>
        <w:spacing w:line="360" w:lineRule="auto"/>
        <w:ind w:firstLine="480"/>
        <w:rPr>
          <w:rFonts w:ascii="宋体" w:hAnsi="宋体"/>
          <w:lang w:eastAsia="zh-CN"/>
        </w:rPr>
      </w:pPr>
      <w:r>
        <w:rPr>
          <w:rFonts w:ascii="宋体" w:hAnsi="宋体" w:hint="eastAsia"/>
          <w:lang w:eastAsia="zh-CN"/>
        </w:rPr>
        <w:t>（6）技术负责人的资格要求：见投标人须知前附表；</w:t>
      </w:r>
    </w:p>
    <w:p w14:paraId="418EBA54">
      <w:pPr>
        <w:spacing w:line="360" w:lineRule="auto"/>
        <w:ind w:firstLine="480" w:firstLineChars="200"/>
        <w:rPr>
          <w:rFonts w:ascii="宋体" w:hAnsi="宋体"/>
          <w:u w:val="single"/>
          <w:lang w:eastAsia="zh-CN"/>
        </w:rPr>
      </w:pPr>
      <w:r>
        <w:rPr>
          <w:rFonts w:ascii="宋体" w:hAnsi="宋体" w:hint="eastAsia"/>
          <w:lang w:eastAsia="zh-CN"/>
        </w:rPr>
        <w:t>（7）具备有效的安全生产许可证（园林绿化、电梯安装等不实行安全生产许可的除外）；</w:t>
      </w:r>
    </w:p>
    <w:p w14:paraId="2D68C026">
      <w:pPr>
        <w:spacing w:line="360" w:lineRule="auto"/>
        <w:rPr>
          <w:rFonts w:ascii="宋体" w:hAnsi="宋体"/>
          <w:lang w:eastAsia="zh-CN"/>
        </w:rPr>
      </w:pPr>
      <w:r>
        <w:rPr>
          <w:rFonts w:ascii="宋体" w:hAnsi="宋体" w:hint="eastAsia"/>
          <w:lang w:eastAsia="zh-CN"/>
        </w:rPr>
        <w:t xml:space="preserve">    （8）其他要求：见投标人须知前附表。</w:t>
      </w:r>
    </w:p>
    <w:p w14:paraId="6C753C6A">
      <w:pPr>
        <w:spacing w:line="360" w:lineRule="auto"/>
        <w:ind w:firstLine="425" w:firstLineChars="177"/>
        <w:rPr>
          <w:rFonts w:ascii="宋体" w:hAnsi="宋体"/>
          <w:lang w:eastAsia="zh-CN"/>
        </w:rPr>
      </w:pPr>
      <w:r>
        <w:rPr>
          <w:rFonts w:ascii="宋体" w:hAnsi="宋体" w:hint="eastAsia"/>
          <w:lang w:eastAsia="zh-CN"/>
        </w:rPr>
        <w:t>1.4.2  投标人须知前附表规定接受联合体投标的，除应符合本章第 1.4.1 项和投标人须知前附表的要求外，还应遵守以下规定：</w:t>
      </w:r>
    </w:p>
    <w:p w14:paraId="36DB76F0">
      <w:pPr>
        <w:spacing w:line="360" w:lineRule="auto"/>
        <w:rPr>
          <w:rFonts w:ascii="宋体" w:hAnsi="宋体"/>
          <w:lang w:eastAsia="zh-CN"/>
        </w:rPr>
      </w:pPr>
      <w:r>
        <w:rPr>
          <w:rFonts w:ascii="宋体" w:hAnsi="宋体" w:hint="eastAsia"/>
          <w:lang w:eastAsia="zh-CN"/>
        </w:rPr>
        <w:t xml:space="preserve">    （1）联合体各方应按招标文件提供的格式签订联合体协议书，明确联合体牵头人和各方权利义务；</w:t>
      </w:r>
    </w:p>
    <w:p w14:paraId="695A4D17">
      <w:pPr>
        <w:spacing w:line="360" w:lineRule="auto"/>
        <w:rPr>
          <w:rFonts w:ascii="宋体" w:hAnsi="宋体"/>
          <w:lang w:eastAsia="zh-CN"/>
        </w:rPr>
      </w:pPr>
      <w:r>
        <w:rPr>
          <w:rFonts w:ascii="宋体" w:hAnsi="宋体" w:hint="eastAsia"/>
          <w:lang w:eastAsia="zh-CN"/>
        </w:rPr>
        <w:t xml:space="preserve">    （2）由同一专业的单位组成的联合体，按照资质等级较低的单位确定资质等级；</w:t>
      </w:r>
    </w:p>
    <w:p w14:paraId="72C7DBF0">
      <w:pPr>
        <w:spacing w:line="360" w:lineRule="auto"/>
        <w:rPr>
          <w:rFonts w:ascii="宋体" w:hAnsi="宋体"/>
          <w:lang w:eastAsia="zh-CN"/>
        </w:rPr>
      </w:pPr>
      <w:r>
        <w:rPr>
          <w:rFonts w:ascii="宋体" w:hAnsi="宋体" w:hint="eastAsia"/>
          <w:lang w:eastAsia="zh-CN"/>
        </w:rPr>
        <w:t xml:space="preserve">    （3）联合体各方不得再以自己名义单独或参加其他联合体在同一标段中投标。</w:t>
      </w:r>
    </w:p>
    <w:p w14:paraId="2754F289">
      <w:pPr>
        <w:spacing w:line="360" w:lineRule="auto"/>
        <w:ind w:firstLine="425" w:firstLineChars="177"/>
        <w:rPr>
          <w:rFonts w:ascii="宋体" w:hAnsi="宋体"/>
          <w:lang w:eastAsia="zh-CN"/>
        </w:rPr>
      </w:pPr>
      <w:r>
        <w:rPr>
          <w:rFonts w:ascii="宋体" w:hAnsi="宋体" w:hint="eastAsia"/>
          <w:lang w:eastAsia="zh-CN"/>
        </w:rPr>
        <w:t>1.4.3  投标人不得存在下列情形之一：</w:t>
      </w:r>
    </w:p>
    <w:p w14:paraId="53C5B774">
      <w:pPr>
        <w:spacing w:line="360" w:lineRule="auto"/>
        <w:rPr>
          <w:rFonts w:ascii="宋体" w:hAnsi="宋体"/>
          <w:lang w:eastAsia="zh-CN"/>
        </w:rPr>
      </w:pPr>
      <w:r>
        <w:rPr>
          <w:rFonts w:ascii="宋体" w:hAnsi="宋体" w:hint="eastAsia"/>
          <w:lang w:eastAsia="zh-CN"/>
        </w:rPr>
        <w:t xml:space="preserve">    （1）为招标人不具有独立法人资格的附属机构（单位）；</w:t>
      </w:r>
    </w:p>
    <w:p w14:paraId="4A9FB643">
      <w:pPr>
        <w:spacing w:line="360" w:lineRule="auto"/>
        <w:rPr>
          <w:rFonts w:ascii="宋体" w:hAnsi="宋体"/>
          <w:lang w:eastAsia="zh-CN"/>
        </w:rPr>
      </w:pPr>
      <w:r>
        <w:rPr>
          <w:rFonts w:ascii="宋体" w:hAnsi="宋体" w:hint="eastAsia"/>
          <w:lang w:eastAsia="zh-CN"/>
        </w:rPr>
        <w:t xml:space="preserve">    （2）为本标段前期准备提供设计或咨询服务的；</w:t>
      </w:r>
    </w:p>
    <w:p w14:paraId="48ABEF32">
      <w:pPr>
        <w:spacing w:line="360" w:lineRule="auto"/>
        <w:rPr>
          <w:rFonts w:ascii="宋体" w:hAnsi="宋体"/>
          <w:lang w:eastAsia="zh-CN"/>
        </w:rPr>
      </w:pPr>
      <w:r>
        <w:rPr>
          <w:rFonts w:ascii="宋体" w:hAnsi="宋体" w:hint="eastAsia"/>
          <w:lang w:eastAsia="zh-CN"/>
        </w:rPr>
        <w:t xml:space="preserve">    （3）为本标段的监理人；</w:t>
      </w:r>
    </w:p>
    <w:p w14:paraId="7DA1A8A2">
      <w:pPr>
        <w:spacing w:line="360" w:lineRule="auto"/>
        <w:rPr>
          <w:rFonts w:ascii="宋体" w:hAnsi="宋体"/>
          <w:lang w:eastAsia="zh-CN"/>
        </w:rPr>
      </w:pPr>
      <w:r>
        <w:rPr>
          <w:rFonts w:ascii="宋体" w:hAnsi="宋体" w:hint="eastAsia"/>
          <w:lang w:eastAsia="zh-CN"/>
        </w:rPr>
        <w:t xml:space="preserve">    （4）为本标段的代建人；</w:t>
      </w:r>
    </w:p>
    <w:p w14:paraId="0F38CAB2">
      <w:pPr>
        <w:spacing w:line="360" w:lineRule="auto"/>
        <w:rPr>
          <w:rFonts w:ascii="宋体" w:hAnsi="宋体"/>
          <w:lang w:eastAsia="zh-CN"/>
        </w:rPr>
      </w:pPr>
      <w:r>
        <w:rPr>
          <w:rFonts w:ascii="宋体" w:hAnsi="宋体" w:hint="eastAsia"/>
          <w:lang w:eastAsia="zh-CN"/>
        </w:rPr>
        <w:t xml:space="preserve">    （5）为本标段提供招标代理服务的；</w:t>
      </w:r>
    </w:p>
    <w:p w14:paraId="778D55AC">
      <w:pPr>
        <w:spacing w:line="360" w:lineRule="auto"/>
        <w:rPr>
          <w:rFonts w:ascii="宋体" w:hAnsi="宋体"/>
          <w:lang w:eastAsia="zh-CN"/>
        </w:rPr>
      </w:pPr>
      <w:r>
        <w:rPr>
          <w:rFonts w:ascii="宋体" w:hAnsi="宋体" w:hint="eastAsia"/>
          <w:lang w:eastAsia="zh-CN"/>
        </w:rPr>
        <w:t xml:space="preserve">    （6）与本标段的监理人或代建人或招标代理机构同为一个法定代表人的；</w:t>
      </w:r>
    </w:p>
    <w:p w14:paraId="6E6F026A">
      <w:pPr>
        <w:spacing w:line="360" w:lineRule="auto"/>
        <w:rPr>
          <w:rFonts w:ascii="宋体" w:hAnsi="宋体"/>
          <w:lang w:eastAsia="zh-CN"/>
        </w:rPr>
      </w:pPr>
      <w:r>
        <w:rPr>
          <w:rFonts w:ascii="宋体" w:hAnsi="宋体" w:hint="eastAsia"/>
          <w:lang w:eastAsia="zh-CN"/>
        </w:rPr>
        <w:t xml:space="preserve">    （7）与本标段的监理人或代建人或招标代理机构相互控股或参股的；</w:t>
      </w:r>
    </w:p>
    <w:p w14:paraId="2E341695">
      <w:pPr>
        <w:spacing w:line="360" w:lineRule="auto"/>
        <w:rPr>
          <w:rFonts w:ascii="宋体" w:hAnsi="宋体"/>
          <w:lang w:eastAsia="zh-CN"/>
        </w:rPr>
      </w:pPr>
      <w:r>
        <w:rPr>
          <w:rFonts w:ascii="宋体" w:hAnsi="宋体" w:hint="eastAsia"/>
          <w:lang w:eastAsia="zh-CN"/>
        </w:rPr>
        <w:t xml:space="preserve">    （8）与本标段的监理人或代建人或招标代理机构相互任职或工作的；</w:t>
      </w:r>
    </w:p>
    <w:p w14:paraId="35923A9F">
      <w:pPr>
        <w:spacing w:line="360" w:lineRule="auto"/>
        <w:rPr>
          <w:rFonts w:ascii="宋体" w:hAnsi="宋体"/>
          <w:lang w:eastAsia="zh-CN"/>
        </w:rPr>
      </w:pPr>
      <w:r>
        <w:rPr>
          <w:rFonts w:ascii="宋体" w:hAnsi="宋体" w:hint="eastAsia"/>
          <w:lang w:eastAsia="zh-CN"/>
        </w:rPr>
        <w:t xml:space="preserve">    （9）被责令停业的；</w:t>
      </w:r>
    </w:p>
    <w:p w14:paraId="43C12C01">
      <w:pPr>
        <w:spacing w:line="360" w:lineRule="auto"/>
        <w:rPr>
          <w:rFonts w:ascii="宋体" w:hAnsi="宋体"/>
          <w:lang w:eastAsia="zh-CN"/>
        </w:rPr>
      </w:pPr>
      <w:r>
        <w:rPr>
          <w:rFonts w:ascii="宋体" w:hAnsi="宋体" w:hint="eastAsia"/>
          <w:lang w:eastAsia="zh-CN"/>
        </w:rPr>
        <w:t xml:space="preserve">    （10）被暂停或取消投标资格的；</w:t>
      </w:r>
    </w:p>
    <w:p w14:paraId="07D8CA4B">
      <w:pPr>
        <w:spacing w:line="360" w:lineRule="auto"/>
        <w:rPr>
          <w:rFonts w:ascii="宋体" w:hAnsi="宋体"/>
          <w:lang w:eastAsia="zh-CN"/>
        </w:rPr>
      </w:pPr>
      <w:r>
        <w:rPr>
          <w:rFonts w:ascii="宋体" w:hAnsi="宋体" w:hint="eastAsia"/>
          <w:lang w:eastAsia="zh-CN"/>
        </w:rPr>
        <w:t xml:space="preserve">    （11）进入清算程序，或被宣告破产，或其他丧失履约能力的情形；</w:t>
      </w:r>
    </w:p>
    <w:p w14:paraId="27703F47">
      <w:pPr>
        <w:spacing w:line="360" w:lineRule="auto"/>
        <w:ind w:firstLine="480" w:firstLineChars="200"/>
        <w:rPr>
          <w:rFonts w:ascii="宋体" w:hAnsi="宋体"/>
          <w:lang w:eastAsia="zh-CN"/>
        </w:rPr>
      </w:pPr>
      <w:r>
        <w:rPr>
          <w:rFonts w:ascii="宋体" w:hAnsi="宋体" w:hint="eastAsia"/>
          <w:lang w:eastAsia="zh-CN"/>
        </w:rPr>
        <w:t>（12）在近三年内由于施工单位违反工程质量有关法律法规和工程建设标准，使工程产生结构安全、重要使用功能等方面的质量缺陷，造成重大或者特别重大工程质量事故的。</w:t>
      </w:r>
    </w:p>
    <w:p w14:paraId="78C833E4">
      <w:pPr>
        <w:pStyle w:val="Heading3"/>
        <w:rPr>
          <w:rFonts w:ascii="宋体" w:hAnsi="宋体"/>
          <w:sz w:val="24"/>
          <w:szCs w:val="24"/>
        </w:rPr>
      </w:pPr>
      <w:bookmarkStart w:id="16" w:name="_Toc256000008"/>
      <w:r>
        <w:rPr>
          <w:rFonts w:ascii="宋体" w:hAnsi="宋体" w:hint="eastAsia"/>
          <w:sz w:val="24"/>
          <w:szCs w:val="24"/>
        </w:rPr>
        <w:t>1.5  费用承担</w:t>
      </w:r>
      <w:bookmarkEnd w:id="16"/>
    </w:p>
    <w:p w14:paraId="738B61C0">
      <w:pPr>
        <w:spacing w:line="360" w:lineRule="auto"/>
        <w:ind w:firstLine="425" w:firstLineChars="177"/>
        <w:rPr>
          <w:rFonts w:ascii="宋体" w:hAnsi="宋体"/>
          <w:lang w:eastAsia="zh-CN"/>
        </w:rPr>
      </w:pPr>
      <w:r>
        <w:rPr>
          <w:rFonts w:ascii="宋体" w:hAnsi="宋体" w:hint="eastAsia"/>
          <w:lang w:eastAsia="zh-CN"/>
        </w:rPr>
        <w:t>投标人准备和参加投标活动发生的费用自理。</w:t>
      </w:r>
    </w:p>
    <w:p w14:paraId="6AF1A178">
      <w:pPr>
        <w:pStyle w:val="Heading3"/>
        <w:rPr>
          <w:rFonts w:ascii="宋体" w:hAnsi="宋体"/>
          <w:sz w:val="24"/>
          <w:szCs w:val="24"/>
        </w:rPr>
      </w:pPr>
      <w:bookmarkStart w:id="17" w:name="_Toc256000009"/>
      <w:r>
        <w:rPr>
          <w:rFonts w:ascii="宋体" w:hAnsi="宋体" w:hint="eastAsia"/>
          <w:sz w:val="24"/>
          <w:szCs w:val="24"/>
        </w:rPr>
        <w:t>1.6  保密</w:t>
      </w:r>
      <w:bookmarkEnd w:id="17"/>
    </w:p>
    <w:p w14:paraId="65C29FEA">
      <w:pPr>
        <w:spacing w:line="360" w:lineRule="auto"/>
        <w:ind w:firstLine="425" w:firstLineChars="177"/>
        <w:rPr>
          <w:rFonts w:ascii="宋体" w:hAnsi="宋体"/>
          <w:lang w:eastAsia="zh-CN"/>
        </w:rPr>
      </w:pPr>
      <w:r>
        <w:rPr>
          <w:rFonts w:ascii="宋体" w:hAnsi="宋体" w:hint="eastAsia"/>
          <w:lang w:eastAsia="zh-CN"/>
        </w:rPr>
        <w:t>参与招标投标活动的各方应对招标文件和投标文件中的商业和技术等秘密保密，违者应对由此造成的后果承担法律责任。</w:t>
      </w:r>
    </w:p>
    <w:p w14:paraId="441AB103">
      <w:pPr>
        <w:pStyle w:val="Heading3"/>
        <w:rPr>
          <w:rFonts w:ascii="宋体" w:hAnsi="宋体"/>
          <w:sz w:val="24"/>
          <w:szCs w:val="24"/>
        </w:rPr>
      </w:pPr>
      <w:bookmarkStart w:id="18" w:name="_Toc256000010"/>
      <w:r>
        <w:rPr>
          <w:rFonts w:ascii="宋体" w:hAnsi="宋体" w:hint="eastAsia"/>
          <w:sz w:val="24"/>
          <w:szCs w:val="24"/>
        </w:rPr>
        <w:t>1.7  语言文字</w:t>
      </w:r>
      <w:bookmarkEnd w:id="18"/>
    </w:p>
    <w:p w14:paraId="40FE8A4A">
      <w:pPr>
        <w:spacing w:line="360" w:lineRule="auto"/>
        <w:ind w:firstLine="425" w:firstLineChars="177"/>
        <w:rPr>
          <w:rFonts w:ascii="宋体" w:hAnsi="宋体"/>
          <w:lang w:eastAsia="zh-CN"/>
        </w:rPr>
      </w:pPr>
      <w:r>
        <w:rPr>
          <w:rFonts w:ascii="宋体" w:hAnsi="宋体" w:hint="eastAsia"/>
          <w:lang w:eastAsia="zh-CN"/>
        </w:rPr>
        <w:t>除专用术语外，与招标投标有关的语言均使用中文。必要时专用术语应附有中文注释。</w:t>
      </w:r>
    </w:p>
    <w:p w14:paraId="14B47FB0">
      <w:pPr>
        <w:pStyle w:val="Heading3"/>
        <w:rPr>
          <w:rFonts w:ascii="宋体" w:hAnsi="宋体"/>
          <w:sz w:val="24"/>
          <w:szCs w:val="24"/>
        </w:rPr>
      </w:pPr>
      <w:bookmarkStart w:id="19" w:name="_Toc256000011"/>
      <w:r>
        <w:rPr>
          <w:rFonts w:ascii="宋体" w:hAnsi="宋体" w:hint="eastAsia"/>
          <w:sz w:val="24"/>
          <w:szCs w:val="24"/>
        </w:rPr>
        <w:t>1.8  计量单位</w:t>
      </w:r>
      <w:bookmarkEnd w:id="19"/>
    </w:p>
    <w:p w14:paraId="2EDEB379">
      <w:pPr>
        <w:spacing w:line="360" w:lineRule="auto"/>
        <w:ind w:firstLine="425" w:firstLineChars="177"/>
        <w:rPr>
          <w:rFonts w:ascii="宋体" w:hAnsi="宋体"/>
          <w:lang w:eastAsia="zh-CN"/>
        </w:rPr>
      </w:pPr>
      <w:r>
        <w:rPr>
          <w:rFonts w:ascii="宋体" w:hAnsi="宋体" w:hint="eastAsia"/>
          <w:lang w:eastAsia="zh-CN"/>
        </w:rPr>
        <w:t>所有计量均采用中华人民共和国法定计量单位。</w:t>
      </w:r>
    </w:p>
    <w:p w14:paraId="4099BDC7">
      <w:pPr>
        <w:pStyle w:val="Heading3"/>
        <w:rPr>
          <w:rFonts w:ascii="宋体" w:hAnsi="宋体"/>
          <w:sz w:val="24"/>
          <w:szCs w:val="24"/>
        </w:rPr>
      </w:pPr>
      <w:bookmarkStart w:id="20" w:name="_Toc256000012"/>
      <w:r>
        <w:rPr>
          <w:rFonts w:ascii="宋体" w:hAnsi="宋体" w:hint="eastAsia"/>
          <w:sz w:val="24"/>
          <w:szCs w:val="24"/>
        </w:rPr>
        <w:t>1.9  踏勘现场</w:t>
      </w:r>
      <w:bookmarkEnd w:id="20"/>
    </w:p>
    <w:p w14:paraId="6F1E61D6">
      <w:pPr>
        <w:spacing w:line="360" w:lineRule="auto"/>
        <w:ind w:firstLine="425" w:firstLineChars="177"/>
        <w:rPr>
          <w:rFonts w:ascii="宋体" w:hAnsi="宋体"/>
          <w:lang w:eastAsia="zh-CN"/>
        </w:rPr>
      </w:pPr>
      <w:r>
        <w:rPr>
          <w:rFonts w:ascii="宋体" w:hAnsi="宋体" w:hint="eastAsia"/>
          <w:lang w:eastAsia="zh-CN"/>
        </w:rPr>
        <w:t>1.9.1 招标人须知前附表规定组织踏勘现场的，招标人按投标人须知前附表规定的时间、地点组织投标人踏勘项目现场。</w:t>
      </w:r>
    </w:p>
    <w:p w14:paraId="1406DDA1">
      <w:pPr>
        <w:spacing w:line="360" w:lineRule="auto"/>
        <w:ind w:firstLine="425" w:firstLineChars="177"/>
        <w:rPr>
          <w:rFonts w:ascii="宋体" w:hAnsi="宋体"/>
          <w:lang w:eastAsia="zh-CN"/>
        </w:rPr>
      </w:pPr>
      <w:r>
        <w:rPr>
          <w:rFonts w:ascii="宋体" w:hAnsi="宋体" w:hint="eastAsia"/>
          <w:lang w:eastAsia="zh-CN"/>
        </w:rPr>
        <w:t>1.9.2 投标人自行踏勘现场发生的费用自理。</w:t>
      </w:r>
    </w:p>
    <w:p w14:paraId="04B38614">
      <w:pPr>
        <w:spacing w:line="360" w:lineRule="auto"/>
        <w:ind w:firstLine="425" w:firstLineChars="177"/>
        <w:rPr>
          <w:rFonts w:ascii="宋体" w:hAnsi="宋体"/>
          <w:lang w:eastAsia="zh-CN"/>
        </w:rPr>
      </w:pPr>
      <w:r>
        <w:rPr>
          <w:rFonts w:ascii="宋体" w:hAnsi="宋体" w:hint="eastAsia"/>
          <w:lang w:eastAsia="zh-CN"/>
        </w:rPr>
        <w:t>1.9.3 投标人自行负责在踏勘现场中所发生的人员伤亡和财产损失。</w:t>
      </w:r>
    </w:p>
    <w:p w14:paraId="5F6EA1A7">
      <w:pPr>
        <w:spacing w:line="360" w:lineRule="auto"/>
        <w:ind w:firstLine="425" w:firstLineChars="177"/>
        <w:rPr>
          <w:rFonts w:ascii="宋体" w:hAnsi="宋体"/>
          <w:lang w:eastAsia="zh-CN"/>
        </w:rPr>
      </w:pPr>
      <w:r>
        <w:rPr>
          <w:rFonts w:ascii="宋体" w:hAnsi="宋体" w:hint="eastAsia"/>
          <w:lang w:eastAsia="zh-CN"/>
        </w:rPr>
        <w:t>1.9.4 招标人在踏勘现场中介绍的工程场地和相关的周边环境情况，供投标人在编制投标文件时参考，招标人不对投标人据此作出的判断和决策负责。</w:t>
      </w:r>
    </w:p>
    <w:p w14:paraId="77465DF0">
      <w:pPr>
        <w:pStyle w:val="Heading3"/>
        <w:rPr>
          <w:rFonts w:ascii="宋体" w:hAnsi="宋体"/>
          <w:sz w:val="24"/>
          <w:szCs w:val="24"/>
        </w:rPr>
      </w:pPr>
      <w:bookmarkStart w:id="21" w:name="_Toc256000013"/>
      <w:r>
        <w:rPr>
          <w:rFonts w:ascii="宋体" w:hAnsi="宋体" w:hint="eastAsia"/>
          <w:sz w:val="24"/>
          <w:szCs w:val="24"/>
        </w:rPr>
        <w:t>1.10  投标预备会</w:t>
      </w:r>
      <w:bookmarkEnd w:id="21"/>
    </w:p>
    <w:p w14:paraId="5B3534BA">
      <w:pPr>
        <w:spacing w:line="360" w:lineRule="auto"/>
        <w:ind w:firstLine="425" w:firstLineChars="177"/>
        <w:rPr>
          <w:rFonts w:ascii="宋体" w:hAnsi="宋体"/>
          <w:lang w:eastAsia="zh-CN"/>
        </w:rPr>
      </w:pPr>
      <w:r>
        <w:rPr>
          <w:rFonts w:ascii="宋体" w:hAnsi="宋体" w:hint="eastAsia"/>
          <w:lang w:eastAsia="zh-CN"/>
        </w:rPr>
        <w:t>1.10.1  招标人不召开投标预备会。</w:t>
      </w:r>
    </w:p>
    <w:p w14:paraId="016C02FD">
      <w:pPr>
        <w:pStyle w:val="Heading3"/>
        <w:rPr>
          <w:rFonts w:ascii="宋体" w:hAnsi="宋体"/>
          <w:sz w:val="24"/>
          <w:szCs w:val="24"/>
        </w:rPr>
      </w:pPr>
      <w:bookmarkStart w:id="22" w:name="_Toc256000014"/>
      <w:r>
        <w:rPr>
          <w:rFonts w:ascii="宋体" w:hAnsi="宋体" w:hint="eastAsia"/>
          <w:sz w:val="24"/>
          <w:szCs w:val="24"/>
        </w:rPr>
        <w:t>1.11  分包</w:t>
      </w:r>
      <w:bookmarkEnd w:id="22"/>
    </w:p>
    <w:p w14:paraId="05694226">
      <w:pPr>
        <w:spacing w:line="360" w:lineRule="auto"/>
        <w:ind w:firstLine="425" w:firstLineChars="177"/>
        <w:rPr>
          <w:rFonts w:ascii="宋体" w:hAnsi="宋体"/>
          <w:lang w:eastAsia="zh-CN"/>
        </w:rPr>
      </w:pPr>
      <w:r>
        <w:rPr>
          <w:rFonts w:ascii="宋体" w:hAnsi="宋体" w:hint="eastAsia"/>
          <w:lang w:eastAsia="zh-CN"/>
        </w:rPr>
        <w:t>投标人拟在中标后将中标项目的部分非主体、非关键性工作进行分包的，应符合投标人须知前附表规定的分包内容和接受分包的第三人资质要求等限制性条件。</w:t>
      </w:r>
    </w:p>
    <w:p w14:paraId="4649852D">
      <w:pPr>
        <w:pStyle w:val="Heading3"/>
        <w:rPr>
          <w:rFonts w:ascii="宋体" w:hAnsi="宋体"/>
          <w:sz w:val="24"/>
          <w:szCs w:val="24"/>
        </w:rPr>
      </w:pPr>
      <w:bookmarkStart w:id="23" w:name="_Toc256000015"/>
      <w:r>
        <w:rPr>
          <w:rFonts w:ascii="宋体" w:hAnsi="宋体" w:hint="eastAsia"/>
          <w:sz w:val="24"/>
          <w:szCs w:val="24"/>
        </w:rPr>
        <w:t>1.12  偏离</w:t>
      </w:r>
      <w:bookmarkEnd w:id="23"/>
    </w:p>
    <w:p w14:paraId="1364B26D">
      <w:pPr>
        <w:spacing w:line="360" w:lineRule="auto"/>
        <w:ind w:firstLine="425" w:firstLineChars="177"/>
        <w:rPr>
          <w:rFonts w:ascii="宋体" w:hAnsi="宋体"/>
          <w:lang w:eastAsia="zh-CN"/>
        </w:rPr>
      </w:pPr>
      <w:r>
        <w:rPr>
          <w:rFonts w:ascii="宋体" w:hAnsi="宋体" w:hint="eastAsia"/>
          <w:lang w:eastAsia="zh-CN"/>
        </w:rPr>
        <w:t>投标人须知前附表允许投标文件偏离招标文件某些要求的，偏离应当符合招标文件规定的偏离范围和幅度。</w:t>
      </w:r>
    </w:p>
    <w:p w14:paraId="7CAB4540">
      <w:pPr>
        <w:pStyle w:val="Heading2"/>
        <w:rPr>
          <w:rFonts w:ascii="宋体" w:hAnsi="宋体"/>
          <w:sz w:val="24"/>
          <w:szCs w:val="24"/>
        </w:rPr>
      </w:pPr>
      <w:bookmarkStart w:id="24" w:name="_Toc256000016"/>
      <w:r>
        <w:rPr>
          <w:rFonts w:ascii="宋体" w:hAnsi="宋体" w:hint="eastAsia"/>
          <w:sz w:val="24"/>
          <w:szCs w:val="24"/>
        </w:rPr>
        <w:t>2.  招标文件</w:t>
      </w:r>
      <w:bookmarkEnd w:id="24"/>
    </w:p>
    <w:p w14:paraId="24AB040C">
      <w:pPr>
        <w:pStyle w:val="Heading3"/>
        <w:rPr>
          <w:rFonts w:ascii="宋体" w:hAnsi="宋体"/>
          <w:sz w:val="24"/>
          <w:szCs w:val="24"/>
        </w:rPr>
      </w:pPr>
      <w:bookmarkStart w:id="25" w:name="_Toc256000017"/>
      <w:r>
        <w:rPr>
          <w:rFonts w:ascii="宋体" w:hAnsi="宋体" w:hint="eastAsia"/>
          <w:sz w:val="24"/>
          <w:szCs w:val="24"/>
        </w:rPr>
        <w:t>2.1  招标文件的组成</w:t>
      </w:r>
      <w:bookmarkEnd w:id="25"/>
    </w:p>
    <w:p w14:paraId="4BDA0613">
      <w:pPr>
        <w:spacing w:line="360" w:lineRule="auto"/>
        <w:ind w:firstLine="425" w:firstLineChars="177"/>
        <w:rPr>
          <w:rFonts w:ascii="宋体" w:hAnsi="宋体"/>
          <w:lang w:eastAsia="zh-CN"/>
        </w:rPr>
      </w:pPr>
      <w:r>
        <w:rPr>
          <w:rFonts w:ascii="宋体" w:hAnsi="宋体" w:hint="eastAsia"/>
          <w:lang w:eastAsia="zh-CN"/>
        </w:rPr>
        <w:t>本招标文件包括：</w:t>
      </w:r>
    </w:p>
    <w:p w14:paraId="1472444F">
      <w:pPr>
        <w:spacing w:line="360" w:lineRule="auto"/>
        <w:rPr>
          <w:rFonts w:ascii="宋体" w:hAnsi="宋体"/>
          <w:lang w:eastAsia="zh-CN"/>
        </w:rPr>
      </w:pPr>
      <w:r>
        <w:rPr>
          <w:rFonts w:ascii="宋体" w:hAnsi="宋体" w:hint="eastAsia"/>
          <w:lang w:eastAsia="zh-CN"/>
        </w:rPr>
        <w:t xml:space="preserve">    （1）招标公告（或投标邀请书）；</w:t>
      </w:r>
    </w:p>
    <w:p w14:paraId="36A107B5">
      <w:pPr>
        <w:spacing w:line="360" w:lineRule="auto"/>
        <w:rPr>
          <w:rFonts w:ascii="宋体" w:hAnsi="宋体"/>
          <w:lang w:eastAsia="zh-CN"/>
        </w:rPr>
      </w:pPr>
      <w:r>
        <w:rPr>
          <w:rFonts w:ascii="宋体" w:hAnsi="宋体" w:hint="eastAsia"/>
          <w:lang w:eastAsia="zh-CN"/>
        </w:rPr>
        <w:t xml:space="preserve">    （2）投标人须知；</w:t>
      </w:r>
    </w:p>
    <w:p w14:paraId="753185A5">
      <w:pPr>
        <w:spacing w:line="360" w:lineRule="auto"/>
        <w:rPr>
          <w:rFonts w:ascii="宋体" w:hAnsi="宋体"/>
          <w:lang w:eastAsia="zh-CN"/>
        </w:rPr>
      </w:pPr>
      <w:r>
        <w:rPr>
          <w:rFonts w:ascii="宋体" w:hAnsi="宋体" w:hint="eastAsia"/>
          <w:lang w:eastAsia="zh-CN"/>
        </w:rPr>
        <w:t xml:space="preserve">    （3）评标办法；</w:t>
      </w:r>
    </w:p>
    <w:p w14:paraId="1846D7DD">
      <w:pPr>
        <w:spacing w:line="360" w:lineRule="auto"/>
        <w:rPr>
          <w:rFonts w:ascii="宋体" w:hAnsi="宋体"/>
          <w:lang w:eastAsia="zh-CN"/>
        </w:rPr>
      </w:pPr>
      <w:r>
        <w:rPr>
          <w:rFonts w:ascii="宋体" w:hAnsi="宋体" w:hint="eastAsia"/>
          <w:lang w:eastAsia="zh-CN"/>
        </w:rPr>
        <w:t xml:space="preserve">    （4）合同条款及格式；</w:t>
      </w:r>
    </w:p>
    <w:p w14:paraId="6E46A104">
      <w:pPr>
        <w:spacing w:line="360" w:lineRule="auto"/>
        <w:rPr>
          <w:rFonts w:ascii="宋体" w:hAnsi="宋体"/>
          <w:lang w:eastAsia="zh-CN"/>
        </w:rPr>
      </w:pPr>
      <w:r>
        <w:rPr>
          <w:rFonts w:ascii="宋体" w:hAnsi="宋体" w:hint="eastAsia"/>
          <w:lang w:eastAsia="zh-CN"/>
        </w:rPr>
        <w:t xml:space="preserve">    （5）工程量清单；</w:t>
      </w:r>
    </w:p>
    <w:p w14:paraId="61F27EE9">
      <w:pPr>
        <w:spacing w:line="360" w:lineRule="auto"/>
        <w:rPr>
          <w:rFonts w:ascii="宋体" w:hAnsi="宋体"/>
          <w:lang w:eastAsia="zh-CN"/>
        </w:rPr>
      </w:pPr>
      <w:r>
        <w:rPr>
          <w:rFonts w:ascii="宋体" w:hAnsi="宋体" w:hint="eastAsia"/>
          <w:lang w:eastAsia="zh-CN"/>
        </w:rPr>
        <w:t xml:space="preserve">    （6）图纸；</w:t>
      </w:r>
    </w:p>
    <w:p w14:paraId="0E4D58A3">
      <w:pPr>
        <w:spacing w:line="360" w:lineRule="auto"/>
        <w:rPr>
          <w:rFonts w:ascii="宋体" w:hAnsi="宋体"/>
          <w:lang w:eastAsia="zh-CN"/>
        </w:rPr>
      </w:pPr>
      <w:r>
        <w:rPr>
          <w:rFonts w:ascii="宋体" w:hAnsi="宋体" w:hint="eastAsia"/>
          <w:lang w:eastAsia="zh-CN"/>
        </w:rPr>
        <w:t xml:space="preserve">    （7）技术标准和要求；</w:t>
      </w:r>
    </w:p>
    <w:p w14:paraId="0C09C541">
      <w:pPr>
        <w:spacing w:line="360" w:lineRule="auto"/>
        <w:rPr>
          <w:rFonts w:ascii="宋体" w:hAnsi="宋体"/>
          <w:lang w:eastAsia="zh-CN"/>
        </w:rPr>
      </w:pPr>
      <w:r>
        <w:rPr>
          <w:rFonts w:ascii="宋体" w:hAnsi="宋体" w:hint="eastAsia"/>
          <w:lang w:eastAsia="zh-CN"/>
        </w:rPr>
        <w:t xml:space="preserve">    （8）投标文件格式；</w:t>
      </w:r>
    </w:p>
    <w:p w14:paraId="7A13CC52">
      <w:pPr>
        <w:spacing w:line="360" w:lineRule="auto"/>
        <w:rPr>
          <w:rFonts w:ascii="宋体" w:hAnsi="宋体"/>
          <w:lang w:eastAsia="zh-CN"/>
        </w:rPr>
      </w:pPr>
      <w:r>
        <w:rPr>
          <w:rFonts w:ascii="宋体" w:hAnsi="宋体" w:hint="eastAsia"/>
          <w:lang w:eastAsia="zh-CN"/>
        </w:rPr>
        <w:t xml:space="preserve">    （9）投标人须知前附表规定的其他材料。</w:t>
      </w:r>
    </w:p>
    <w:p w14:paraId="33A90E1E">
      <w:pPr>
        <w:spacing w:line="360" w:lineRule="auto"/>
        <w:rPr>
          <w:rFonts w:ascii="宋体" w:hAnsi="宋体"/>
          <w:lang w:eastAsia="zh-CN"/>
        </w:rPr>
      </w:pPr>
      <w:r>
        <w:rPr>
          <w:rFonts w:ascii="宋体" w:hAnsi="宋体" w:hint="eastAsia"/>
          <w:lang w:eastAsia="zh-CN"/>
        </w:rPr>
        <w:t xml:space="preserve">    根据本章第 2.2 款和第 2.3 款对招标文件所作的澄清、修改，构成招标文件的组成部分。</w:t>
      </w:r>
    </w:p>
    <w:p w14:paraId="52B2ACE3">
      <w:pPr>
        <w:pStyle w:val="Heading3"/>
        <w:rPr>
          <w:rFonts w:ascii="宋体" w:hAnsi="宋体"/>
          <w:sz w:val="24"/>
          <w:szCs w:val="24"/>
        </w:rPr>
      </w:pPr>
      <w:bookmarkStart w:id="26" w:name="_Toc256000018"/>
      <w:r>
        <w:rPr>
          <w:rFonts w:ascii="宋体" w:hAnsi="宋体" w:hint="eastAsia"/>
          <w:sz w:val="24"/>
          <w:szCs w:val="24"/>
        </w:rPr>
        <w:t>2.2  招标文件的澄清</w:t>
      </w:r>
      <w:bookmarkEnd w:id="26"/>
    </w:p>
    <w:p w14:paraId="6E59ED29">
      <w:pPr>
        <w:spacing w:line="360" w:lineRule="auto"/>
        <w:ind w:firstLine="425" w:firstLineChars="177"/>
        <w:rPr>
          <w:rFonts w:ascii="宋体" w:hAnsi="宋体"/>
          <w:lang w:eastAsia="zh-CN"/>
        </w:rPr>
      </w:pPr>
      <w:r>
        <w:rPr>
          <w:rFonts w:ascii="宋体" w:hAnsi="宋体" w:hint="eastAsia"/>
          <w:lang w:eastAsia="zh-CN"/>
        </w:rPr>
        <w:t>2.2.1 投标人如有疑问，应在投标人须知前附表规定的时间前通过公共资源交易平台向招标人提出需澄清的问题，要求招标人对招标文件予以澄清。</w:t>
      </w:r>
    </w:p>
    <w:p w14:paraId="0731C3F4">
      <w:pPr>
        <w:spacing w:line="360" w:lineRule="auto"/>
        <w:ind w:firstLine="425" w:firstLineChars="177"/>
        <w:rPr>
          <w:rFonts w:ascii="宋体" w:hAnsi="宋体"/>
          <w:lang w:eastAsia="zh-CN"/>
        </w:rPr>
      </w:pPr>
      <w:r>
        <w:rPr>
          <w:rFonts w:ascii="宋体" w:hAnsi="宋体" w:hint="eastAsia"/>
          <w:lang w:eastAsia="zh-CN"/>
        </w:rPr>
        <w:t>2.2.2 招标文件的澄清将在投标人须知前附表规定的投标截止时间15天前在公共资源交易平台中发布。</w:t>
      </w:r>
    </w:p>
    <w:p w14:paraId="3A921B90">
      <w:pPr>
        <w:spacing w:line="360" w:lineRule="auto"/>
        <w:ind w:firstLine="425" w:firstLineChars="177"/>
        <w:rPr>
          <w:rFonts w:ascii="宋体" w:hAnsi="宋体"/>
          <w:lang w:eastAsia="zh-CN"/>
        </w:rPr>
      </w:pPr>
      <w:r>
        <w:rPr>
          <w:rFonts w:ascii="宋体" w:hAnsi="宋体" w:hint="eastAsia"/>
          <w:lang w:eastAsia="zh-CN"/>
        </w:rPr>
        <w:t>2.2.3 投标人收到澄清后的确认：见投标人须知前附表。</w:t>
      </w:r>
    </w:p>
    <w:p w14:paraId="32A5D404">
      <w:pPr>
        <w:pStyle w:val="Heading3"/>
        <w:rPr>
          <w:rFonts w:ascii="宋体" w:hAnsi="宋体"/>
          <w:sz w:val="24"/>
          <w:szCs w:val="24"/>
        </w:rPr>
      </w:pPr>
      <w:bookmarkStart w:id="27" w:name="_Toc256000019"/>
      <w:r>
        <w:rPr>
          <w:rFonts w:ascii="宋体" w:hAnsi="宋体" w:hint="eastAsia"/>
          <w:sz w:val="24"/>
          <w:szCs w:val="24"/>
        </w:rPr>
        <w:t>2.3  招标文件的修改</w:t>
      </w:r>
      <w:bookmarkEnd w:id="27"/>
    </w:p>
    <w:p w14:paraId="1C34D7BC">
      <w:pPr>
        <w:spacing w:line="360" w:lineRule="auto"/>
        <w:ind w:firstLine="425" w:firstLineChars="177"/>
        <w:rPr>
          <w:rFonts w:ascii="宋体" w:hAnsi="宋体"/>
          <w:lang w:eastAsia="zh-CN"/>
        </w:rPr>
      </w:pPr>
      <w:r>
        <w:rPr>
          <w:rFonts w:ascii="宋体" w:hAnsi="宋体" w:hint="eastAsia"/>
          <w:lang w:eastAsia="zh-CN"/>
        </w:rPr>
        <w:t>2.3.1 在投标截止时间15天前，招标人可以修改招标文件，并在公共资源交易平台中发布。</w:t>
      </w:r>
    </w:p>
    <w:p w14:paraId="6C5BF307">
      <w:pPr>
        <w:spacing w:line="360" w:lineRule="auto"/>
        <w:ind w:firstLine="425" w:firstLineChars="177"/>
        <w:rPr>
          <w:rFonts w:ascii="宋体" w:hAnsi="宋体"/>
          <w:lang w:eastAsia="zh-CN"/>
        </w:rPr>
      </w:pPr>
      <w:r>
        <w:rPr>
          <w:rFonts w:ascii="宋体" w:hAnsi="宋体" w:hint="eastAsia"/>
          <w:lang w:eastAsia="zh-CN"/>
        </w:rPr>
        <w:t>2.3.2投标人收到修改后的确认：见投标人须知前附表。</w:t>
      </w:r>
    </w:p>
    <w:p w14:paraId="261AE06F">
      <w:pPr>
        <w:pStyle w:val="Heading2"/>
        <w:rPr>
          <w:rFonts w:ascii="宋体" w:hAnsi="宋体"/>
          <w:sz w:val="24"/>
          <w:szCs w:val="24"/>
        </w:rPr>
      </w:pPr>
      <w:bookmarkStart w:id="28" w:name="_Toc256000020"/>
      <w:r>
        <w:rPr>
          <w:rFonts w:ascii="宋体" w:hAnsi="宋体" w:hint="eastAsia"/>
          <w:sz w:val="24"/>
          <w:szCs w:val="24"/>
        </w:rPr>
        <w:t>3.  投标文件</w:t>
      </w:r>
      <w:bookmarkEnd w:id="28"/>
    </w:p>
    <w:p w14:paraId="65E61A5C">
      <w:pPr>
        <w:pStyle w:val="Heading3"/>
        <w:rPr>
          <w:rFonts w:ascii="宋体" w:hAnsi="宋体"/>
          <w:sz w:val="24"/>
          <w:szCs w:val="24"/>
        </w:rPr>
      </w:pPr>
      <w:bookmarkStart w:id="29" w:name="_Toc256000021"/>
      <w:r>
        <w:rPr>
          <w:rFonts w:ascii="宋体" w:hAnsi="宋体" w:hint="eastAsia"/>
          <w:sz w:val="24"/>
          <w:szCs w:val="24"/>
        </w:rPr>
        <w:t>3.1  投标文件的组成</w:t>
      </w:r>
      <w:bookmarkEnd w:id="29"/>
    </w:p>
    <w:p w14:paraId="4A74FE57">
      <w:pPr>
        <w:spacing w:line="360" w:lineRule="auto"/>
        <w:ind w:firstLine="425" w:firstLineChars="177"/>
        <w:rPr>
          <w:rFonts w:ascii="宋体" w:hAnsi="宋体"/>
          <w:lang w:eastAsia="zh-CN"/>
        </w:rPr>
      </w:pPr>
      <w:r>
        <w:rPr>
          <w:rFonts w:ascii="宋体" w:hAnsi="宋体" w:hint="eastAsia"/>
          <w:lang w:eastAsia="zh-CN"/>
        </w:rPr>
        <w:t>3.1.1 投标文件应包括下列内容：</w:t>
      </w:r>
    </w:p>
    <w:p w14:paraId="65CD8B77">
      <w:pPr>
        <w:spacing w:line="360" w:lineRule="auto"/>
        <w:rPr>
          <w:rFonts w:ascii="宋体" w:hAnsi="宋体"/>
          <w:lang w:eastAsia="zh-CN"/>
        </w:rPr>
      </w:pPr>
      <w:r>
        <w:rPr>
          <w:rFonts w:ascii="宋体" w:hAnsi="宋体" w:hint="eastAsia"/>
          <w:lang w:eastAsia="zh-CN"/>
        </w:rPr>
        <w:t xml:space="preserve">    （1）投标函及投标函附录；</w:t>
      </w:r>
    </w:p>
    <w:p w14:paraId="129B4A43">
      <w:pPr>
        <w:spacing w:line="360" w:lineRule="auto"/>
        <w:rPr>
          <w:rFonts w:ascii="宋体" w:hAnsi="宋体"/>
          <w:lang w:eastAsia="zh-CN"/>
        </w:rPr>
      </w:pPr>
      <w:r>
        <w:rPr>
          <w:rFonts w:ascii="宋体" w:hAnsi="宋体" w:hint="eastAsia"/>
          <w:lang w:eastAsia="zh-CN"/>
        </w:rPr>
        <w:t xml:space="preserve">    （2）法定代表人身份证明或附有法定代表人身份证明的授权委托书；</w:t>
      </w:r>
    </w:p>
    <w:p w14:paraId="64EA27E3">
      <w:pPr>
        <w:spacing w:line="360" w:lineRule="auto"/>
        <w:rPr>
          <w:rFonts w:ascii="宋体" w:hAnsi="宋体"/>
          <w:lang w:eastAsia="zh-CN"/>
        </w:rPr>
      </w:pPr>
      <w:r>
        <w:rPr>
          <w:rFonts w:ascii="宋体" w:hAnsi="宋体" w:hint="eastAsia"/>
          <w:lang w:eastAsia="zh-CN"/>
        </w:rPr>
        <w:t xml:space="preserve">    （3）联合体协议书；</w:t>
      </w:r>
    </w:p>
    <w:p w14:paraId="193EFB57">
      <w:pPr>
        <w:spacing w:line="360" w:lineRule="auto"/>
        <w:rPr>
          <w:rFonts w:ascii="宋体" w:hAnsi="宋体"/>
          <w:lang w:eastAsia="zh-CN"/>
        </w:rPr>
      </w:pPr>
      <w:r>
        <w:rPr>
          <w:rFonts w:ascii="宋体" w:hAnsi="宋体" w:hint="eastAsia"/>
          <w:lang w:eastAsia="zh-CN"/>
        </w:rPr>
        <w:t xml:space="preserve">    （4）投标保证金；</w:t>
      </w:r>
    </w:p>
    <w:p w14:paraId="78BC28E9">
      <w:pPr>
        <w:spacing w:line="360" w:lineRule="auto"/>
        <w:rPr>
          <w:rFonts w:ascii="宋体" w:hAnsi="宋体"/>
          <w:lang w:eastAsia="zh-CN"/>
        </w:rPr>
      </w:pPr>
      <w:r>
        <w:rPr>
          <w:rFonts w:ascii="宋体" w:hAnsi="宋体" w:hint="eastAsia"/>
          <w:lang w:eastAsia="zh-CN"/>
        </w:rPr>
        <w:t xml:space="preserve">    （5）已标价工程量清单；</w:t>
      </w:r>
    </w:p>
    <w:p w14:paraId="08AA4167">
      <w:pPr>
        <w:spacing w:line="360" w:lineRule="auto"/>
        <w:rPr>
          <w:rFonts w:ascii="宋体" w:hAnsi="宋体"/>
          <w:lang w:eastAsia="zh-CN"/>
        </w:rPr>
      </w:pPr>
      <w:r>
        <w:rPr>
          <w:rFonts w:ascii="宋体" w:hAnsi="宋体" w:hint="eastAsia"/>
          <w:lang w:eastAsia="zh-CN"/>
        </w:rPr>
        <w:t xml:space="preserve">    （6）施工组织设计；</w:t>
      </w:r>
    </w:p>
    <w:p w14:paraId="17065AE1">
      <w:pPr>
        <w:spacing w:line="360" w:lineRule="auto"/>
        <w:rPr>
          <w:rFonts w:ascii="宋体" w:hAnsi="宋体"/>
          <w:lang w:eastAsia="zh-CN"/>
        </w:rPr>
      </w:pPr>
      <w:r>
        <w:rPr>
          <w:rFonts w:ascii="宋体" w:hAnsi="宋体" w:hint="eastAsia"/>
          <w:lang w:eastAsia="zh-CN"/>
        </w:rPr>
        <w:t xml:space="preserve">    （7）项目管理机构；</w:t>
      </w:r>
    </w:p>
    <w:p w14:paraId="5F7FE22A">
      <w:pPr>
        <w:spacing w:line="360" w:lineRule="auto"/>
        <w:rPr>
          <w:rFonts w:ascii="宋体" w:hAnsi="宋体"/>
          <w:lang w:eastAsia="zh-CN"/>
        </w:rPr>
      </w:pPr>
      <w:r>
        <w:rPr>
          <w:rFonts w:ascii="宋体" w:hAnsi="宋体" w:hint="eastAsia"/>
          <w:lang w:eastAsia="zh-CN"/>
        </w:rPr>
        <w:t xml:space="preserve">    （8）拟分包项目情况表；</w:t>
      </w:r>
    </w:p>
    <w:p w14:paraId="268C14EC">
      <w:pPr>
        <w:spacing w:line="360" w:lineRule="auto"/>
        <w:rPr>
          <w:rFonts w:ascii="宋体" w:hAnsi="宋体"/>
          <w:lang w:eastAsia="zh-CN"/>
        </w:rPr>
      </w:pPr>
      <w:r>
        <w:rPr>
          <w:rFonts w:ascii="宋体" w:hAnsi="宋体" w:hint="eastAsia"/>
          <w:lang w:eastAsia="zh-CN"/>
        </w:rPr>
        <w:t xml:space="preserve">    （9）资格审查资料；</w:t>
      </w:r>
    </w:p>
    <w:p w14:paraId="53D41A59">
      <w:pPr>
        <w:spacing w:line="360" w:lineRule="auto"/>
        <w:rPr>
          <w:rFonts w:ascii="宋体" w:hAnsi="宋体"/>
          <w:lang w:eastAsia="zh-CN"/>
        </w:rPr>
      </w:pPr>
      <w:r>
        <w:rPr>
          <w:rFonts w:ascii="宋体" w:hAnsi="宋体" w:hint="eastAsia"/>
          <w:lang w:eastAsia="zh-CN"/>
        </w:rPr>
        <w:t xml:space="preserve">    （10）投标人须知前附表规定的其他材料。</w:t>
      </w:r>
    </w:p>
    <w:p w14:paraId="2BD31176">
      <w:pPr>
        <w:spacing w:line="360" w:lineRule="auto"/>
        <w:ind w:firstLine="425" w:firstLineChars="177"/>
        <w:rPr>
          <w:rFonts w:ascii="宋体" w:hAnsi="宋体"/>
          <w:lang w:eastAsia="zh-CN"/>
        </w:rPr>
      </w:pPr>
      <w:r>
        <w:rPr>
          <w:rFonts w:ascii="宋体" w:hAnsi="宋体" w:hint="eastAsia"/>
          <w:lang w:eastAsia="zh-CN"/>
        </w:rPr>
        <w:t>3.1.2 投标人须知前附表规定不接受联合体投标的，或投标人没有组成联合体的，投标文件不包括本章第 3.1.1（3）目所指的联合体协议书。</w:t>
      </w:r>
    </w:p>
    <w:p w14:paraId="1D2C9F5F">
      <w:pPr>
        <w:pStyle w:val="Heading3"/>
        <w:rPr>
          <w:rFonts w:ascii="宋体" w:hAnsi="宋体"/>
          <w:sz w:val="24"/>
          <w:szCs w:val="24"/>
        </w:rPr>
      </w:pPr>
      <w:bookmarkStart w:id="30" w:name="_Toc256000022"/>
      <w:r>
        <w:rPr>
          <w:rFonts w:ascii="宋体" w:hAnsi="宋体" w:hint="eastAsia"/>
          <w:sz w:val="24"/>
          <w:szCs w:val="24"/>
        </w:rPr>
        <w:t>3.2  投标报价</w:t>
      </w:r>
      <w:bookmarkEnd w:id="30"/>
    </w:p>
    <w:p w14:paraId="29DA6081">
      <w:pPr>
        <w:spacing w:line="360" w:lineRule="auto"/>
        <w:ind w:firstLine="425" w:firstLineChars="177"/>
        <w:rPr>
          <w:rFonts w:ascii="宋体" w:hAnsi="宋体"/>
          <w:lang w:eastAsia="zh-CN"/>
        </w:rPr>
      </w:pPr>
      <w:r>
        <w:rPr>
          <w:rFonts w:ascii="宋体" w:hAnsi="宋体" w:hint="eastAsia"/>
          <w:lang w:eastAsia="zh-CN"/>
        </w:rPr>
        <w:t>3.2.1 投标人应按第五章“工程量清单”的要求填写相应表格。</w:t>
      </w:r>
    </w:p>
    <w:p w14:paraId="3F53DB03">
      <w:pPr>
        <w:spacing w:line="360" w:lineRule="auto"/>
        <w:ind w:firstLine="425" w:firstLineChars="177"/>
        <w:rPr>
          <w:rFonts w:ascii="宋体" w:hAnsi="宋体"/>
          <w:lang w:eastAsia="zh-CN"/>
        </w:rPr>
      </w:pPr>
      <w:r>
        <w:rPr>
          <w:rFonts w:ascii="宋体" w:hAnsi="宋体" w:hint="eastAsia"/>
          <w:lang w:eastAsia="zh-CN"/>
        </w:rPr>
        <w:t>3.2.2 投标人在投标截止时间前修改投标函中的投标报价，应同时修改第五章“工程量清单”中的相应报价。此修改须符合本章第 4.3 款的有关要求。</w:t>
      </w:r>
    </w:p>
    <w:p w14:paraId="78DF9BE6">
      <w:pPr>
        <w:pStyle w:val="Heading3"/>
        <w:rPr>
          <w:rFonts w:ascii="宋体" w:hAnsi="宋体"/>
          <w:sz w:val="24"/>
          <w:szCs w:val="24"/>
        </w:rPr>
      </w:pPr>
      <w:bookmarkStart w:id="31" w:name="_Toc256000023"/>
      <w:r>
        <w:rPr>
          <w:rFonts w:ascii="宋体" w:hAnsi="宋体" w:hint="eastAsia"/>
          <w:sz w:val="24"/>
          <w:szCs w:val="24"/>
        </w:rPr>
        <w:t>3.3  投标有效期</w:t>
      </w:r>
      <w:bookmarkEnd w:id="31"/>
    </w:p>
    <w:p w14:paraId="220D170A">
      <w:pPr>
        <w:spacing w:line="360" w:lineRule="auto"/>
        <w:ind w:firstLine="425" w:firstLineChars="177"/>
        <w:rPr>
          <w:rFonts w:ascii="宋体" w:hAnsi="宋体"/>
          <w:lang w:eastAsia="zh-CN"/>
        </w:rPr>
      </w:pPr>
      <w:r>
        <w:rPr>
          <w:rFonts w:ascii="宋体" w:hAnsi="宋体" w:hint="eastAsia"/>
          <w:lang w:eastAsia="zh-CN"/>
        </w:rPr>
        <w:t>3.3.1 在投标人须知前附表规定的投标有效期内，投标人不得要求撤销或修改其投标文件。</w:t>
      </w:r>
    </w:p>
    <w:p w14:paraId="6760C0F0">
      <w:pPr>
        <w:spacing w:line="360" w:lineRule="auto"/>
        <w:ind w:firstLine="425" w:firstLineChars="177"/>
        <w:rPr>
          <w:rFonts w:ascii="宋体" w:hAnsi="宋体"/>
          <w:lang w:eastAsia="zh-CN"/>
        </w:rPr>
      </w:pPr>
      <w:r>
        <w:rPr>
          <w:rFonts w:ascii="宋体" w:hAnsi="宋体" w:hint="eastAsia"/>
          <w:lang w:eastAsia="zh-CN"/>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61DFD8E0">
      <w:pPr>
        <w:pStyle w:val="Heading3"/>
        <w:rPr>
          <w:rFonts w:ascii="宋体" w:hAnsi="宋体"/>
          <w:sz w:val="24"/>
          <w:szCs w:val="24"/>
        </w:rPr>
      </w:pPr>
      <w:bookmarkStart w:id="32" w:name="_Toc256000024"/>
      <w:r>
        <w:rPr>
          <w:rFonts w:ascii="宋体" w:hAnsi="宋体" w:hint="eastAsia"/>
          <w:sz w:val="24"/>
          <w:szCs w:val="24"/>
        </w:rPr>
        <w:t>3.4  投标保证金</w:t>
      </w:r>
      <w:bookmarkEnd w:id="32"/>
    </w:p>
    <w:p w14:paraId="1A7FDDA9">
      <w:pPr>
        <w:spacing w:line="360" w:lineRule="auto"/>
        <w:ind w:firstLine="425" w:firstLineChars="177"/>
        <w:rPr>
          <w:rFonts w:ascii="宋体" w:hAnsi="宋体"/>
          <w:lang w:eastAsia="zh-CN"/>
        </w:rPr>
      </w:pPr>
      <w:r>
        <w:rPr>
          <w:rFonts w:ascii="宋体" w:hAnsi="宋体" w:hint="eastAsia"/>
          <w:lang w:eastAsia="zh-CN"/>
        </w:rPr>
        <w:t>3.4.1 投标人应按投标人须知前附表规定的金额、形式和第八章“投标文件格式”规定的投标保证金格式递交投标保证金，并作为其投标文件的组成部分。联合体投标的，其投标保证金由联合体牵头人提交。</w:t>
      </w:r>
    </w:p>
    <w:p w14:paraId="1BD484E4">
      <w:pPr>
        <w:spacing w:line="360" w:lineRule="auto"/>
        <w:ind w:firstLine="425" w:firstLineChars="177"/>
        <w:rPr>
          <w:rFonts w:ascii="宋体" w:hAnsi="宋体"/>
          <w:lang w:eastAsia="zh-CN"/>
        </w:rPr>
      </w:pPr>
      <w:r>
        <w:rPr>
          <w:rFonts w:ascii="宋体" w:hAnsi="宋体" w:hint="eastAsia"/>
          <w:lang w:eastAsia="zh-CN"/>
        </w:rPr>
        <w:t>3.4.2 投标人不按本章第 3.4.1 项要求提交投标保证金的，其投标文件作否决投标处理。</w:t>
      </w:r>
    </w:p>
    <w:p w14:paraId="5AB232AE">
      <w:pPr>
        <w:spacing w:line="360" w:lineRule="auto"/>
        <w:ind w:firstLine="425" w:firstLineChars="177"/>
        <w:rPr>
          <w:rFonts w:ascii="宋体" w:hAnsi="宋体"/>
          <w:lang w:eastAsia="zh-CN"/>
        </w:rPr>
      </w:pPr>
      <w:r>
        <w:rPr>
          <w:rFonts w:ascii="宋体" w:hAnsi="宋体" w:hint="eastAsia"/>
          <w:lang w:eastAsia="zh-CN"/>
        </w:rPr>
        <w:t>3.4.3按照投标人须知前附表第3.4.3条执行。</w:t>
      </w:r>
    </w:p>
    <w:p w14:paraId="03DC227D">
      <w:pPr>
        <w:spacing w:line="360" w:lineRule="auto"/>
        <w:ind w:firstLine="425" w:firstLineChars="177"/>
        <w:rPr>
          <w:rFonts w:ascii="宋体" w:hAnsi="宋体"/>
          <w:lang w:eastAsia="zh-CN"/>
        </w:rPr>
      </w:pPr>
      <w:r>
        <w:rPr>
          <w:rFonts w:ascii="宋体" w:hAnsi="宋体" w:hint="eastAsia"/>
          <w:lang w:eastAsia="zh-CN"/>
        </w:rPr>
        <w:t>3.4.4 有下列情形之一的，投标保证金将不予退还：</w:t>
      </w:r>
    </w:p>
    <w:p w14:paraId="426ECC51">
      <w:pPr>
        <w:spacing w:line="360" w:lineRule="auto"/>
        <w:rPr>
          <w:rFonts w:ascii="宋体" w:hAnsi="宋体"/>
          <w:lang w:eastAsia="zh-CN"/>
        </w:rPr>
      </w:pPr>
      <w:r>
        <w:rPr>
          <w:rFonts w:ascii="宋体" w:hAnsi="宋体" w:hint="eastAsia"/>
          <w:lang w:eastAsia="zh-CN"/>
        </w:rPr>
        <w:t xml:space="preserve">    （1）投标人在规定的投标有效期内撤销投标文件；</w:t>
      </w:r>
    </w:p>
    <w:p w14:paraId="71B8C67D">
      <w:pPr>
        <w:spacing w:line="360" w:lineRule="auto"/>
        <w:rPr>
          <w:rFonts w:ascii="宋体" w:hAnsi="宋体"/>
          <w:lang w:eastAsia="zh-CN"/>
        </w:rPr>
      </w:pPr>
      <w:r>
        <w:rPr>
          <w:rFonts w:ascii="宋体" w:hAnsi="宋体" w:hint="eastAsia"/>
          <w:lang w:eastAsia="zh-CN"/>
        </w:rPr>
        <w:t xml:space="preserve">    （2）中标人在收到中标通知书后，无正当理由拒签合同协议书或未按招标文件规定提交履约担保。</w:t>
      </w:r>
    </w:p>
    <w:p w14:paraId="1E9A130A">
      <w:pPr>
        <w:pStyle w:val="Heading3"/>
        <w:rPr>
          <w:rFonts w:ascii="宋体" w:hAnsi="宋体"/>
          <w:sz w:val="24"/>
          <w:szCs w:val="24"/>
        </w:rPr>
      </w:pPr>
      <w:bookmarkStart w:id="33" w:name="_Toc256000025"/>
      <w:r>
        <w:rPr>
          <w:rFonts w:ascii="宋体" w:hAnsi="宋体" w:hint="eastAsia"/>
          <w:sz w:val="24"/>
          <w:szCs w:val="24"/>
        </w:rPr>
        <w:t>3.5  资格审查资料（适用于已进行资格预审的）</w:t>
      </w:r>
      <w:bookmarkEnd w:id="33"/>
    </w:p>
    <w:p w14:paraId="21CA68D7">
      <w:pPr>
        <w:spacing w:line="360" w:lineRule="auto"/>
        <w:ind w:firstLine="425" w:firstLineChars="177"/>
        <w:rPr>
          <w:rFonts w:ascii="宋体" w:hAnsi="宋体"/>
          <w:lang w:eastAsia="zh-CN"/>
        </w:rPr>
      </w:pPr>
      <w:r>
        <w:rPr>
          <w:rFonts w:ascii="宋体" w:hAnsi="宋体" w:hint="eastAsia"/>
          <w:lang w:eastAsia="zh-CN"/>
        </w:rPr>
        <w:t>投标人在编制投标文件时，应按新情况更新或补充其在申请资格预审时提供的资料，以证实其各项资格条件仍能继续满足资格预审文件的要求，具备承担本标段施工的资质条件、能力和信誉。</w:t>
      </w:r>
    </w:p>
    <w:p w14:paraId="02020579">
      <w:pPr>
        <w:pStyle w:val="Heading3"/>
        <w:rPr>
          <w:rFonts w:ascii="宋体" w:hAnsi="宋体"/>
          <w:sz w:val="24"/>
          <w:szCs w:val="24"/>
        </w:rPr>
      </w:pPr>
      <w:bookmarkStart w:id="34" w:name="_Toc256000026"/>
      <w:r>
        <w:rPr>
          <w:rFonts w:ascii="宋体" w:hAnsi="宋体" w:hint="eastAsia"/>
          <w:sz w:val="24"/>
          <w:szCs w:val="24"/>
        </w:rPr>
        <w:t>3.5  资格审查资料（适用于未进行资格预审的）</w:t>
      </w:r>
      <w:bookmarkEnd w:id="34"/>
    </w:p>
    <w:p w14:paraId="110FB896">
      <w:pPr>
        <w:spacing w:line="360" w:lineRule="auto"/>
        <w:ind w:firstLine="425" w:firstLineChars="177"/>
        <w:rPr>
          <w:rFonts w:ascii="宋体" w:hAnsi="宋体"/>
          <w:lang w:eastAsia="zh-CN"/>
        </w:rPr>
      </w:pPr>
      <w:r>
        <w:rPr>
          <w:rFonts w:ascii="宋体" w:hAnsi="宋体" w:hint="eastAsia"/>
          <w:lang w:eastAsia="zh-CN"/>
        </w:rPr>
        <w:t>3.5.1 “投标人基本情况表”应附投标人营业执照副本、资质证书副本和安全生产许可证等材料的扫描件。</w:t>
      </w:r>
    </w:p>
    <w:p w14:paraId="10923F8B">
      <w:pPr>
        <w:spacing w:line="360" w:lineRule="auto"/>
        <w:ind w:firstLine="425" w:firstLineChars="177"/>
        <w:rPr>
          <w:rFonts w:ascii="宋体" w:hAnsi="宋体"/>
          <w:lang w:eastAsia="zh-CN"/>
        </w:rPr>
      </w:pPr>
      <w:r>
        <w:rPr>
          <w:rFonts w:ascii="宋体" w:hAnsi="宋体" w:hint="eastAsia"/>
          <w:lang w:eastAsia="zh-CN"/>
        </w:rPr>
        <w:t>3.5.2 “近年财务状况表”应附经会计师事务所或审计机构审计的财务会计报表，包括资产负债表、现金流量表、利润表和财务情况说明书的扫描件，具体年份要求见投标人须知前附表。</w:t>
      </w:r>
    </w:p>
    <w:p w14:paraId="671D066A">
      <w:pPr>
        <w:spacing w:line="360" w:lineRule="auto"/>
        <w:ind w:firstLine="425" w:firstLineChars="177"/>
        <w:rPr>
          <w:rFonts w:ascii="宋体" w:hAnsi="宋体"/>
          <w:lang w:eastAsia="zh-CN"/>
        </w:rPr>
      </w:pPr>
      <w:r>
        <w:rPr>
          <w:rFonts w:ascii="宋体" w:hAnsi="宋体" w:hint="eastAsia"/>
          <w:lang w:eastAsia="zh-CN"/>
        </w:rPr>
        <w:t>3.5.3 “近年完成的类似项目情况表”应附中标通知书和（或）合同协议书、工程接收证书（工程竣工验收证书）的扫描件，具体年份要求见投标人须知前附表。每张表格只填写一个项目，并标明序号。</w:t>
      </w:r>
    </w:p>
    <w:p w14:paraId="0FF5C879">
      <w:pPr>
        <w:spacing w:line="360" w:lineRule="auto"/>
        <w:ind w:firstLine="425" w:firstLineChars="177"/>
        <w:rPr>
          <w:rFonts w:ascii="宋体" w:hAnsi="宋体"/>
          <w:lang w:eastAsia="zh-CN"/>
        </w:rPr>
      </w:pPr>
      <w:r>
        <w:rPr>
          <w:rFonts w:ascii="宋体" w:hAnsi="宋体" w:hint="eastAsia"/>
          <w:lang w:eastAsia="zh-CN"/>
        </w:rPr>
        <w:t>3.5.4 “正在施工和新承接的项目情况表”应附中标通知书和（或）合同协议书扫描件。每张表格只填写一个项目，并标明序号。</w:t>
      </w:r>
    </w:p>
    <w:p w14:paraId="603E6CA5">
      <w:pPr>
        <w:spacing w:line="360" w:lineRule="auto"/>
        <w:ind w:firstLine="425" w:firstLineChars="177"/>
        <w:rPr>
          <w:rFonts w:ascii="宋体" w:hAnsi="宋体"/>
          <w:lang w:eastAsia="zh-CN"/>
        </w:rPr>
      </w:pPr>
      <w:r>
        <w:rPr>
          <w:rFonts w:ascii="宋体" w:hAnsi="宋体" w:hint="eastAsia"/>
          <w:lang w:eastAsia="zh-CN"/>
        </w:rPr>
        <w:t>3.5.5 “近年发生的诉讼及仲裁情况”应说明相关情况，并附法院或仲裁机构作出的判决、裁决等有关法律文书扫描件，具体年份要求见投标人须知前附表。</w:t>
      </w:r>
    </w:p>
    <w:p w14:paraId="51325C1D">
      <w:pPr>
        <w:spacing w:line="360" w:lineRule="auto"/>
        <w:ind w:firstLine="425" w:firstLineChars="177"/>
        <w:rPr>
          <w:rFonts w:ascii="宋体" w:hAnsi="宋体"/>
          <w:lang w:eastAsia="zh-CN"/>
        </w:rPr>
      </w:pPr>
      <w:r>
        <w:rPr>
          <w:rFonts w:ascii="宋体" w:hAnsi="宋体" w:hint="eastAsia"/>
          <w:lang w:eastAsia="zh-CN"/>
        </w:rPr>
        <w:t>3.5.6 投标人须知前附表规定接受联合体投标的，本章第 3.5.1 项至第 3.5.5 项规定的表格和资料应包括联合体各方相关情况。</w:t>
      </w:r>
    </w:p>
    <w:p w14:paraId="6039530C">
      <w:pPr>
        <w:pStyle w:val="Heading3"/>
        <w:rPr>
          <w:rFonts w:ascii="宋体" w:hAnsi="宋体"/>
          <w:sz w:val="24"/>
          <w:szCs w:val="24"/>
        </w:rPr>
      </w:pPr>
      <w:bookmarkStart w:id="35" w:name="_Toc256000027"/>
      <w:r>
        <w:rPr>
          <w:rFonts w:ascii="宋体" w:hAnsi="宋体" w:hint="eastAsia"/>
          <w:sz w:val="24"/>
          <w:szCs w:val="24"/>
        </w:rPr>
        <w:t>3.6  备选投标方案</w:t>
      </w:r>
      <w:bookmarkEnd w:id="35"/>
    </w:p>
    <w:p w14:paraId="757F89AB">
      <w:pPr>
        <w:spacing w:line="360" w:lineRule="auto"/>
        <w:ind w:firstLine="425" w:firstLineChars="177"/>
        <w:rPr>
          <w:rFonts w:ascii="宋体" w:hAnsi="宋体"/>
          <w:lang w:eastAsia="zh-CN"/>
        </w:rPr>
      </w:pPr>
      <w:r>
        <w:rPr>
          <w:rFonts w:ascii="宋体" w:hAnsi="宋体" w:hint="eastAsia"/>
          <w:lang w:eastAsia="zh-CN"/>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7FAD1CD0">
      <w:pPr>
        <w:pStyle w:val="Heading3"/>
        <w:rPr>
          <w:rFonts w:ascii="宋体" w:hAnsi="宋体"/>
          <w:sz w:val="24"/>
          <w:szCs w:val="24"/>
        </w:rPr>
      </w:pPr>
      <w:bookmarkStart w:id="36" w:name="_Toc256000028"/>
      <w:r>
        <w:rPr>
          <w:rFonts w:ascii="宋体" w:hAnsi="宋体" w:hint="eastAsia"/>
          <w:sz w:val="24"/>
          <w:szCs w:val="24"/>
        </w:rPr>
        <w:t>3.7  投标文件的编制</w:t>
      </w:r>
      <w:bookmarkEnd w:id="36"/>
    </w:p>
    <w:p w14:paraId="28E026CF">
      <w:pPr>
        <w:spacing w:line="360" w:lineRule="auto"/>
        <w:ind w:firstLine="425" w:firstLineChars="177"/>
        <w:rPr>
          <w:rFonts w:ascii="宋体" w:hAnsi="宋体"/>
          <w:lang w:eastAsia="zh-CN"/>
        </w:rPr>
      </w:pPr>
      <w:r>
        <w:rPr>
          <w:rFonts w:ascii="宋体" w:hAnsi="宋体" w:hint="eastAsia"/>
          <w:lang w:eastAsia="zh-CN"/>
        </w:rPr>
        <w:t>3.7.1 投标文件应按第八章“投标文件格式”进行编写，如有必要，可以增加附页，作为投标文件的组成部分。其中，投标函附录在满足招标文件实质性要求的基础上，可以提出比招标文件要求更有利于招标人的承诺。</w:t>
      </w:r>
    </w:p>
    <w:p w14:paraId="2676BC2A">
      <w:pPr>
        <w:spacing w:line="360" w:lineRule="auto"/>
        <w:ind w:firstLine="425" w:firstLineChars="177"/>
        <w:rPr>
          <w:rFonts w:ascii="宋体" w:hAnsi="宋体"/>
          <w:lang w:eastAsia="zh-CN"/>
        </w:rPr>
      </w:pPr>
      <w:r>
        <w:rPr>
          <w:rFonts w:ascii="宋体" w:hAnsi="宋体" w:hint="eastAsia"/>
          <w:lang w:eastAsia="zh-CN"/>
        </w:rPr>
        <w:t>3.7.2 投标文件应当对招标文件有关工期、投标有效期、质量要求、技术标准和要求、招标范围等实质性内容作出响应。</w:t>
      </w:r>
    </w:p>
    <w:p w14:paraId="7CA93FAB">
      <w:pPr>
        <w:spacing w:line="360" w:lineRule="auto"/>
        <w:ind w:firstLine="425" w:firstLineChars="177"/>
        <w:rPr>
          <w:rFonts w:ascii="宋体" w:hAnsi="宋体"/>
          <w:lang w:eastAsia="zh-CN"/>
        </w:rPr>
      </w:pPr>
      <w:r>
        <w:rPr>
          <w:rFonts w:ascii="宋体" w:hAnsi="宋体" w:hint="eastAsia"/>
          <w:lang w:eastAsia="zh-CN"/>
        </w:rPr>
        <w:t>3.7.3 投标文件的签署的具体要求见投标人须知前附表。</w:t>
      </w:r>
    </w:p>
    <w:p w14:paraId="0026946B">
      <w:pPr>
        <w:pStyle w:val="Heading2"/>
        <w:rPr>
          <w:rFonts w:ascii="宋体" w:hAnsi="宋体"/>
          <w:sz w:val="24"/>
          <w:szCs w:val="24"/>
        </w:rPr>
      </w:pPr>
      <w:bookmarkStart w:id="37" w:name="_Toc256000029"/>
      <w:r>
        <w:rPr>
          <w:rFonts w:ascii="宋体" w:hAnsi="宋体" w:hint="eastAsia"/>
          <w:sz w:val="24"/>
          <w:szCs w:val="24"/>
        </w:rPr>
        <w:t>4.  投标</w:t>
      </w:r>
      <w:bookmarkEnd w:id="37"/>
    </w:p>
    <w:p w14:paraId="749785F3">
      <w:pPr>
        <w:pStyle w:val="Heading2"/>
        <w:rPr>
          <w:rFonts w:ascii="宋体" w:hAnsi="宋体"/>
          <w:sz w:val="24"/>
          <w:szCs w:val="24"/>
        </w:rPr>
      </w:pPr>
      <w:bookmarkStart w:id="38" w:name="_Toc256000030"/>
      <w:r>
        <w:rPr>
          <w:rFonts w:ascii="宋体" w:hAnsi="宋体" w:hint="eastAsia"/>
          <w:sz w:val="24"/>
          <w:szCs w:val="24"/>
        </w:rPr>
        <w:t xml:space="preserve">4.1 </w:t>
      </w:r>
      <w:r>
        <w:rPr>
          <w:rFonts w:ascii="宋体" w:hAnsi="宋体" w:cs="宋体" w:hint="eastAsia"/>
          <w:sz w:val="24"/>
        </w:rPr>
        <w:t>投标文件加密要求：见投标人须知前附表。</w:t>
      </w:r>
      <w:bookmarkEnd w:id="38"/>
    </w:p>
    <w:p w14:paraId="378C9926">
      <w:pPr>
        <w:pStyle w:val="Heading3"/>
        <w:rPr>
          <w:rFonts w:ascii="宋体" w:hAnsi="宋体"/>
          <w:sz w:val="24"/>
          <w:szCs w:val="24"/>
        </w:rPr>
      </w:pPr>
      <w:bookmarkStart w:id="39" w:name="_Toc256000031"/>
      <w:r>
        <w:rPr>
          <w:rFonts w:ascii="宋体" w:hAnsi="宋体" w:hint="eastAsia"/>
          <w:sz w:val="24"/>
          <w:szCs w:val="24"/>
        </w:rPr>
        <w:t>4.2  投标文件的递交</w:t>
      </w:r>
      <w:bookmarkEnd w:id="39"/>
    </w:p>
    <w:p w14:paraId="55507D4F">
      <w:pPr>
        <w:spacing w:line="360" w:lineRule="auto"/>
        <w:ind w:firstLine="425" w:firstLineChars="177"/>
        <w:rPr>
          <w:rFonts w:ascii="宋体" w:hAnsi="宋体"/>
          <w:lang w:eastAsia="zh-CN"/>
        </w:rPr>
      </w:pPr>
      <w:r>
        <w:rPr>
          <w:rFonts w:ascii="宋体" w:hAnsi="宋体" w:hint="eastAsia"/>
          <w:lang w:eastAsia="zh-CN"/>
        </w:rPr>
        <w:t>4.2.1 投标人应在投标人须知前附表规定的投标截止时间前在线递交经投标人数字证书加密的数据电文形式投标文件。</w:t>
      </w:r>
    </w:p>
    <w:p w14:paraId="5970AD44">
      <w:pPr>
        <w:spacing w:line="360" w:lineRule="auto"/>
        <w:ind w:firstLine="425" w:firstLineChars="177"/>
        <w:rPr>
          <w:rFonts w:ascii="宋体" w:hAnsi="宋体"/>
          <w:lang w:eastAsia="zh-CN"/>
        </w:rPr>
      </w:pPr>
      <w:r>
        <w:rPr>
          <w:rFonts w:ascii="宋体" w:hAnsi="宋体" w:hint="eastAsia"/>
          <w:lang w:eastAsia="zh-CN"/>
        </w:rPr>
        <w:t>4.2.2 投标人递交投标文件的地点：见投标人须知前附表。</w:t>
      </w:r>
    </w:p>
    <w:p w14:paraId="40FAEB19">
      <w:pPr>
        <w:spacing w:line="360" w:lineRule="auto"/>
        <w:ind w:firstLine="425" w:firstLineChars="177"/>
        <w:rPr>
          <w:rFonts w:ascii="宋体" w:hAnsi="宋体"/>
          <w:lang w:eastAsia="zh-CN"/>
        </w:rPr>
      </w:pPr>
      <w:r>
        <w:rPr>
          <w:rFonts w:ascii="宋体" w:hAnsi="宋体" w:hint="eastAsia"/>
          <w:lang w:eastAsia="zh-CN"/>
        </w:rPr>
        <w:t>4.2.3 投标人所递交的投标文件不予退还。</w:t>
      </w:r>
    </w:p>
    <w:p w14:paraId="2E00CB16">
      <w:pPr>
        <w:spacing w:line="360" w:lineRule="auto"/>
        <w:ind w:firstLine="425" w:firstLineChars="177"/>
        <w:rPr>
          <w:rFonts w:ascii="宋体" w:hAnsi="宋体"/>
          <w:lang w:eastAsia="zh-CN"/>
        </w:rPr>
      </w:pPr>
    </w:p>
    <w:p w14:paraId="40CBF0D0">
      <w:pPr>
        <w:pStyle w:val="Heading3"/>
        <w:rPr>
          <w:rFonts w:ascii="宋体" w:hAnsi="宋体"/>
          <w:sz w:val="24"/>
          <w:szCs w:val="24"/>
        </w:rPr>
      </w:pPr>
      <w:bookmarkStart w:id="40" w:name="_Toc256000032"/>
      <w:r>
        <w:rPr>
          <w:rFonts w:ascii="宋体" w:hAnsi="宋体" w:hint="eastAsia"/>
          <w:sz w:val="24"/>
          <w:szCs w:val="24"/>
        </w:rPr>
        <w:t>4.3  投标文件的修改与撤回</w:t>
      </w:r>
      <w:bookmarkEnd w:id="40"/>
    </w:p>
    <w:p w14:paraId="335BEA09">
      <w:pPr>
        <w:spacing w:line="360" w:lineRule="auto"/>
        <w:ind w:firstLine="425" w:firstLineChars="177"/>
        <w:rPr>
          <w:rFonts w:ascii="宋体" w:hAnsi="宋体"/>
          <w:lang w:eastAsia="zh-CN"/>
        </w:rPr>
      </w:pPr>
      <w:r>
        <w:rPr>
          <w:rFonts w:ascii="宋体" w:hAnsi="宋体" w:hint="eastAsia"/>
          <w:lang w:eastAsia="zh-CN"/>
        </w:rPr>
        <w:t>在投标人须知前附表规定的投标截止时间前，投标人可以修改或撤回已递交的数据电文形式投标文件。</w:t>
      </w:r>
    </w:p>
    <w:p w14:paraId="19D8F382">
      <w:pPr>
        <w:pStyle w:val="Heading2"/>
        <w:rPr>
          <w:rFonts w:ascii="宋体" w:hAnsi="宋体"/>
          <w:sz w:val="24"/>
          <w:szCs w:val="24"/>
        </w:rPr>
      </w:pPr>
      <w:bookmarkStart w:id="41" w:name="_Toc256000033"/>
      <w:r>
        <w:rPr>
          <w:rFonts w:ascii="宋体" w:hAnsi="宋体" w:hint="eastAsia"/>
          <w:sz w:val="24"/>
          <w:szCs w:val="24"/>
        </w:rPr>
        <w:t>5.  开标</w:t>
      </w:r>
      <w:bookmarkEnd w:id="41"/>
    </w:p>
    <w:p w14:paraId="6023ED48">
      <w:pPr>
        <w:pStyle w:val="Heading3"/>
        <w:rPr>
          <w:rFonts w:ascii="宋体" w:hAnsi="宋体"/>
          <w:sz w:val="24"/>
          <w:szCs w:val="24"/>
        </w:rPr>
      </w:pPr>
      <w:bookmarkStart w:id="42" w:name="_Toc256000034"/>
      <w:r>
        <w:rPr>
          <w:rFonts w:ascii="宋体" w:hAnsi="宋体" w:hint="eastAsia"/>
          <w:sz w:val="24"/>
          <w:szCs w:val="24"/>
        </w:rPr>
        <w:t>5.1  开标时间和地点</w:t>
      </w:r>
      <w:bookmarkEnd w:id="42"/>
    </w:p>
    <w:p w14:paraId="15E3414B">
      <w:pPr>
        <w:spacing w:line="360" w:lineRule="auto"/>
        <w:ind w:firstLine="425" w:firstLineChars="177"/>
        <w:rPr>
          <w:rFonts w:ascii="宋体" w:hAnsi="宋体"/>
          <w:lang w:eastAsia="zh-CN"/>
        </w:rPr>
      </w:pPr>
      <w:r>
        <w:rPr>
          <w:rFonts w:ascii="宋体" w:hAnsi="宋体" w:hint="eastAsia"/>
          <w:lang w:eastAsia="zh-CN"/>
        </w:rPr>
        <w:t>招标人在投标人须知前附表规定的投标截止时间（开标时间）和投标人须知前附表规定的地点公开开标。</w:t>
      </w:r>
    </w:p>
    <w:p w14:paraId="26A9D57C">
      <w:pPr>
        <w:pStyle w:val="Heading3"/>
        <w:rPr>
          <w:rFonts w:ascii="宋体" w:hAnsi="宋体"/>
          <w:sz w:val="24"/>
          <w:szCs w:val="24"/>
        </w:rPr>
      </w:pPr>
      <w:bookmarkStart w:id="43" w:name="_Toc256000035"/>
      <w:r>
        <w:rPr>
          <w:rFonts w:ascii="宋体" w:hAnsi="宋体" w:hint="eastAsia"/>
          <w:sz w:val="24"/>
          <w:szCs w:val="24"/>
        </w:rPr>
        <w:t>5.2  开标程序</w:t>
      </w:r>
      <w:bookmarkEnd w:id="43"/>
    </w:p>
    <w:p w14:paraId="1E0AC3EB">
      <w:pPr>
        <w:spacing w:line="360" w:lineRule="auto"/>
        <w:ind w:firstLine="425" w:firstLineChars="177"/>
        <w:rPr>
          <w:rFonts w:ascii="宋体" w:hAnsi="宋体"/>
          <w:lang w:eastAsia="zh-CN"/>
        </w:rPr>
      </w:pPr>
      <w:r>
        <w:rPr>
          <w:rFonts w:ascii="宋体" w:hAnsi="宋体" w:hint="eastAsia"/>
          <w:lang w:eastAsia="zh-CN"/>
        </w:rPr>
        <w:t>按投标人须知前附表规定的程序进行开标。</w:t>
      </w:r>
    </w:p>
    <w:p w14:paraId="0108271B">
      <w:pPr>
        <w:pStyle w:val="Heading2"/>
        <w:rPr>
          <w:rFonts w:ascii="宋体" w:hAnsi="宋体"/>
          <w:sz w:val="24"/>
          <w:szCs w:val="24"/>
        </w:rPr>
      </w:pPr>
      <w:bookmarkStart w:id="44" w:name="_Toc256000036"/>
      <w:r>
        <w:rPr>
          <w:rFonts w:ascii="宋体" w:hAnsi="宋体" w:hint="eastAsia"/>
          <w:sz w:val="24"/>
          <w:szCs w:val="24"/>
        </w:rPr>
        <w:t>6.  评标</w:t>
      </w:r>
      <w:bookmarkEnd w:id="44"/>
    </w:p>
    <w:p w14:paraId="036DB41A">
      <w:pPr>
        <w:pStyle w:val="Heading3"/>
        <w:rPr>
          <w:rFonts w:ascii="宋体" w:hAnsi="宋体"/>
          <w:sz w:val="24"/>
          <w:szCs w:val="24"/>
        </w:rPr>
      </w:pPr>
      <w:bookmarkStart w:id="45" w:name="_Toc256000037"/>
      <w:r>
        <w:rPr>
          <w:rFonts w:ascii="宋体" w:hAnsi="宋体" w:hint="eastAsia"/>
          <w:sz w:val="24"/>
          <w:szCs w:val="24"/>
        </w:rPr>
        <w:t>6.1  评标委员会</w:t>
      </w:r>
      <w:bookmarkEnd w:id="45"/>
    </w:p>
    <w:p w14:paraId="29BE47C7">
      <w:pPr>
        <w:spacing w:line="360" w:lineRule="auto"/>
        <w:ind w:firstLine="425" w:firstLineChars="177"/>
        <w:rPr>
          <w:rFonts w:ascii="宋体" w:hAnsi="宋体"/>
          <w:lang w:eastAsia="zh-CN"/>
        </w:rPr>
      </w:pPr>
      <w:r>
        <w:rPr>
          <w:rFonts w:ascii="宋体" w:hAnsi="宋体" w:hint="eastAsia"/>
          <w:lang w:eastAsia="zh-CN"/>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602F39FB">
      <w:pPr>
        <w:spacing w:line="360" w:lineRule="auto"/>
        <w:ind w:firstLine="425" w:firstLineChars="177"/>
        <w:rPr>
          <w:rFonts w:ascii="宋体" w:hAnsi="宋体"/>
          <w:lang w:eastAsia="zh-CN"/>
        </w:rPr>
      </w:pPr>
      <w:r>
        <w:rPr>
          <w:rFonts w:ascii="宋体" w:hAnsi="宋体" w:hint="eastAsia"/>
          <w:lang w:eastAsia="zh-CN"/>
        </w:rPr>
        <w:t>6.1.2 评标委员会成员有下列情形之一的，应当回避：</w:t>
      </w:r>
    </w:p>
    <w:p w14:paraId="4B9B4CCF">
      <w:pPr>
        <w:spacing w:line="360" w:lineRule="auto"/>
        <w:rPr>
          <w:rFonts w:ascii="宋体" w:hAnsi="宋体"/>
          <w:lang w:eastAsia="zh-CN"/>
        </w:rPr>
      </w:pPr>
      <w:r>
        <w:rPr>
          <w:rFonts w:ascii="宋体" w:hAnsi="宋体" w:hint="eastAsia"/>
          <w:lang w:eastAsia="zh-CN"/>
        </w:rPr>
        <w:t xml:space="preserve">    （1）招标人或投标人的主要负责人的近亲属；</w:t>
      </w:r>
    </w:p>
    <w:p w14:paraId="5502ED18">
      <w:pPr>
        <w:spacing w:line="360" w:lineRule="auto"/>
        <w:rPr>
          <w:rFonts w:ascii="宋体" w:hAnsi="宋体"/>
          <w:lang w:eastAsia="zh-CN"/>
        </w:rPr>
      </w:pPr>
      <w:r>
        <w:rPr>
          <w:rFonts w:ascii="宋体" w:hAnsi="宋体" w:hint="eastAsia"/>
          <w:lang w:eastAsia="zh-CN"/>
        </w:rPr>
        <w:t xml:space="preserve">    （2）项目主管部门或者行政监督部门的人员；</w:t>
      </w:r>
    </w:p>
    <w:p w14:paraId="032E8069">
      <w:pPr>
        <w:spacing w:line="360" w:lineRule="auto"/>
        <w:rPr>
          <w:rFonts w:ascii="宋体" w:hAnsi="宋体"/>
          <w:lang w:eastAsia="zh-CN"/>
        </w:rPr>
      </w:pPr>
      <w:r>
        <w:rPr>
          <w:rFonts w:ascii="宋体" w:hAnsi="宋体" w:hint="eastAsia"/>
          <w:lang w:eastAsia="zh-CN"/>
        </w:rPr>
        <w:t xml:space="preserve">    （3）与投标人有经济利益关系，可能影响对投标公正评审的；</w:t>
      </w:r>
    </w:p>
    <w:p w14:paraId="19AA4231">
      <w:pPr>
        <w:spacing w:line="360" w:lineRule="auto"/>
        <w:rPr>
          <w:rFonts w:ascii="宋体" w:hAnsi="宋体"/>
          <w:lang w:eastAsia="zh-CN"/>
        </w:rPr>
      </w:pPr>
      <w:r>
        <w:rPr>
          <w:rFonts w:ascii="宋体" w:hAnsi="宋体" w:hint="eastAsia"/>
          <w:lang w:eastAsia="zh-CN"/>
        </w:rPr>
        <w:t xml:space="preserve">    （4）曾因在招标、评标以及其他与招标投标有关活动中从事违法行为而受过行政处罚或刑事处罚的。</w:t>
      </w:r>
    </w:p>
    <w:p w14:paraId="1B2F31FC">
      <w:pPr>
        <w:pStyle w:val="Heading3"/>
        <w:rPr>
          <w:rFonts w:ascii="宋体" w:hAnsi="宋体"/>
          <w:sz w:val="24"/>
          <w:szCs w:val="24"/>
        </w:rPr>
      </w:pPr>
      <w:bookmarkStart w:id="46" w:name="_Toc256000038"/>
      <w:r>
        <w:rPr>
          <w:rFonts w:ascii="宋体" w:hAnsi="宋体" w:hint="eastAsia"/>
          <w:sz w:val="24"/>
          <w:szCs w:val="24"/>
        </w:rPr>
        <w:t>6.2  评标原则</w:t>
      </w:r>
      <w:bookmarkEnd w:id="46"/>
    </w:p>
    <w:p w14:paraId="5E97B9F7">
      <w:pPr>
        <w:spacing w:line="360" w:lineRule="auto"/>
        <w:ind w:firstLine="425" w:firstLineChars="177"/>
        <w:rPr>
          <w:rFonts w:ascii="宋体" w:hAnsi="宋体"/>
          <w:lang w:eastAsia="zh-CN"/>
        </w:rPr>
      </w:pPr>
      <w:r>
        <w:rPr>
          <w:rFonts w:ascii="宋体" w:hAnsi="宋体" w:hint="eastAsia"/>
          <w:lang w:eastAsia="zh-CN"/>
        </w:rPr>
        <w:t>评标活动遵循公平、公正、科学和择优的原则。</w:t>
      </w:r>
    </w:p>
    <w:p w14:paraId="7CCB4EA1">
      <w:pPr>
        <w:pStyle w:val="Heading3"/>
        <w:rPr>
          <w:rFonts w:ascii="宋体" w:hAnsi="宋体"/>
          <w:sz w:val="24"/>
          <w:szCs w:val="24"/>
        </w:rPr>
      </w:pPr>
      <w:bookmarkStart w:id="47" w:name="_Toc256000039"/>
      <w:r>
        <w:rPr>
          <w:rFonts w:ascii="宋体" w:hAnsi="宋体" w:hint="eastAsia"/>
          <w:sz w:val="24"/>
          <w:szCs w:val="24"/>
        </w:rPr>
        <w:t>6.3  评标</w:t>
      </w:r>
      <w:bookmarkEnd w:id="47"/>
    </w:p>
    <w:p w14:paraId="08425443">
      <w:pPr>
        <w:spacing w:line="360" w:lineRule="auto"/>
        <w:ind w:firstLine="425" w:firstLineChars="177"/>
        <w:rPr>
          <w:rFonts w:ascii="宋体" w:hAnsi="宋体"/>
          <w:lang w:eastAsia="zh-CN"/>
        </w:rPr>
      </w:pPr>
      <w:r>
        <w:rPr>
          <w:rFonts w:ascii="宋体" w:hAnsi="宋体" w:hint="eastAsia"/>
          <w:lang w:eastAsia="zh-CN"/>
        </w:rPr>
        <w:t>评标委员会按照第三章“评标办法”规定的方法、评审因素、标准和程序对投标文件进行评审。第三章“评标办法”没有规定的方法、评审因素和标准，不作为评标依据。</w:t>
      </w:r>
    </w:p>
    <w:p w14:paraId="0DD9DD0A">
      <w:pPr>
        <w:pStyle w:val="Heading2"/>
        <w:rPr>
          <w:rFonts w:ascii="宋体" w:hAnsi="宋体"/>
          <w:sz w:val="24"/>
          <w:szCs w:val="24"/>
        </w:rPr>
      </w:pPr>
      <w:bookmarkStart w:id="48" w:name="_Toc256000040"/>
      <w:r>
        <w:rPr>
          <w:rFonts w:ascii="宋体" w:hAnsi="宋体" w:hint="eastAsia"/>
          <w:sz w:val="24"/>
          <w:szCs w:val="24"/>
        </w:rPr>
        <w:t>7.  合同授予</w:t>
      </w:r>
      <w:bookmarkEnd w:id="48"/>
    </w:p>
    <w:p w14:paraId="1669C63A">
      <w:pPr>
        <w:pStyle w:val="Heading3"/>
        <w:rPr>
          <w:rFonts w:ascii="宋体" w:hAnsi="宋体"/>
          <w:sz w:val="24"/>
          <w:szCs w:val="24"/>
        </w:rPr>
      </w:pPr>
      <w:bookmarkStart w:id="49" w:name="_Toc256000041"/>
      <w:r>
        <w:rPr>
          <w:rFonts w:ascii="宋体" w:hAnsi="宋体" w:hint="eastAsia"/>
          <w:sz w:val="24"/>
          <w:szCs w:val="24"/>
        </w:rPr>
        <w:t>7.1  定标方式</w:t>
      </w:r>
      <w:bookmarkEnd w:id="49"/>
    </w:p>
    <w:p w14:paraId="589A0195">
      <w:pPr>
        <w:spacing w:line="360" w:lineRule="auto"/>
        <w:ind w:firstLine="425" w:firstLineChars="177"/>
        <w:rPr>
          <w:rFonts w:ascii="宋体" w:hAnsi="宋体"/>
          <w:lang w:eastAsia="zh-CN"/>
        </w:rPr>
      </w:pPr>
      <w:r>
        <w:rPr>
          <w:rFonts w:ascii="宋体" w:hAnsi="宋体" w:hint="eastAsia"/>
          <w:lang w:eastAsia="zh-CN"/>
        </w:rPr>
        <w:t>除投标人须知前附表规定评标委员会直接确定中标人外，招标人依据评标委员会推荐的中标候选人确定中标人，评标委员会推荐中标候选人的人数见投标人须知前附表。</w:t>
      </w:r>
    </w:p>
    <w:p w14:paraId="6971A204">
      <w:pPr>
        <w:pStyle w:val="Heading3"/>
        <w:rPr>
          <w:rFonts w:ascii="宋体" w:hAnsi="宋体"/>
          <w:sz w:val="24"/>
          <w:szCs w:val="24"/>
        </w:rPr>
      </w:pPr>
      <w:bookmarkStart w:id="50" w:name="_Toc256000042"/>
      <w:r>
        <w:rPr>
          <w:rFonts w:ascii="宋体" w:hAnsi="宋体" w:hint="eastAsia"/>
          <w:sz w:val="24"/>
          <w:szCs w:val="24"/>
        </w:rPr>
        <w:t>7.2  中标通知</w:t>
      </w:r>
      <w:bookmarkEnd w:id="50"/>
    </w:p>
    <w:p w14:paraId="545EF35B">
      <w:pPr>
        <w:spacing w:line="360" w:lineRule="auto"/>
        <w:ind w:firstLine="425" w:firstLineChars="177"/>
        <w:rPr>
          <w:rFonts w:ascii="宋体" w:hAnsi="宋体"/>
          <w:lang w:eastAsia="zh-CN"/>
        </w:rPr>
      </w:pPr>
      <w:r>
        <w:rPr>
          <w:rFonts w:ascii="宋体" w:hAnsi="宋体" w:hint="eastAsia"/>
          <w:lang w:eastAsia="zh-CN"/>
        </w:rPr>
        <w:t>在本章第 3.3 款规定的投标有效期内，招标人向中标人发出中标通知书。</w:t>
      </w:r>
    </w:p>
    <w:p w14:paraId="0EC60263">
      <w:pPr>
        <w:pStyle w:val="Heading3"/>
        <w:rPr>
          <w:rFonts w:ascii="宋体" w:hAnsi="宋体"/>
          <w:sz w:val="24"/>
          <w:szCs w:val="24"/>
        </w:rPr>
      </w:pPr>
      <w:bookmarkStart w:id="51" w:name="_Toc256000043"/>
      <w:r>
        <w:rPr>
          <w:rFonts w:ascii="宋体" w:hAnsi="宋体" w:hint="eastAsia"/>
          <w:sz w:val="24"/>
          <w:szCs w:val="24"/>
        </w:rPr>
        <w:t>7.3  履约担保</w:t>
      </w:r>
      <w:bookmarkEnd w:id="51"/>
    </w:p>
    <w:p w14:paraId="123D71CE">
      <w:pPr>
        <w:spacing w:line="360" w:lineRule="auto"/>
        <w:ind w:firstLine="425" w:firstLineChars="177"/>
        <w:rPr>
          <w:rFonts w:ascii="宋体" w:hAnsi="宋体"/>
          <w:lang w:eastAsia="zh-CN"/>
        </w:rPr>
      </w:pPr>
      <w:r>
        <w:rPr>
          <w:rFonts w:ascii="宋体" w:hAnsi="宋体" w:hint="eastAsia"/>
          <w:lang w:eastAsia="zh-CN"/>
        </w:rPr>
        <w:t>7.3.1 在签订合同前，中标人应按投标人须知前附表规定的金额、担保形式和招标文件第四章“合同条款及格式”规定的履约担保格式向招标人提交履约担保。联合体中标的，其履约担保由牵头人递交，并应符合投标人须知前附表规定的金额、担保形式和招标文件第四章“合同条款及格式”规定的履约担保格式要求。</w:t>
      </w:r>
    </w:p>
    <w:p w14:paraId="45E69A89">
      <w:pPr>
        <w:spacing w:line="360" w:lineRule="auto"/>
        <w:ind w:firstLine="425" w:firstLineChars="177"/>
        <w:rPr>
          <w:rFonts w:ascii="宋体" w:hAnsi="宋体"/>
          <w:lang w:eastAsia="zh-CN"/>
        </w:rPr>
      </w:pPr>
      <w:r>
        <w:rPr>
          <w:rFonts w:ascii="宋体" w:hAnsi="宋体" w:hint="eastAsia"/>
          <w:lang w:eastAsia="zh-CN"/>
        </w:rPr>
        <w:t>7.3.2 中标人不能按本章第 7.3.1 项要求提交履约担保的，视为放弃中标，其投标保证金不予退还，给招标人造成的损失超过投标保证金数额的，中标人还应当对超过部分予以赔偿。</w:t>
      </w:r>
    </w:p>
    <w:p w14:paraId="0D296C91">
      <w:pPr>
        <w:pStyle w:val="Heading3"/>
        <w:rPr>
          <w:rFonts w:ascii="宋体" w:hAnsi="宋体"/>
          <w:sz w:val="24"/>
          <w:szCs w:val="24"/>
        </w:rPr>
      </w:pPr>
      <w:bookmarkStart w:id="52" w:name="_Toc256000044"/>
      <w:r>
        <w:rPr>
          <w:rFonts w:ascii="宋体" w:hAnsi="宋体" w:hint="eastAsia"/>
          <w:sz w:val="24"/>
          <w:szCs w:val="24"/>
        </w:rPr>
        <w:t>7.4  签订合同</w:t>
      </w:r>
      <w:bookmarkEnd w:id="52"/>
    </w:p>
    <w:p w14:paraId="6B6CF219">
      <w:pPr>
        <w:spacing w:line="360" w:lineRule="auto"/>
        <w:ind w:firstLine="425" w:firstLineChars="177"/>
        <w:rPr>
          <w:rFonts w:ascii="宋体" w:hAnsi="宋体"/>
          <w:lang w:eastAsia="zh-CN"/>
        </w:rPr>
      </w:pPr>
      <w:r>
        <w:rPr>
          <w:rFonts w:ascii="宋体" w:hAnsi="宋体" w:hint="eastAsia"/>
          <w:lang w:eastAsia="zh-CN"/>
        </w:rPr>
        <w:t>7.4.1 招标人和中标人应当自中标通知书发出之日起 30 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3CAA53B3">
      <w:pPr>
        <w:spacing w:line="360" w:lineRule="auto"/>
        <w:ind w:firstLine="425" w:firstLineChars="177"/>
        <w:rPr>
          <w:rFonts w:ascii="宋体" w:hAnsi="宋体"/>
          <w:lang w:eastAsia="zh-CN"/>
        </w:rPr>
      </w:pPr>
      <w:r>
        <w:rPr>
          <w:rFonts w:ascii="宋体" w:hAnsi="宋体" w:hint="eastAsia"/>
          <w:lang w:eastAsia="zh-CN"/>
        </w:rPr>
        <w:t>7.4.2 发出中标通知书后，招标人无正当理由拒签合同的，招标人向中标人退还投标保证金；给中标人造成损失的，还应当赔偿损失。</w:t>
      </w:r>
    </w:p>
    <w:p w14:paraId="161D1F95">
      <w:pPr>
        <w:pStyle w:val="Heading2"/>
        <w:rPr>
          <w:rFonts w:ascii="宋体" w:hAnsi="宋体"/>
          <w:sz w:val="24"/>
          <w:szCs w:val="24"/>
        </w:rPr>
      </w:pPr>
      <w:bookmarkStart w:id="53" w:name="_Toc256000045"/>
      <w:r>
        <w:rPr>
          <w:rFonts w:ascii="宋体" w:hAnsi="宋体" w:hint="eastAsia"/>
          <w:sz w:val="24"/>
          <w:szCs w:val="24"/>
        </w:rPr>
        <w:t>8.  重新招标和不再招标</w:t>
      </w:r>
      <w:bookmarkEnd w:id="53"/>
    </w:p>
    <w:p w14:paraId="24D3DD4B">
      <w:pPr>
        <w:pStyle w:val="Heading3"/>
        <w:rPr>
          <w:rFonts w:ascii="宋体" w:hAnsi="宋体"/>
          <w:sz w:val="24"/>
          <w:szCs w:val="24"/>
        </w:rPr>
      </w:pPr>
      <w:bookmarkStart w:id="54" w:name="_Toc256000046"/>
      <w:r>
        <w:rPr>
          <w:rFonts w:ascii="宋体" w:hAnsi="宋体" w:hint="eastAsia"/>
          <w:sz w:val="24"/>
          <w:szCs w:val="24"/>
        </w:rPr>
        <w:t>8.1  重新招标</w:t>
      </w:r>
      <w:bookmarkEnd w:id="54"/>
    </w:p>
    <w:p w14:paraId="31962AD6">
      <w:pPr>
        <w:spacing w:line="360" w:lineRule="auto"/>
        <w:ind w:firstLine="425" w:firstLineChars="177"/>
        <w:rPr>
          <w:rFonts w:ascii="宋体" w:hAnsi="宋体"/>
          <w:lang w:eastAsia="zh-CN"/>
        </w:rPr>
      </w:pPr>
      <w:r>
        <w:rPr>
          <w:rFonts w:ascii="宋体" w:hAnsi="宋体" w:hint="eastAsia"/>
          <w:lang w:eastAsia="zh-CN"/>
        </w:rPr>
        <w:t>有下列情形之一的，招标人将重新招标：</w:t>
      </w:r>
    </w:p>
    <w:p w14:paraId="245B0835">
      <w:pPr>
        <w:spacing w:line="360" w:lineRule="auto"/>
        <w:ind w:firstLine="425" w:firstLineChars="177"/>
        <w:rPr>
          <w:rFonts w:ascii="宋体" w:hAnsi="宋体"/>
          <w:lang w:eastAsia="zh-CN"/>
        </w:rPr>
      </w:pPr>
      <w:r>
        <w:rPr>
          <w:rFonts w:ascii="宋体" w:hAnsi="宋体" w:hint="eastAsia"/>
          <w:lang w:eastAsia="zh-CN"/>
        </w:rPr>
        <w:t>（1）投标截止时间止，投标人少于 3 个的；</w:t>
      </w:r>
    </w:p>
    <w:p w14:paraId="2F2102D0">
      <w:pPr>
        <w:spacing w:line="360" w:lineRule="auto"/>
        <w:ind w:firstLine="425" w:firstLineChars="177"/>
        <w:rPr>
          <w:rFonts w:ascii="宋体" w:hAnsi="宋体"/>
          <w:lang w:eastAsia="zh-CN"/>
        </w:rPr>
      </w:pPr>
      <w:r>
        <w:rPr>
          <w:rFonts w:ascii="宋体" w:hAnsi="宋体" w:hint="eastAsia"/>
          <w:lang w:eastAsia="zh-CN"/>
        </w:rPr>
        <w:t>（2）经评标委员会评审后否决所有投标的。</w:t>
      </w:r>
    </w:p>
    <w:p w14:paraId="0CFB0D40">
      <w:pPr>
        <w:pStyle w:val="Heading3"/>
        <w:rPr>
          <w:rFonts w:ascii="宋体" w:hAnsi="宋体"/>
          <w:sz w:val="24"/>
          <w:szCs w:val="24"/>
        </w:rPr>
      </w:pPr>
      <w:bookmarkStart w:id="55" w:name="_Toc256000047"/>
      <w:r>
        <w:rPr>
          <w:rFonts w:ascii="宋体" w:hAnsi="宋体" w:hint="eastAsia"/>
          <w:sz w:val="24"/>
          <w:szCs w:val="24"/>
        </w:rPr>
        <w:t>8.2  不再招标</w:t>
      </w:r>
      <w:bookmarkEnd w:id="55"/>
    </w:p>
    <w:p w14:paraId="25F8A227">
      <w:pPr>
        <w:spacing w:line="360" w:lineRule="auto"/>
        <w:ind w:firstLine="425" w:firstLineChars="177"/>
        <w:rPr>
          <w:rFonts w:ascii="宋体" w:hAnsi="宋体"/>
          <w:lang w:eastAsia="zh-CN"/>
        </w:rPr>
      </w:pPr>
      <w:r>
        <w:rPr>
          <w:rFonts w:ascii="宋体" w:hAnsi="宋体" w:hint="eastAsia"/>
          <w:lang w:eastAsia="zh-CN"/>
        </w:rPr>
        <w:t>重新招标后投标人仍少于3个的，属于必须审批、核准的工程建设项目，报经原审批、核准部门审批、核准后可以不再进行招标；其他工程建设项目，招标人可自行决定不再进行招标。</w:t>
      </w:r>
    </w:p>
    <w:p w14:paraId="0EE49A42">
      <w:pPr>
        <w:pStyle w:val="Heading2"/>
        <w:rPr>
          <w:rFonts w:ascii="宋体" w:hAnsi="宋体"/>
          <w:sz w:val="24"/>
          <w:szCs w:val="24"/>
        </w:rPr>
      </w:pPr>
      <w:bookmarkStart w:id="56" w:name="_Toc256000048"/>
      <w:r>
        <w:rPr>
          <w:rFonts w:ascii="宋体" w:hAnsi="宋体" w:hint="eastAsia"/>
          <w:sz w:val="24"/>
          <w:szCs w:val="24"/>
        </w:rPr>
        <w:t>9.  纪律和监督</w:t>
      </w:r>
      <w:bookmarkEnd w:id="56"/>
    </w:p>
    <w:p w14:paraId="586828D0">
      <w:pPr>
        <w:pStyle w:val="Heading3"/>
        <w:rPr>
          <w:rFonts w:ascii="宋体" w:hAnsi="宋体"/>
          <w:sz w:val="24"/>
          <w:szCs w:val="24"/>
        </w:rPr>
      </w:pPr>
      <w:bookmarkStart w:id="57" w:name="_Toc256000049"/>
      <w:r>
        <w:rPr>
          <w:rFonts w:ascii="宋体" w:hAnsi="宋体" w:hint="eastAsia"/>
          <w:sz w:val="24"/>
          <w:szCs w:val="24"/>
        </w:rPr>
        <w:t>9.1  对招标人的纪律要求</w:t>
      </w:r>
      <w:bookmarkEnd w:id="57"/>
    </w:p>
    <w:p w14:paraId="1B0BD98F">
      <w:pPr>
        <w:spacing w:line="360" w:lineRule="auto"/>
        <w:ind w:firstLine="425" w:firstLineChars="177"/>
        <w:rPr>
          <w:rFonts w:ascii="宋体" w:hAnsi="宋体"/>
          <w:lang w:eastAsia="zh-CN"/>
        </w:rPr>
      </w:pPr>
      <w:r>
        <w:rPr>
          <w:rFonts w:ascii="宋体" w:hAnsi="宋体" w:hint="eastAsia"/>
          <w:lang w:eastAsia="zh-CN"/>
        </w:rPr>
        <w:t>招标人不得泄漏招标投标活动中应当保密的情况和资料，不得与投标人串通损害国家利益、社会公共利益或者他人合法权益。</w:t>
      </w:r>
    </w:p>
    <w:p w14:paraId="58858273">
      <w:pPr>
        <w:pStyle w:val="Heading3"/>
        <w:rPr>
          <w:rFonts w:ascii="宋体" w:hAnsi="宋体"/>
          <w:sz w:val="24"/>
          <w:szCs w:val="24"/>
        </w:rPr>
      </w:pPr>
      <w:bookmarkStart w:id="58" w:name="_Toc256000050"/>
      <w:r>
        <w:rPr>
          <w:rFonts w:ascii="宋体" w:hAnsi="宋体" w:hint="eastAsia"/>
          <w:sz w:val="24"/>
          <w:szCs w:val="24"/>
        </w:rPr>
        <w:t>9.2  对投标人的纪律要求</w:t>
      </w:r>
      <w:bookmarkEnd w:id="58"/>
    </w:p>
    <w:p w14:paraId="3BA0529F">
      <w:pPr>
        <w:spacing w:line="360" w:lineRule="auto"/>
        <w:ind w:firstLine="425" w:firstLineChars="177"/>
        <w:rPr>
          <w:rFonts w:ascii="宋体" w:hAnsi="宋体"/>
          <w:lang w:eastAsia="zh-CN"/>
        </w:rPr>
      </w:pPr>
      <w:r>
        <w:rPr>
          <w:rFonts w:ascii="宋体" w:hAnsi="宋体" w:hint="eastAsia"/>
          <w:lang w:eastAsia="zh-CN"/>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6388A40">
      <w:pPr>
        <w:pStyle w:val="Heading3"/>
        <w:rPr>
          <w:rFonts w:ascii="宋体" w:hAnsi="宋体"/>
          <w:sz w:val="24"/>
          <w:szCs w:val="24"/>
        </w:rPr>
      </w:pPr>
      <w:bookmarkStart w:id="59" w:name="_Toc256000051"/>
      <w:r>
        <w:rPr>
          <w:rFonts w:ascii="宋体" w:hAnsi="宋体" w:hint="eastAsia"/>
          <w:sz w:val="24"/>
          <w:szCs w:val="24"/>
        </w:rPr>
        <w:t>9.3  对评标委员会成员的纪律要求</w:t>
      </w:r>
      <w:bookmarkEnd w:id="59"/>
    </w:p>
    <w:p w14:paraId="445CF9D8">
      <w:pPr>
        <w:spacing w:line="360" w:lineRule="auto"/>
        <w:ind w:firstLine="425" w:firstLineChars="177"/>
        <w:rPr>
          <w:rFonts w:ascii="宋体" w:hAnsi="宋体"/>
          <w:lang w:eastAsia="zh-CN"/>
        </w:rPr>
      </w:pPr>
      <w:r>
        <w:rPr>
          <w:rFonts w:ascii="宋体" w:hAnsi="宋体" w:hint="eastAsia"/>
          <w:lang w:eastAsia="zh-CN"/>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68A1348B">
      <w:pPr>
        <w:pStyle w:val="Heading3"/>
        <w:rPr>
          <w:rFonts w:ascii="宋体" w:hAnsi="宋体"/>
          <w:sz w:val="24"/>
          <w:szCs w:val="24"/>
        </w:rPr>
      </w:pPr>
      <w:bookmarkStart w:id="60" w:name="_Toc256000052"/>
      <w:r>
        <w:rPr>
          <w:rFonts w:ascii="宋体" w:hAnsi="宋体" w:hint="eastAsia"/>
          <w:sz w:val="24"/>
          <w:szCs w:val="24"/>
        </w:rPr>
        <w:t>9.4  对与评标活动有关的工作人员的纪律要求</w:t>
      </w:r>
      <w:bookmarkEnd w:id="60"/>
    </w:p>
    <w:p w14:paraId="203E4230">
      <w:pPr>
        <w:spacing w:line="360" w:lineRule="auto"/>
        <w:ind w:firstLine="425" w:firstLineChars="177"/>
        <w:rPr>
          <w:rFonts w:ascii="宋体" w:hAnsi="宋体"/>
          <w:lang w:eastAsia="zh-CN"/>
        </w:rPr>
      </w:pPr>
      <w:r>
        <w:rPr>
          <w:rFonts w:ascii="宋体" w:hAnsi="宋体" w:hint="eastAsia"/>
          <w:lang w:eastAsia="zh-CN"/>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EE090E2">
      <w:pPr>
        <w:pStyle w:val="Heading3"/>
        <w:rPr>
          <w:rFonts w:ascii="宋体" w:hAnsi="宋体"/>
          <w:sz w:val="24"/>
          <w:szCs w:val="24"/>
        </w:rPr>
      </w:pPr>
      <w:bookmarkStart w:id="61" w:name="_Toc256000053"/>
      <w:r>
        <w:rPr>
          <w:rFonts w:ascii="宋体" w:hAnsi="宋体" w:hint="eastAsia"/>
          <w:sz w:val="24"/>
          <w:szCs w:val="24"/>
        </w:rPr>
        <w:t>9.5  投诉</w:t>
      </w:r>
      <w:bookmarkEnd w:id="61"/>
    </w:p>
    <w:p w14:paraId="776EA314">
      <w:pPr>
        <w:spacing w:line="360" w:lineRule="auto"/>
        <w:ind w:firstLine="425" w:firstLineChars="177"/>
        <w:rPr>
          <w:rFonts w:ascii="宋体" w:hAnsi="宋体"/>
          <w:lang w:eastAsia="zh-CN"/>
        </w:rPr>
      </w:pPr>
      <w:r>
        <w:rPr>
          <w:rFonts w:ascii="宋体" w:hAnsi="宋体" w:hint="eastAsia"/>
          <w:lang w:eastAsia="zh-CN"/>
        </w:rPr>
        <w:t>投标人和其他利害关系人认为本次招标活动违反法律、法规和规章规定的，有权向有关行政监督部门投诉。</w:t>
      </w:r>
    </w:p>
    <w:p w14:paraId="49DA702F">
      <w:pPr>
        <w:pStyle w:val="Heading2"/>
        <w:rPr>
          <w:rFonts w:ascii="宋体" w:hAnsi="宋体"/>
          <w:sz w:val="24"/>
          <w:szCs w:val="24"/>
        </w:rPr>
      </w:pPr>
      <w:bookmarkStart w:id="62" w:name="_Toc256000054"/>
      <w:r>
        <w:rPr>
          <w:rFonts w:ascii="宋体" w:hAnsi="宋体" w:hint="eastAsia"/>
          <w:sz w:val="24"/>
          <w:szCs w:val="24"/>
        </w:rPr>
        <w:t>10.  需要补充的其他内容</w:t>
      </w:r>
      <w:bookmarkEnd w:id="62"/>
    </w:p>
    <w:p w14:paraId="26099428">
      <w:pPr>
        <w:spacing w:line="360" w:lineRule="auto"/>
        <w:ind w:firstLine="425" w:firstLineChars="177"/>
        <w:rPr>
          <w:rFonts w:ascii="宋体" w:hAnsi="宋体"/>
          <w:lang w:eastAsia="zh-CN"/>
        </w:rPr>
      </w:pPr>
      <w:r>
        <w:rPr>
          <w:rFonts w:ascii="宋体" w:hAnsi="宋体" w:hint="eastAsia"/>
          <w:lang w:eastAsia="zh-CN"/>
        </w:rPr>
        <w:t>需要补充的其他内容：见投标人须知前附表。</w:t>
      </w:r>
    </w:p>
    <w:p w14:paraId="66D38EC6">
      <w:pPr>
        <w:spacing w:line="360" w:lineRule="auto"/>
        <w:ind w:firstLine="425" w:firstLineChars="177"/>
        <w:rPr>
          <w:rFonts w:ascii="宋体" w:hAnsi="宋体"/>
          <w:lang w:eastAsia="zh-CN"/>
        </w:rPr>
      </w:pPr>
    </w:p>
    <w:p w14:paraId="42464CA8">
      <w:pPr>
        <w:rPr>
          <w:rFonts w:ascii="宋体" w:hAnsi="宋体"/>
          <w:lang w:eastAsia="zh-CN"/>
        </w:rPr>
      </w:pPr>
      <w:r>
        <w:rPr>
          <w:rFonts w:ascii="宋体" w:hAnsi="宋体" w:hint="eastAsia"/>
          <w:lang w:eastAsia="zh-CN"/>
        </w:rPr>
        <w:br w:type="page"/>
      </w:r>
    </w:p>
    <w:p w14:paraId="2CE6D246">
      <w:pPr>
        <w:spacing w:line="360" w:lineRule="auto"/>
        <w:rPr>
          <w:rFonts w:ascii="宋体" w:hAnsi="宋体"/>
          <w:lang w:eastAsia="zh-CN"/>
        </w:rPr>
      </w:pPr>
    </w:p>
    <w:p w14:paraId="1203F8C9">
      <w:pPr>
        <w:pStyle w:val="Heading2"/>
        <w:rPr>
          <w:rFonts w:ascii="宋体" w:hAnsi="宋体"/>
          <w:sz w:val="24"/>
          <w:szCs w:val="24"/>
        </w:rPr>
      </w:pPr>
      <w:bookmarkStart w:id="63" w:name="_Toc256000055"/>
      <w:r>
        <w:rPr>
          <w:rFonts w:ascii="宋体" w:hAnsi="宋体" w:hint="eastAsia"/>
          <w:sz w:val="24"/>
          <w:szCs w:val="24"/>
        </w:rPr>
        <w:t>附表一：开标记录表</w:t>
      </w:r>
      <w:bookmarkEnd w:id="63"/>
    </w:p>
    <w:p w14:paraId="63F84A30">
      <w:pPr>
        <w:spacing w:line="360" w:lineRule="auto"/>
        <w:jc w:val="center"/>
        <w:rPr>
          <w:rFonts w:ascii="宋体" w:hAnsi="宋体"/>
          <w:b/>
          <w:lang w:eastAsia="zh-CN"/>
        </w:rPr>
      </w:pPr>
      <w:r>
        <w:rPr>
          <w:rFonts w:ascii="宋体" w:hAnsi="宋体" w:hint="eastAsia"/>
          <w:b/>
          <w:lang w:eastAsia="zh-CN"/>
        </w:rPr>
        <w:t>（项目名称）_______施工</w:t>
      </w:r>
      <w:r>
        <w:rPr>
          <w:rFonts w:ascii="宋体" w:hAnsi="宋体" w:hint="eastAsia"/>
          <w:b/>
          <w:u w:val="single"/>
          <w:lang w:eastAsia="zh-CN"/>
        </w:rPr>
        <w:t xml:space="preserve">     </w:t>
      </w:r>
      <w:r>
        <w:rPr>
          <w:rFonts w:ascii="宋体" w:hAnsi="宋体" w:hint="eastAsia"/>
          <w:b/>
          <w:lang w:eastAsia="zh-CN"/>
        </w:rPr>
        <w:t>标段开标记录表</w:t>
      </w:r>
    </w:p>
    <w:p w14:paraId="5C4A0456">
      <w:pPr>
        <w:spacing w:line="360" w:lineRule="auto"/>
        <w:jc w:val="center"/>
        <w:rPr>
          <w:rFonts w:ascii="宋体" w:hAnsi="宋体"/>
          <w:lang w:eastAsia="zh-CN"/>
        </w:rPr>
      </w:pPr>
    </w:p>
    <w:p w14:paraId="64315891">
      <w:pPr>
        <w:spacing w:line="360" w:lineRule="auto"/>
        <w:jc w:val="center"/>
        <w:rPr>
          <w:rFonts w:ascii="宋体" w:hAnsi="宋体"/>
        </w:rPr>
      </w:pPr>
      <w:r>
        <w:rPr>
          <w:rFonts w:ascii="宋体" w:hAnsi="宋体" w:hint="eastAsia"/>
          <w:lang w:eastAsia="zh-CN"/>
        </w:rPr>
        <w:t xml:space="preserve">                                      </w:t>
      </w:r>
      <w:r>
        <w:rPr>
          <w:rFonts w:ascii="宋体" w:hAnsi="宋体" w:hint="eastAsia"/>
        </w:rPr>
        <w:t>开标时间：   年  月  日  时  分</w:t>
      </w: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817"/>
        <w:gridCol w:w="1125"/>
        <w:gridCol w:w="1508"/>
        <w:gridCol w:w="94"/>
        <w:gridCol w:w="2126"/>
        <w:gridCol w:w="1843"/>
        <w:gridCol w:w="1434"/>
        <w:gridCol w:w="904"/>
      </w:tblGrid>
      <w:tr w14:paraId="5ABB6A0A">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1522"/>
          <w:jc w:val="center"/>
        </w:trPr>
        <w:tc>
          <w:tcPr>
            <w:tcW w:w="817" w:type="dxa"/>
            <w:tcBorders>
              <w:top w:val="single" w:sz="2" w:space="0" w:color="auto"/>
              <w:left w:val="single" w:sz="2" w:space="0" w:color="auto"/>
              <w:bottom w:val="single" w:sz="2" w:space="0" w:color="auto"/>
              <w:right w:val="single" w:sz="2" w:space="0" w:color="auto"/>
            </w:tcBorders>
            <w:vAlign w:val="center"/>
          </w:tcPr>
          <w:p w14:paraId="2623CDC0">
            <w:pPr>
              <w:spacing w:line="360" w:lineRule="auto"/>
              <w:jc w:val="center"/>
              <w:rPr>
                <w:rFonts w:ascii="宋体" w:hAnsi="宋体"/>
              </w:rPr>
            </w:pPr>
            <w:r>
              <w:rPr>
                <w:rFonts w:ascii="宋体" w:hAnsi="宋体" w:hint="eastAsia"/>
              </w:rPr>
              <w:t>序号</w:t>
            </w:r>
          </w:p>
        </w:tc>
        <w:tc>
          <w:tcPr>
            <w:tcW w:w="1125" w:type="dxa"/>
            <w:tcBorders>
              <w:top w:val="single" w:sz="2" w:space="0" w:color="auto"/>
              <w:left w:val="single" w:sz="2" w:space="0" w:color="auto"/>
              <w:bottom w:val="single" w:sz="2" w:space="0" w:color="auto"/>
              <w:right w:val="single" w:sz="2" w:space="0" w:color="auto"/>
            </w:tcBorders>
            <w:vAlign w:val="center"/>
          </w:tcPr>
          <w:p w14:paraId="7437381A">
            <w:pPr>
              <w:spacing w:line="360" w:lineRule="auto"/>
              <w:jc w:val="center"/>
              <w:rPr>
                <w:rFonts w:ascii="宋体" w:hAnsi="宋体"/>
              </w:rPr>
            </w:pPr>
            <w:r>
              <w:rPr>
                <w:rFonts w:ascii="宋体" w:hAnsi="宋体" w:hint="eastAsia"/>
              </w:rPr>
              <w:t>投标人</w:t>
            </w:r>
          </w:p>
        </w:tc>
        <w:tc>
          <w:tcPr>
            <w:tcW w:w="1602" w:type="dxa"/>
            <w:gridSpan w:val="2"/>
            <w:tcBorders>
              <w:top w:val="single" w:sz="2" w:space="0" w:color="auto"/>
              <w:left w:val="single" w:sz="2" w:space="0" w:color="auto"/>
              <w:bottom w:val="single" w:sz="2" w:space="0" w:color="auto"/>
              <w:right w:val="single" w:sz="2" w:space="0" w:color="auto"/>
            </w:tcBorders>
            <w:vAlign w:val="center"/>
          </w:tcPr>
          <w:p w14:paraId="35AE245A">
            <w:pPr>
              <w:spacing w:line="360" w:lineRule="auto"/>
              <w:jc w:val="center"/>
              <w:rPr>
                <w:rFonts w:ascii="宋体" w:hAnsi="宋体"/>
              </w:rPr>
            </w:pPr>
            <w:r>
              <w:rPr>
                <w:rFonts w:ascii="宋体" w:hAnsi="宋体" w:hint="eastAsia"/>
              </w:rPr>
              <w:t>是否提交投标保证金</w:t>
            </w:r>
          </w:p>
        </w:tc>
        <w:tc>
          <w:tcPr>
            <w:tcW w:w="2126" w:type="dxa"/>
            <w:tcBorders>
              <w:top w:val="single" w:sz="2" w:space="0" w:color="auto"/>
              <w:left w:val="single" w:sz="2" w:space="0" w:color="auto"/>
              <w:bottom w:val="single" w:sz="2" w:space="0" w:color="auto"/>
              <w:right w:val="single" w:sz="2" w:space="0" w:color="auto"/>
            </w:tcBorders>
            <w:vAlign w:val="center"/>
          </w:tcPr>
          <w:p w14:paraId="6F5B90B7">
            <w:pPr>
              <w:spacing w:line="360" w:lineRule="auto"/>
              <w:jc w:val="center"/>
              <w:rPr>
                <w:rFonts w:ascii="宋体" w:hAnsi="宋体"/>
              </w:rPr>
            </w:pPr>
            <w:r>
              <w:rPr>
                <w:rFonts w:ascii="宋体" w:hAnsi="宋体" w:hint="eastAsia"/>
              </w:rPr>
              <w:t>投标报价（元）</w:t>
            </w:r>
          </w:p>
        </w:tc>
        <w:tc>
          <w:tcPr>
            <w:tcW w:w="1843" w:type="dxa"/>
            <w:tcBorders>
              <w:top w:val="single" w:sz="2" w:space="0" w:color="auto"/>
              <w:left w:val="single" w:sz="2" w:space="0" w:color="auto"/>
              <w:bottom w:val="single" w:sz="2" w:space="0" w:color="auto"/>
              <w:right w:val="single" w:sz="2" w:space="0" w:color="auto"/>
            </w:tcBorders>
            <w:vAlign w:val="center"/>
          </w:tcPr>
          <w:p w14:paraId="68AF3720">
            <w:pPr>
              <w:spacing w:line="360" w:lineRule="auto"/>
              <w:jc w:val="center"/>
              <w:rPr>
                <w:rFonts w:ascii="宋体" w:hAnsi="宋体"/>
              </w:rPr>
            </w:pPr>
            <w:r>
              <w:rPr>
                <w:rFonts w:ascii="宋体" w:hAnsi="宋体" w:hint="eastAsia"/>
              </w:rPr>
              <w:t>质量目标</w:t>
            </w:r>
          </w:p>
        </w:tc>
        <w:tc>
          <w:tcPr>
            <w:tcW w:w="1434" w:type="dxa"/>
            <w:tcBorders>
              <w:top w:val="single" w:sz="2" w:space="0" w:color="auto"/>
              <w:left w:val="single" w:sz="2" w:space="0" w:color="auto"/>
              <w:bottom w:val="single" w:sz="2" w:space="0" w:color="auto"/>
              <w:right w:val="single" w:sz="2" w:space="0" w:color="auto"/>
            </w:tcBorders>
            <w:vAlign w:val="center"/>
          </w:tcPr>
          <w:p w14:paraId="30DE36CE">
            <w:pPr>
              <w:spacing w:line="360" w:lineRule="auto"/>
              <w:jc w:val="center"/>
              <w:rPr>
                <w:rFonts w:ascii="宋体" w:hAnsi="宋体"/>
              </w:rPr>
            </w:pPr>
            <w:r>
              <w:rPr>
                <w:rFonts w:ascii="宋体" w:hAnsi="宋体" w:hint="eastAsia"/>
              </w:rPr>
              <w:t>工期</w:t>
            </w:r>
          </w:p>
        </w:tc>
        <w:tc>
          <w:tcPr>
            <w:tcW w:w="904" w:type="dxa"/>
            <w:tcBorders>
              <w:top w:val="single" w:sz="2" w:space="0" w:color="auto"/>
              <w:left w:val="single" w:sz="2" w:space="0" w:color="auto"/>
              <w:bottom w:val="single" w:sz="2" w:space="0" w:color="auto"/>
              <w:right w:val="single" w:sz="2" w:space="0" w:color="auto"/>
            </w:tcBorders>
            <w:vAlign w:val="center"/>
          </w:tcPr>
          <w:p w14:paraId="67ACBE10">
            <w:pPr>
              <w:spacing w:line="360" w:lineRule="auto"/>
              <w:jc w:val="center"/>
              <w:rPr>
                <w:rFonts w:ascii="宋体" w:hAnsi="宋体"/>
              </w:rPr>
            </w:pPr>
            <w:r>
              <w:rPr>
                <w:rFonts w:ascii="宋体" w:hAnsi="宋体" w:hint="eastAsia"/>
              </w:rPr>
              <w:t>备注</w:t>
            </w:r>
          </w:p>
        </w:tc>
      </w:tr>
      <w:tr w14:paraId="29962CBE">
        <w:tblPrEx>
          <w:tblW w:w="0" w:type="auto"/>
          <w:jc w:val="center"/>
          <w:tblLayout w:type="fixed"/>
          <w:tblCellMar>
            <w:top w:w="0" w:type="dxa"/>
            <w:left w:w="108" w:type="dxa"/>
            <w:bottom w:w="0" w:type="dxa"/>
            <w:right w:w="108" w:type="dxa"/>
          </w:tblCellMar>
        </w:tblPrEx>
        <w:trPr>
          <w:trHeight w:val="499"/>
          <w:jc w:val="center"/>
        </w:trPr>
        <w:tc>
          <w:tcPr>
            <w:tcW w:w="817" w:type="dxa"/>
            <w:tcBorders>
              <w:top w:val="single" w:sz="2" w:space="0" w:color="auto"/>
              <w:left w:val="single" w:sz="2" w:space="0" w:color="auto"/>
              <w:bottom w:val="single" w:sz="2" w:space="0" w:color="auto"/>
              <w:right w:val="single" w:sz="2" w:space="0" w:color="auto"/>
            </w:tcBorders>
            <w:vAlign w:val="center"/>
          </w:tcPr>
          <w:p w14:paraId="6540028A">
            <w:pPr>
              <w:spacing w:line="360" w:lineRule="auto"/>
              <w:jc w:val="center"/>
              <w:rPr>
                <w:rFonts w:ascii="宋体" w:hAnsi="宋体"/>
              </w:rPr>
            </w:pPr>
          </w:p>
        </w:tc>
        <w:tc>
          <w:tcPr>
            <w:tcW w:w="1125" w:type="dxa"/>
            <w:tcBorders>
              <w:top w:val="single" w:sz="2" w:space="0" w:color="auto"/>
              <w:left w:val="single" w:sz="2" w:space="0" w:color="auto"/>
              <w:bottom w:val="single" w:sz="2" w:space="0" w:color="auto"/>
              <w:right w:val="single" w:sz="2" w:space="0" w:color="auto"/>
            </w:tcBorders>
            <w:vAlign w:val="center"/>
          </w:tcPr>
          <w:p w14:paraId="1C110A1F">
            <w:pPr>
              <w:spacing w:line="360" w:lineRule="auto"/>
              <w:jc w:val="center"/>
              <w:rPr>
                <w:rFonts w:ascii="宋体" w:hAnsi="宋体"/>
              </w:rPr>
            </w:pPr>
          </w:p>
        </w:tc>
        <w:tc>
          <w:tcPr>
            <w:tcW w:w="1602" w:type="dxa"/>
            <w:gridSpan w:val="2"/>
            <w:tcBorders>
              <w:top w:val="single" w:sz="2" w:space="0" w:color="auto"/>
              <w:left w:val="single" w:sz="2" w:space="0" w:color="auto"/>
              <w:bottom w:val="single" w:sz="2" w:space="0" w:color="auto"/>
              <w:right w:val="single" w:sz="2" w:space="0" w:color="auto"/>
            </w:tcBorders>
            <w:vAlign w:val="center"/>
          </w:tcPr>
          <w:p w14:paraId="2E9E1EA3">
            <w:pPr>
              <w:spacing w:line="360" w:lineRule="auto"/>
              <w:jc w:val="center"/>
              <w:rPr>
                <w:rFonts w:ascii="宋体" w:hAnsi="宋体"/>
              </w:rPr>
            </w:pPr>
          </w:p>
        </w:tc>
        <w:tc>
          <w:tcPr>
            <w:tcW w:w="2126" w:type="dxa"/>
            <w:tcBorders>
              <w:top w:val="single" w:sz="2" w:space="0" w:color="auto"/>
              <w:left w:val="single" w:sz="2" w:space="0" w:color="auto"/>
              <w:bottom w:val="single" w:sz="2" w:space="0" w:color="auto"/>
              <w:right w:val="single" w:sz="2" w:space="0" w:color="auto"/>
            </w:tcBorders>
            <w:vAlign w:val="center"/>
          </w:tcPr>
          <w:p w14:paraId="6ADFDC51">
            <w:pPr>
              <w:spacing w:line="360" w:lineRule="auto"/>
              <w:jc w:val="center"/>
              <w:rPr>
                <w:rFonts w:ascii="宋体" w:hAnsi="宋体"/>
              </w:rPr>
            </w:pPr>
          </w:p>
        </w:tc>
        <w:tc>
          <w:tcPr>
            <w:tcW w:w="1843" w:type="dxa"/>
            <w:tcBorders>
              <w:top w:val="single" w:sz="2" w:space="0" w:color="auto"/>
              <w:left w:val="single" w:sz="2" w:space="0" w:color="auto"/>
              <w:bottom w:val="single" w:sz="2" w:space="0" w:color="auto"/>
              <w:right w:val="single" w:sz="2" w:space="0" w:color="auto"/>
            </w:tcBorders>
            <w:vAlign w:val="center"/>
          </w:tcPr>
          <w:p w14:paraId="32960C14">
            <w:pPr>
              <w:spacing w:line="360" w:lineRule="auto"/>
              <w:jc w:val="center"/>
              <w:rPr>
                <w:rFonts w:ascii="宋体" w:hAnsi="宋体"/>
              </w:rPr>
            </w:pPr>
          </w:p>
        </w:tc>
        <w:tc>
          <w:tcPr>
            <w:tcW w:w="1434" w:type="dxa"/>
            <w:tcBorders>
              <w:top w:val="single" w:sz="2" w:space="0" w:color="auto"/>
              <w:left w:val="single" w:sz="2" w:space="0" w:color="auto"/>
              <w:bottom w:val="single" w:sz="2" w:space="0" w:color="auto"/>
              <w:right w:val="single" w:sz="2" w:space="0" w:color="auto"/>
            </w:tcBorders>
            <w:vAlign w:val="center"/>
          </w:tcPr>
          <w:p w14:paraId="5C732D2B">
            <w:pPr>
              <w:spacing w:line="360" w:lineRule="auto"/>
              <w:jc w:val="center"/>
              <w:rPr>
                <w:rFonts w:ascii="宋体" w:hAnsi="宋体"/>
              </w:rPr>
            </w:pPr>
          </w:p>
        </w:tc>
        <w:tc>
          <w:tcPr>
            <w:tcW w:w="904" w:type="dxa"/>
            <w:tcBorders>
              <w:top w:val="single" w:sz="2" w:space="0" w:color="auto"/>
              <w:left w:val="single" w:sz="2" w:space="0" w:color="auto"/>
              <w:bottom w:val="single" w:sz="2" w:space="0" w:color="auto"/>
              <w:right w:val="single" w:sz="2" w:space="0" w:color="auto"/>
            </w:tcBorders>
            <w:vAlign w:val="center"/>
          </w:tcPr>
          <w:p w14:paraId="2BC3C9D6">
            <w:pPr>
              <w:spacing w:line="360" w:lineRule="auto"/>
              <w:jc w:val="center"/>
              <w:rPr>
                <w:rFonts w:ascii="宋体" w:hAnsi="宋体"/>
              </w:rPr>
            </w:pPr>
          </w:p>
        </w:tc>
      </w:tr>
      <w:tr w14:paraId="11FFB4B7">
        <w:tblPrEx>
          <w:tblW w:w="0" w:type="auto"/>
          <w:jc w:val="center"/>
          <w:tblLayout w:type="fixed"/>
          <w:tblCellMar>
            <w:top w:w="0" w:type="dxa"/>
            <w:left w:w="108" w:type="dxa"/>
            <w:bottom w:w="0" w:type="dxa"/>
            <w:right w:w="108" w:type="dxa"/>
          </w:tblCellMar>
        </w:tblPrEx>
        <w:trPr>
          <w:trHeight w:val="499"/>
          <w:jc w:val="center"/>
        </w:trPr>
        <w:tc>
          <w:tcPr>
            <w:tcW w:w="817" w:type="dxa"/>
            <w:tcBorders>
              <w:top w:val="single" w:sz="2" w:space="0" w:color="auto"/>
              <w:left w:val="single" w:sz="2" w:space="0" w:color="auto"/>
              <w:bottom w:val="single" w:sz="2" w:space="0" w:color="auto"/>
              <w:right w:val="single" w:sz="2" w:space="0" w:color="auto"/>
            </w:tcBorders>
            <w:vAlign w:val="center"/>
          </w:tcPr>
          <w:p w14:paraId="5E093C78">
            <w:pPr>
              <w:spacing w:line="360" w:lineRule="auto"/>
              <w:jc w:val="center"/>
              <w:rPr>
                <w:rFonts w:ascii="宋体" w:hAnsi="宋体"/>
              </w:rPr>
            </w:pPr>
          </w:p>
        </w:tc>
        <w:tc>
          <w:tcPr>
            <w:tcW w:w="1125" w:type="dxa"/>
            <w:tcBorders>
              <w:top w:val="single" w:sz="2" w:space="0" w:color="auto"/>
              <w:left w:val="single" w:sz="2" w:space="0" w:color="auto"/>
              <w:bottom w:val="single" w:sz="2" w:space="0" w:color="auto"/>
              <w:right w:val="single" w:sz="2" w:space="0" w:color="auto"/>
            </w:tcBorders>
            <w:vAlign w:val="center"/>
          </w:tcPr>
          <w:p w14:paraId="15B10404">
            <w:pPr>
              <w:spacing w:line="360" w:lineRule="auto"/>
              <w:jc w:val="center"/>
              <w:rPr>
                <w:rFonts w:ascii="宋体" w:hAnsi="宋体"/>
              </w:rPr>
            </w:pPr>
          </w:p>
        </w:tc>
        <w:tc>
          <w:tcPr>
            <w:tcW w:w="1602" w:type="dxa"/>
            <w:gridSpan w:val="2"/>
            <w:tcBorders>
              <w:top w:val="single" w:sz="2" w:space="0" w:color="auto"/>
              <w:left w:val="single" w:sz="2" w:space="0" w:color="auto"/>
              <w:bottom w:val="single" w:sz="2" w:space="0" w:color="auto"/>
              <w:right w:val="single" w:sz="2" w:space="0" w:color="auto"/>
            </w:tcBorders>
            <w:vAlign w:val="center"/>
          </w:tcPr>
          <w:p w14:paraId="001BBA81">
            <w:pPr>
              <w:spacing w:line="360" w:lineRule="auto"/>
              <w:jc w:val="center"/>
              <w:rPr>
                <w:rFonts w:ascii="宋体" w:hAnsi="宋体"/>
              </w:rPr>
            </w:pPr>
          </w:p>
        </w:tc>
        <w:tc>
          <w:tcPr>
            <w:tcW w:w="2126" w:type="dxa"/>
            <w:tcBorders>
              <w:top w:val="single" w:sz="2" w:space="0" w:color="auto"/>
              <w:left w:val="single" w:sz="2" w:space="0" w:color="auto"/>
              <w:bottom w:val="single" w:sz="2" w:space="0" w:color="auto"/>
              <w:right w:val="single" w:sz="2" w:space="0" w:color="auto"/>
            </w:tcBorders>
            <w:vAlign w:val="center"/>
          </w:tcPr>
          <w:p w14:paraId="7D320327">
            <w:pPr>
              <w:spacing w:line="360" w:lineRule="auto"/>
              <w:jc w:val="center"/>
              <w:rPr>
                <w:rFonts w:ascii="宋体" w:hAnsi="宋体"/>
              </w:rPr>
            </w:pPr>
          </w:p>
        </w:tc>
        <w:tc>
          <w:tcPr>
            <w:tcW w:w="1843" w:type="dxa"/>
            <w:tcBorders>
              <w:top w:val="single" w:sz="2" w:space="0" w:color="auto"/>
              <w:left w:val="single" w:sz="2" w:space="0" w:color="auto"/>
              <w:bottom w:val="single" w:sz="2" w:space="0" w:color="auto"/>
              <w:right w:val="single" w:sz="2" w:space="0" w:color="auto"/>
            </w:tcBorders>
            <w:vAlign w:val="center"/>
          </w:tcPr>
          <w:p w14:paraId="03C7B774">
            <w:pPr>
              <w:spacing w:line="360" w:lineRule="auto"/>
              <w:jc w:val="center"/>
              <w:rPr>
                <w:rFonts w:ascii="宋体" w:hAnsi="宋体"/>
              </w:rPr>
            </w:pPr>
          </w:p>
        </w:tc>
        <w:tc>
          <w:tcPr>
            <w:tcW w:w="1434" w:type="dxa"/>
            <w:tcBorders>
              <w:top w:val="single" w:sz="2" w:space="0" w:color="auto"/>
              <w:left w:val="single" w:sz="2" w:space="0" w:color="auto"/>
              <w:bottom w:val="single" w:sz="2" w:space="0" w:color="auto"/>
              <w:right w:val="single" w:sz="2" w:space="0" w:color="auto"/>
            </w:tcBorders>
            <w:vAlign w:val="center"/>
          </w:tcPr>
          <w:p w14:paraId="718AF327">
            <w:pPr>
              <w:spacing w:line="360" w:lineRule="auto"/>
              <w:jc w:val="center"/>
              <w:rPr>
                <w:rFonts w:ascii="宋体" w:hAnsi="宋体"/>
              </w:rPr>
            </w:pPr>
          </w:p>
        </w:tc>
        <w:tc>
          <w:tcPr>
            <w:tcW w:w="904" w:type="dxa"/>
            <w:tcBorders>
              <w:top w:val="single" w:sz="2" w:space="0" w:color="auto"/>
              <w:left w:val="single" w:sz="2" w:space="0" w:color="auto"/>
              <w:bottom w:val="single" w:sz="2" w:space="0" w:color="auto"/>
              <w:right w:val="single" w:sz="2" w:space="0" w:color="auto"/>
            </w:tcBorders>
            <w:vAlign w:val="center"/>
          </w:tcPr>
          <w:p w14:paraId="16D453E1">
            <w:pPr>
              <w:spacing w:line="360" w:lineRule="auto"/>
              <w:jc w:val="center"/>
              <w:rPr>
                <w:rFonts w:ascii="宋体" w:hAnsi="宋体"/>
              </w:rPr>
            </w:pPr>
          </w:p>
        </w:tc>
      </w:tr>
      <w:tr w14:paraId="238F31B6">
        <w:tblPrEx>
          <w:tblW w:w="0" w:type="auto"/>
          <w:jc w:val="center"/>
          <w:tblLayout w:type="fixed"/>
          <w:tblCellMar>
            <w:top w:w="0" w:type="dxa"/>
            <w:left w:w="108" w:type="dxa"/>
            <w:bottom w:w="0" w:type="dxa"/>
            <w:right w:w="108" w:type="dxa"/>
          </w:tblCellMar>
        </w:tblPrEx>
        <w:trPr>
          <w:trHeight w:val="499"/>
          <w:jc w:val="center"/>
        </w:trPr>
        <w:tc>
          <w:tcPr>
            <w:tcW w:w="817" w:type="dxa"/>
            <w:tcBorders>
              <w:top w:val="single" w:sz="2" w:space="0" w:color="auto"/>
              <w:left w:val="single" w:sz="2" w:space="0" w:color="auto"/>
              <w:bottom w:val="single" w:sz="2" w:space="0" w:color="auto"/>
              <w:right w:val="single" w:sz="2" w:space="0" w:color="auto"/>
            </w:tcBorders>
            <w:vAlign w:val="center"/>
          </w:tcPr>
          <w:p w14:paraId="5DE773D4">
            <w:pPr>
              <w:spacing w:line="360" w:lineRule="auto"/>
              <w:jc w:val="center"/>
              <w:rPr>
                <w:rFonts w:ascii="宋体" w:hAnsi="宋体"/>
              </w:rPr>
            </w:pPr>
          </w:p>
        </w:tc>
        <w:tc>
          <w:tcPr>
            <w:tcW w:w="1125" w:type="dxa"/>
            <w:tcBorders>
              <w:top w:val="single" w:sz="2" w:space="0" w:color="auto"/>
              <w:left w:val="single" w:sz="2" w:space="0" w:color="auto"/>
              <w:bottom w:val="single" w:sz="2" w:space="0" w:color="auto"/>
              <w:right w:val="single" w:sz="2" w:space="0" w:color="auto"/>
            </w:tcBorders>
            <w:vAlign w:val="center"/>
          </w:tcPr>
          <w:p w14:paraId="36E12154">
            <w:pPr>
              <w:spacing w:line="360" w:lineRule="auto"/>
              <w:jc w:val="center"/>
              <w:rPr>
                <w:rFonts w:ascii="宋体" w:hAnsi="宋体"/>
              </w:rPr>
            </w:pPr>
          </w:p>
        </w:tc>
        <w:tc>
          <w:tcPr>
            <w:tcW w:w="1602" w:type="dxa"/>
            <w:gridSpan w:val="2"/>
            <w:tcBorders>
              <w:top w:val="single" w:sz="2" w:space="0" w:color="auto"/>
              <w:left w:val="single" w:sz="2" w:space="0" w:color="auto"/>
              <w:bottom w:val="single" w:sz="2" w:space="0" w:color="auto"/>
              <w:right w:val="single" w:sz="2" w:space="0" w:color="auto"/>
            </w:tcBorders>
            <w:vAlign w:val="center"/>
          </w:tcPr>
          <w:p w14:paraId="756FE3F6">
            <w:pPr>
              <w:spacing w:line="360" w:lineRule="auto"/>
              <w:jc w:val="center"/>
              <w:rPr>
                <w:rFonts w:ascii="宋体" w:hAnsi="宋体"/>
              </w:rPr>
            </w:pPr>
          </w:p>
        </w:tc>
        <w:tc>
          <w:tcPr>
            <w:tcW w:w="2126" w:type="dxa"/>
            <w:tcBorders>
              <w:top w:val="single" w:sz="2" w:space="0" w:color="auto"/>
              <w:left w:val="single" w:sz="2" w:space="0" w:color="auto"/>
              <w:bottom w:val="single" w:sz="2" w:space="0" w:color="auto"/>
              <w:right w:val="single" w:sz="2" w:space="0" w:color="auto"/>
            </w:tcBorders>
            <w:vAlign w:val="center"/>
          </w:tcPr>
          <w:p w14:paraId="79284A23">
            <w:pPr>
              <w:spacing w:line="360" w:lineRule="auto"/>
              <w:jc w:val="center"/>
              <w:rPr>
                <w:rFonts w:ascii="宋体" w:hAnsi="宋体"/>
              </w:rPr>
            </w:pPr>
          </w:p>
        </w:tc>
        <w:tc>
          <w:tcPr>
            <w:tcW w:w="1843" w:type="dxa"/>
            <w:tcBorders>
              <w:top w:val="single" w:sz="2" w:space="0" w:color="auto"/>
              <w:left w:val="single" w:sz="2" w:space="0" w:color="auto"/>
              <w:bottom w:val="single" w:sz="2" w:space="0" w:color="auto"/>
              <w:right w:val="single" w:sz="2" w:space="0" w:color="auto"/>
            </w:tcBorders>
            <w:vAlign w:val="center"/>
          </w:tcPr>
          <w:p w14:paraId="70621B70">
            <w:pPr>
              <w:spacing w:line="360" w:lineRule="auto"/>
              <w:jc w:val="center"/>
              <w:rPr>
                <w:rFonts w:ascii="宋体" w:hAnsi="宋体"/>
              </w:rPr>
            </w:pPr>
          </w:p>
        </w:tc>
        <w:tc>
          <w:tcPr>
            <w:tcW w:w="1434" w:type="dxa"/>
            <w:tcBorders>
              <w:top w:val="single" w:sz="2" w:space="0" w:color="auto"/>
              <w:left w:val="single" w:sz="2" w:space="0" w:color="auto"/>
              <w:bottom w:val="single" w:sz="2" w:space="0" w:color="auto"/>
              <w:right w:val="single" w:sz="2" w:space="0" w:color="auto"/>
            </w:tcBorders>
            <w:vAlign w:val="center"/>
          </w:tcPr>
          <w:p w14:paraId="650F8F7A">
            <w:pPr>
              <w:spacing w:line="360" w:lineRule="auto"/>
              <w:jc w:val="center"/>
              <w:rPr>
                <w:rFonts w:ascii="宋体" w:hAnsi="宋体"/>
              </w:rPr>
            </w:pPr>
          </w:p>
        </w:tc>
        <w:tc>
          <w:tcPr>
            <w:tcW w:w="904" w:type="dxa"/>
            <w:tcBorders>
              <w:top w:val="single" w:sz="2" w:space="0" w:color="auto"/>
              <w:left w:val="single" w:sz="2" w:space="0" w:color="auto"/>
              <w:bottom w:val="single" w:sz="2" w:space="0" w:color="auto"/>
              <w:right w:val="single" w:sz="2" w:space="0" w:color="auto"/>
            </w:tcBorders>
            <w:vAlign w:val="center"/>
          </w:tcPr>
          <w:p w14:paraId="7AC4E6DA">
            <w:pPr>
              <w:spacing w:line="360" w:lineRule="auto"/>
              <w:jc w:val="center"/>
              <w:rPr>
                <w:rFonts w:ascii="宋体" w:hAnsi="宋体"/>
              </w:rPr>
            </w:pPr>
          </w:p>
        </w:tc>
      </w:tr>
      <w:tr w14:paraId="002A2A4F">
        <w:tblPrEx>
          <w:tblW w:w="0" w:type="auto"/>
          <w:jc w:val="center"/>
          <w:tblLayout w:type="fixed"/>
          <w:tblCellMar>
            <w:top w:w="0" w:type="dxa"/>
            <w:left w:w="108" w:type="dxa"/>
            <w:bottom w:w="0" w:type="dxa"/>
            <w:right w:w="108" w:type="dxa"/>
          </w:tblCellMar>
        </w:tblPrEx>
        <w:trPr>
          <w:trHeight w:val="499"/>
          <w:jc w:val="center"/>
        </w:trPr>
        <w:tc>
          <w:tcPr>
            <w:tcW w:w="817" w:type="dxa"/>
            <w:tcBorders>
              <w:top w:val="single" w:sz="2" w:space="0" w:color="auto"/>
              <w:left w:val="single" w:sz="2" w:space="0" w:color="auto"/>
              <w:bottom w:val="single" w:sz="2" w:space="0" w:color="auto"/>
              <w:right w:val="single" w:sz="2" w:space="0" w:color="auto"/>
            </w:tcBorders>
            <w:vAlign w:val="center"/>
          </w:tcPr>
          <w:p w14:paraId="0E1A5E95">
            <w:pPr>
              <w:spacing w:line="360" w:lineRule="auto"/>
              <w:jc w:val="center"/>
              <w:rPr>
                <w:rFonts w:ascii="宋体" w:hAnsi="宋体"/>
              </w:rPr>
            </w:pPr>
          </w:p>
        </w:tc>
        <w:tc>
          <w:tcPr>
            <w:tcW w:w="1125" w:type="dxa"/>
            <w:tcBorders>
              <w:top w:val="single" w:sz="2" w:space="0" w:color="auto"/>
              <w:left w:val="single" w:sz="2" w:space="0" w:color="auto"/>
              <w:bottom w:val="single" w:sz="2" w:space="0" w:color="auto"/>
              <w:right w:val="single" w:sz="2" w:space="0" w:color="auto"/>
            </w:tcBorders>
            <w:vAlign w:val="center"/>
          </w:tcPr>
          <w:p w14:paraId="41E00E12">
            <w:pPr>
              <w:spacing w:line="360" w:lineRule="auto"/>
              <w:jc w:val="center"/>
              <w:rPr>
                <w:rFonts w:ascii="宋体" w:hAnsi="宋体"/>
              </w:rPr>
            </w:pPr>
          </w:p>
        </w:tc>
        <w:tc>
          <w:tcPr>
            <w:tcW w:w="1602" w:type="dxa"/>
            <w:gridSpan w:val="2"/>
            <w:tcBorders>
              <w:top w:val="single" w:sz="2" w:space="0" w:color="auto"/>
              <w:left w:val="single" w:sz="2" w:space="0" w:color="auto"/>
              <w:bottom w:val="single" w:sz="2" w:space="0" w:color="auto"/>
              <w:right w:val="single" w:sz="2" w:space="0" w:color="auto"/>
            </w:tcBorders>
            <w:vAlign w:val="center"/>
          </w:tcPr>
          <w:p w14:paraId="0F795AF7">
            <w:pPr>
              <w:spacing w:line="360" w:lineRule="auto"/>
              <w:jc w:val="center"/>
              <w:rPr>
                <w:rFonts w:ascii="宋体" w:hAnsi="宋体"/>
              </w:rPr>
            </w:pPr>
          </w:p>
        </w:tc>
        <w:tc>
          <w:tcPr>
            <w:tcW w:w="2126" w:type="dxa"/>
            <w:tcBorders>
              <w:top w:val="single" w:sz="2" w:space="0" w:color="auto"/>
              <w:left w:val="single" w:sz="2" w:space="0" w:color="auto"/>
              <w:bottom w:val="single" w:sz="2" w:space="0" w:color="auto"/>
              <w:right w:val="single" w:sz="2" w:space="0" w:color="auto"/>
            </w:tcBorders>
            <w:vAlign w:val="center"/>
          </w:tcPr>
          <w:p w14:paraId="43E7ED5C">
            <w:pPr>
              <w:spacing w:line="360" w:lineRule="auto"/>
              <w:jc w:val="center"/>
              <w:rPr>
                <w:rFonts w:ascii="宋体" w:hAnsi="宋体"/>
              </w:rPr>
            </w:pPr>
          </w:p>
        </w:tc>
        <w:tc>
          <w:tcPr>
            <w:tcW w:w="1843" w:type="dxa"/>
            <w:tcBorders>
              <w:top w:val="single" w:sz="2" w:space="0" w:color="auto"/>
              <w:left w:val="single" w:sz="2" w:space="0" w:color="auto"/>
              <w:bottom w:val="single" w:sz="2" w:space="0" w:color="auto"/>
              <w:right w:val="single" w:sz="2" w:space="0" w:color="auto"/>
            </w:tcBorders>
            <w:vAlign w:val="center"/>
          </w:tcPr>
          <w:p w14:paraId="67DBAA23">
            <w:pPr>
              <w:spacing w:line="360" w:lineRule="auto"/>
              <w:jc w:val="center"/>
              <w:rPr>
                <w:rFonts w:ascii="宋体" w:hAnsi="宋体"/>
              </w:rPr>
            </w:pPr>
          </w:p>
        </w:tc>
        <w:tc>
          <w:tcPr>
            <w:tcW w:w="1434" w:type="dxa"/>
            <w:tcBorders>
              <w:top w:val="single" w:sz="2" w:space="0" w:color="auto"/>
              <w:left w:val="single" w:sz="2" w:space="0" w:color="auto"/>
              <w:bottom w:val="single" w:sz="2" w:space="0" w:color="auto"/>
              <w:right w:val="single" w:sz="2" w:space="0" w:color="auto"/>
            </w:tcBorders>
            <w:vAlign w:val="center"/>
          </w:tcPr>
          <w:p w14:paraId="5B8EBE15">
            <w:pPr>
              <w:spacing w:line="360" w:lineRule="auto"/>
              <w:jc w:val="center"/>
              <w:rPr>
                <w:rFonts w:ascii="宋体" w:hAnsi="宋体"/>
              </w:rPr>
            </w:pPr>
          </w:p>
        </w:tc>
        <w:tc>
          <w:tcPr>
            <w:tcW w:w="904" w:type="dxa"/>
            <w:tcBorders>
              <w:top w:val="single" w:sz="2" w:space="0" w:color="auto"/>
              <w:left w:val="single" w:sz="2" w:space="0" w:color="auto"/>
              <w:bottom w:val="single" w:sz="2" w:space="0" w:color="auto"/>
              <w:right w:val="single" w:sz="2" w:space="0" w:color="auto"/>
            </w:tcBorders>
            <w:vAlign w:val="center"/>
          </w:tcPr>
          <w:p w14:paraId="745DDDE1">
            <w:pPr>
              <w:spacing w:line="360" w:lineRule="auto"/>
              <w:jc w:val="center"/>
              <w:rPr>
                <w:rFonts w:ascii="宋体" w:hAnsi="宋体"/>
              </w:rPr>
            </w:pPr>
          </w:p>
        </w:tc>
      </w:tr>
      <w:tr w14:paraId="2A9AD987">
        <w:tblPrEx>
          <w:tblW w:w="0" w:type="auto"/>
          <w:jc w:val="center"/>
          <w:tblLayout w:type="fixed"/>
          <w:tblCellMar>
            <w:top w:w="0" w:type="dxa"/>
            <w:left w:w="108" w:type="dxa"/>
            <w:bottom w:w="0" w:type="dxa"/>
            <w:right w:w="108" w:type="dxa"/>
          </w:tblCellMar>
        </w:tblPrEx>
        <w:trPr>
          <w:trHeight w:val="517"/>
          <w:jc w:val="center"/>
        </w:trPr>
        <w:tc>
          <w:tcPr>
            <w:tcW w:w="817" w:type="dxa"/>
            <w:tcBorders>
              <w:top w:val="single" w:sz="2" w:space="0" w:color="auto"/>
              <w:left w:val="single" w:sz="2" w:space="0" w:color="auto"/>
              <w:bottom w:val="single" w:sz="2" w:space="0" w:color="auto"/>
              <w:right w:val="single" w:sz="2" w:space="0" w:color="auto"/>
            </w:tcBorders>
            <w:vAlign w:val="center"/>
          </w:tcPr>
          <w:p w14:paraId="2C114B79">
            <w:pPr>
              <w:spacing w:line="360" w:lineRule="auto"/>
              <w:jc w:val="center"/>
              <w:rPr>
                <w:rFonts w:ascii="宋体" w:hAnsi="宋体"/>
              </w:rPr>
            </w:pPr>
          </w:p>
        </w:tc>
        <w:tc>
          <w:tcPr>
            <w:tcW w:w="1125" w:type="dxa"/>
            <w:tcBorders>
              <w:top w:val="single" w:sz="2" w:space="0" w:color="auto"/>
              <w:left w:val="single" w:sz="2" w:space="0" w:color="auto"/>
              <w:bottom w:val="single" w:sz="2" w:space="0" w:color="auto"/>
              <w:right w:val="single" w:sz="2" w:space="0" w:color="auto"/>
            </w:tcBorders>
            <w:vAlign w:val="center"/>
          </w:tcPr>
          <w:p w14:paraId="3AEB5384">
            <w:pPr>
              <w:spacing w:line="360" w:lineRule="auto"/>
              <w:jc w:val="center"/>
              <w:rPr>
                <w:rFonts w:ascii="宋体" w:hAnsi="宋体"/>
              </w:rPr>
            </w:pPr>
          </w:p>
        </w:tc>
        <w:tc>
          <w:tcPr>
            <w:tcW w:w="1602" w:type="dxa"/>
            <w:gridSpan w:val="2"/>
            <w:tcBorders>
              <w:top w:val="single" w:sz="2" w:space="0" w:color="auto"/>
              <w:left w:val="single" w:sz="2" w:space="0" w:color="auto"/>
              <w:bottom w:val="single" w:sz="2" w:space="0" w:color="auto"/>
              <w:right w:val="single" w:sz="2" w:space="0" w:color="auto"/>
            </w:tcBorders>
            <w:vAlign w:val="center"/>
          </w:tcPr>
          <w:p w14:paraId="0CEC1624">
            <w:pPr>
              <w:spacing w:line="360" w:lineRule="auto"/>
              <w:jc w:val="center"/>
              <w:rPr>
                <w:rFonts w:ascii="宋体" w:hAnsi="宋体"/>
              </w:rPr>
            </w:pPr>
          </w:p>
        </w:tc>
        <w:tc>
          <w:tcPr>
            <w:tcW w:w="2126" w:type="dxa"/>
            <w:tcBorders>
              <w:top w:val="single" w:sz="2" w:space="0" w:color="auto"/>
              <w:left w:val="single" w:sz="2" w:space="0" w:color="auto"/>
              <w:bottom w:val="single" w:sz="2" w:space="0" w:color="auto"/>
              <w:right w:val="single" w:sz="2" w:space="0" w:color="auto"/>
            </w:tcBorders>
            <w:vAlign w:val="center"/>
          </w:tcPr>
          <w:p w14:paraId="4658BF0B">
            <w:pPr>
              <w:spacing w:line="360" w:lineRule="auto"/>
              <w:jc w:val="center"/>
              <w:rPr>
                <w:rFonts w:ascii="宋体" w:hAnsi="宋体"/>
              </w:rPr>
            </w:pPr>
          </w:p>
        </w:tc>
        <w:tc>
          <w:tcPr>
            <w:tcW w:w="1843" w:type="dxa"/>
            <w:tcBorders>
              <w:top w:val="single" w:sz="2" w:space="0" w:color="auto"/>
              <w:left w:val="single" w:sz="2" w:space="0" w:color="auto"/>
              <w:bottom w:val="single" w:sz="2" w:space="0" w:color="auto"/>
              <w:right w:val="single" w:sz="2" w:space="0" w:color="auto"/>
            </w:tcBorders>
            <w:vAlign w:val="center"/>
          </w:tcPr>
          <w:p w14:paraId="3322DAFE">
            <w:pPr>
              <w:spacing w:line="360" w:lineRule="auto"/>
              <w:jc w:val="center"/>
              <w:rPr>
                <w:rFonts w:ascii="宋体" w:hAnsi="宋体"/>
              </w:rPr>
            </w:pPr>
          </w:p>
        </w:tc>
        <w:tc>
          <w:tcPr>
            <w:tcW w:w="1434" w:type="dxa"/>
            <w:tcBorders>
              <w:top w:val="single" w:sz="2" w:space="0" w:color="auto"/>
              <w:left w:val="single" w:sz="2" w:space="0" w:color="auto"/>
              <w:bottom w:val="single" w:sz="2" w:space="0" w:color="auto"/>
              <w:right w:val="single" w:sz="2" w:space="0" w:color="auto"/>
            </w:tcBorders>
            <w:vAlign w:val="center"/>
          </w:tcPr>
          <w:p w14:paraId="0CC59E6D">
            <w:pPr>
              <w:spacing w:line="360" w:lineRule="auto"/>
              <w:jc w:val="center"/>
              <w:rPr>
                <w:rFonts w:ascii="宋体" w:hAnsi="宋体"/>
              </w:rPr>
            </w:pPr>
          </w:p>
        </w:tc>
        <w:tc>
          <w:tcPr>
            <w:tcW w:w="904" w:type="dxa"/>
            <w:tcBorders>
              <w:top w:val="single" w:sz="2" w:space="0" w:color="auto"/>
              <w:left w:val="single" w:sz="2" w:space="0" w:color="auto"/>
              <w:bottom w:val="single" w:sz="2" w:space="0" w:color="auto"/>
              <w:right w:val="single" w:sz="2" w:space="0" w:color="auto"/>
            </w:tcBorders>
            <w:vAlign w:val="center"/>
          </w:tcPr>
          <w:p w14:paraId="1E7B9C4C">
            <w:pPr>
              <w:spacing w:line="360" w:lineRule="auto"/>
              <w:jc w:val="center"/>
              <w:rPr>
                <w:rFonts w:ascii="宋体" w:hAnsi="宋体"/>
              </w:rPr>
            </w:pPr>
          </w:p>
        </w:tc>
      </w:tr>
      <w:tr w14:paraId="0A5BED11">
        <w:tblPrEx>
          <w:tblW w:w="0" w:type="auto"/>
          <w:jc w:val="center"/>
          <w:tblLayout w:type="fixed"/>
          <w:tblCellMar>
            <w:top w:w="0" w:type="dxa"/>
            <w:left w:w="108" w:type="dxa"/>
            <w:bottom w:w="0" w:type="dxa"/>
            <w:right w:w="108" w:type="dxa"/>
          </w:tblCellMar>
        </w:tblPrEx>
        <w:trPr>
          <w:trHeight w:val="499"/>
          <w:jc w:val="center"/>
        </w:trPr>
        <w:tc>
          <w:tcPr>
            <w:tcW w:w="3450" w:type="dxa"/>
            <w:gridSpan w:val="3"/>
            <w:tcBorders>
              <w:top w:val="single" w:sz="2" w:space="0" w:color="auto"/>
              <w:left w:val="single" w:sz="2" w:space="0" w:color="auto"/>
              <w:bottom w:val="single" w:sz="2" w:space="0" w:color="auto"/>
              <w:right w:val="single" w:sz="2" w:space="0" w:color="auto"/>
            </w:tcBorders>
            <w:vAlign w:val="center"/>
          </w:tcPr>
          <w:p w14:paraId="7A81E904">
            <w:pPr>
              <w:spacing w:line="360" w:lineRule="auto"/>
              <w:jc w:val="center"/>
              <w:rPr>
                <w:rFonts w:ascii="宋体" w:hAnsi="宋体"/>
              </w:rPr>
            </w:pPr>
            <w:r>
              <w:rPr>
                <w:rFonts w:ascii="宋体" w:hAnsi="宋体" w:hint="eastAsia"/>
              </w:rPr>
              <w:t>最高限价</w:t>
            </w:r>
          </w:p>
        </w:tc>
        <w:tc>
          <w:tcPr>
            <w:tcW w:w="6401" w:type="dxa"/>
            <w:gridSpan w:val="5"/>
            <w:tcBorders>
              <w:top w:val="single" w:sz="2" w:space="0" w:color="auto"/>
              <w:left w:val="single" w:sz="2" w:space="0" w:color="auto"/>
              <w:bottom w:val="single" w:sz="2" w:space="0" w:color="auto"/>
              <w:right w:val="single" w:sz="2" w:space="0" w:color="auto"/>
            </w:tcBorders>
            <w:vAlign w:val="center"/>
          </w:tcPr>
          <w:p w14:paraId="033E30E3">
            <w:pPr>
              <w:spacing w:line="360" w:lineRule="auto"/>
              <w:jc w:val="center"/>
              <w:rPr>
                <w:rFonts w:ascii="宋体" w:hAnsi="宋体"/>
              </w:rPr>
            </w:pPr>
          </w:p>
        </w:tc>
      </w:tr>
      <w:tr w14:paraId="1E8BF369">
        <w:tblPrEx>
          <w:tblW w:w="0" w:type="auto"/>
          <w:jc w:val="center"/>
          <w:tblLayout w:type="fixed"/>
          <w:tblCellMar>
            <w:top w:w="0" w:type="dxa"/>
            <w:left w:w="108" w:type="dxa"/>
            <w:bottom w:w="0" w:type="dxa"/>
            <w:right w:w="108" w:type="dxa"/>
          </w:tblCellMar>
        </w:tblPrEx>
        <w:trPr>
          <w:trHeight w:val="499"/>
          <w:jc w:val="center"/>
        </w:trPr>
        <w:tc>
          <w:tcPr>
            <w:tcW w:w="3450" w:type="dxa"/>
            <w:gridSpan w:val="3"/>
            <w:tcBorders>
              <w:top w:val="single" w:sz="2" w:space="0" w:color="auto"/>
              <w:left w:val="single" w:sz="2" w:space="0" w:color="auto"/>
              <w:bottom w:val="single" w:sz="2" w:space="0" w:color="auto"/>
              <w:right w:val="single" w:sz="2" w:space="0" w:color="auto"/>
            </w:tcBorders>
            <w:vAlign w:val="center"/>
          </w:tcPr>
          <w:p w14:paraId="5E576164">
            <w:pPr>
              <w:spacing w:line="360" w:lineRule="auto"/>
              <w:jc w:val="center"/>
              <w:rPr>
                <w:rFonts w:ascii="宋体" w:hAnsi="宋体"/>
              </w:rPr>
            </w:pPr>
            <w:r>
              <w:rPr>
                <w:rFonts w:ascii="宋体" w:hAnsi="宋体" w:hint="eastAsia"/>
              </w:rPr>
              <w:t>随机抽取事项</w:t>
            </w:r>
          </w:p>
        </w:tc>
        <w:tc>
          <w:tcPr>
            <w:tcW w:w="6401" w:type="dxa"/>
            <w:gridSpan w:val="5"/>
            <w:tcBorders>
              <w:top w:val="single" w:sz="2" w:space="0" w:color="auto"/>
              <w:left w:val="single" w:sz="2" w:space="0" w:color="auto"/>
              <w:bottom w:val="single" w:sz="2" w:space="0" w:color="auto"/>
              <w:right w:val="single" w:sz="2" w:space="0" w:color="auto"/>
            </w:tcBorders>
            <w:vAlign w:val="center"/>
          </w:tcPr>
          <w:p w14:paraId="07F426F5">
            <w:pPr>
              <w:spacing w:line="360" w:lineRule="auto"/>
              <w:jc w:val="center"/>
              <w:rPr>
                <w:rFonts w:ascii="宋体" w:hAnsi="宋体"/>
              </w:rPr>
            </w:pPr>
          </w:p>
        </w:tc>
      </w:tr>
    </w:tbl>
    <w:p w14:paraId="3A96BAD7">
      <w:pPr>
        <w:spacing w:line="360" w:lineRule="auto"/>
        <w:rPr>
          <w:rFonts w:ascii="宋体" w:hAnsi="宋体"/>
          <w:kern w:val="2"/>
        </w:rPr>
      </w:pPr>
    </w:p>
    <w:p w14:paraId="6749238A">
      <w:pPr>
        <w:spacing w:line="360" w:lineRule="auto"/>
        <w:rPr>
          <w:rFonts w:ascii="宋体" w:hAnsi="宋体"/>
          <w:u w:val="single"/>
          <w:lang w:eastAsia="zh-CN"/>
        </w:rPr>
      </w:pPr>
      <w:r>
        <w:rPr>
          <w:rFonts w:ascii="宋体" w:hAnsi="宋体" w:hint="eastAsia"/>
          <w:lang w:eastAsia="zh-CN"/>
        </w:rPr>
        <w:t>招标人代表：</w:t>
      </w:r>
      <w:r>
        <w:rPr>
          <w:rFonts w:ascii="宋体" w:hAnsi="宋体" w:hint="eastAsia"/>
          <w:u w:val="single"/>
          <w:lang w:eastAsia="zh-CN"/>
        </w:rPr>
        <w:t xml:space="preserve">               </w:t>
      </w:r>
      <w:r>
        <w:rPr>
          <w:rFonts w:ascii="宋体" w:hAnsi="宋体" w:hint="eastAsia"/>
          <w:lang w:eastAsia="zh-CN"/>
        </w:rPr>
        <w:t xml:space="preserve">                监督人：</w:t>
      </w:r>
      <w:r>
        <w:rPr>
          <w:rFonts w:ascii="宋体" w:hAnsi="宋体" w:hint="eastAsia"/>
          <w:u w:val="single"/>
          <w:lang w:eastAsia="zh-CN"/>
        </w:rPr>
        <w:t xml:space="preserve">              </w:t>
      </w:r>
    </w:p>
    <w:p w14:paraId="6C55B19A">
      <w:pPr>
        <w:spacing w:line="360" w:lineRule="auto"/>
        <w:rPr>
          <w:rFonts w:ascii="宋体" w:hAnsi="宋体"/>
          <w:u w:val="single"/>
          <w:lang w:eastAsia="zh-CN"/>
        </w:rPr>
      </w:pPr>
      <w:r>
        <w:rPr>
          <w:rFonts w:ascii="宋体" w:hAnsi="宋体" w:hint="eastAsia"/>
          <w:lang w:eastAsia="zh-CN"/>
        </w:rPr>
        <w:t>招标代理机构代表：___</w:t>
      </w:r>
      <w:r>
        <w:rPr>
          <w:rFonts w:ascii="宋体" w:hAnsi="宋体" w:hint="eastAsia"/>
          <w:u w:val="single"/>
          <w:lang w:eastAsia="zh-CN"/>
        </w:rPr>
        <w:t xml:space="preserve">  </w:t>
      </w:r>
      <w:r>
        <w:rPr>
          <w:rFonts w:ascii="宋体" w:hAnsi="宋体" w:hint="eastAsia"/>
          <w:lang w:eastAsia="zh-CN"/>
        </w:rPr>
        <w:t>____                记录人：</w:t>
      </w:r>
      <w:r>
        <w:rPr>
          <w:rFonts w:ascii="宋体" w:hAnsi="宋体" w:hint="eastAsia"/>
          <w:u w:val="single"/>
          <w:lang w:eastAsia="zh-CN"/>
        </w:rPr>
        <w:t xml:space="preserve">              </w:t>
      </w:r>
    </w:p>
    <w:p w14:paraId="71D0F606">
      <w:pPr>
        <w:spacing w:line="360" w:lineRule="auto"/>
        <w:rPr>
          <w:rFonts w:ascii="宋体" w:hAnsi="宋体"/>
          <w:lang w:eastAsia="zh-CN"/>
        </w:rPr>
      </w:pPr>
    </w:p>
    <w:p w14:paraId="4F691AB8">
      <w:pPr>
        <w:spacing w:line="360" w:lineRule="auto"/>
        <w:jc w:val="center"/>
        <w:rPr>
          <w:rFonts w:ascii="宋体" w:hAnsi="宋体"/>
          <w:lang w:eastAsia="zh-CN"/>
        </w:rPr>
      </w:pPr>
      <w:r>
        <w:rPr>
          <w:rFonts w:ascii="宋体" w:hAnsi="宋体" w:hint="eastAsia"/>
          <w:lang w:eastAsia="zh-CN"/>
        </w:rPr>
        <w:t xml:space="preserve">                                        年  月  日</w:t>
      </w:r>
    </w:p>
    <w:p w14:paraId="715716E7">
      <w:pPr>
        <w:rPr>
          <w:rFonts w:ascii="宋体" w:hAnsi="宋体"/>
          <w:lang w:eastAsia="zh-CN"/>
        </w:rPr>
      </w:pPr>
    </w:p>
    <w:p w14:paraId="52C0C9C1">
      <w:pPr>
        <w:rPr>
          <w:rFonts w:ascii="宋体" w:hAnsi="宋体"/>
          <w:lang w:eastAsia="zh-CN"/>
        </w:rPr>
      </w:pPr>
      <w:r>
        <w:rPr>
          <w:rFonts w:ascii="宋体" w:hAnsi="宋体" w:hint="eastAsia"/>
          <w:lang w:eastAsia="zh-CN"/>
        </w:rPr>
        <w:br w:type="page"/>
      </w:r>
    </w:p>
    <w:p w14:paraId="74BD9FF1">
      <w:pPr>
        <w:rPr>
          <w:rFonts w:ascii="宋体" w:hAnsi="宋体"/>
          <w:lang w:eastAsia="zh-CN"/>
        </w:rPr>
      </w:pPr>
    </w:p>
    <w:p w14:paraId="72BCFD96">
      <w:pPr>
        <w:pStyle w:val="Heading2"/>
        <w:rPr>
          <w:rFonts w:ascii="宋体" w:hAnsi="宋体"/>
          <w:sz w:val="24"/>
          <w:szCs w:val="24"/>
        </w:rPr>
      </w:pPr>
      <w:bookmarkStart w:id="64" w:name="_Toc256000056"/>
      <w:r>
        <w:rPr>
          <w:rFonts w:ascii="宋体" w:hAnsi="宋体" w:hint="eastAsia"/>
          <w:sz w:val="24"/>
          <w:szCs w:val="24"/>
        </w:rPr>
        <w:t>附表二：问题澄清通知</w:t>
      </w:r>
      <w:bookmarkEnd w:id="64"/>
    </w:p>
    <w:p w14:paraId="38E692F6">
      <w:pPr>
        <w:spacing w:line="360" w:lineRule="auto"/>
        <w:rPr>
          <w:rFonts w:ascii="宋体" w:hAnsi="宋体"/>
          <w:lang w:eastAsia="zh-CN"/>
        </w:rPr>
      </w:pPr>
    </w:p>
    <w:p w14:paraId="735F06D3">
      <w:pPr>
        <w:spacing w:line="360" w:lineRule="auto"/>
        <w:jc w:val="center"/>
        <w:rPr>
          <w:rFonts w:ascii="Calibri" w:eastAsia="Calibri" w:hAnsi="Calibri" w:cs="Arial"/>
          <w:sz w:val="20"/>
          <w:szCs w:val="20"/>
          <w:lang w:eastAsia="zh-CN"/>
        </w:rPr>
      </w:pPr>
      <w:bookmarkStart w:id="65" w:name="_Toc26844_WPSOffice_Level1"/>
      <w:r>
        <w:rPr>
          <w:rFonts w:ascii="宋体" w:hAnsi="宋体" w:cs="Arial" w:hint="eastAsia"/>
          <w:b/>
          <w:lang w:eastAsia="zh-CN"/>
        </w:rPr>
        <w:t>问题澄清通知</w:t>
      </w:r>
      <w:bookmarkEnd w:id="65"/>
      <w:r>
        <w:rPr>
          <w:rFonts w:eastAsia="Calibri" w:cs="Arial"/>
          <w:sz w:val="20"/>
          <w:szCs w:val="20"/>
          <w:lang w:eastAsia="zh-CN"/>
        </w:rPr>
        <w:t xml:space="preserve">  </w:t>
      </w:r>
    </w:p>
    <w:p w14:paraId="0E6F49E9">
      <w:pPr>
        <w:spacing w:line="360" w:lineRule="auto"/>
        <w:jc w:val="center"/>
        <w:rPr>
          <w:rFonts w:eastAsia="Calibri" w:cs="Arial"/>
          <w:sz w:val="20"/>
          <w:szCs w:val="20"/>
          <w:lang w:eastAsia="zh-CN"/>
        </w:rPr>
      </w:pPr>
    </w:p>
    <w:p w14:paraId="71FB0F59">
      <w:pPr>
        <w:spacing w:line="360" w:lineRule="auto"/>
        <w:jc w:val="right"/>
        <w:rPr>
          <w:rFonts w:ascii="宋体" w:eastAsia="宋体" w:hAnsi="宋体" w:cs="Arial"/>
          <w:lang w:eastAsia="zh-CN"/>
        </w:rPr>
      </w:pPr>
      <w:r>
        <w:rPr>
          <w:rFonts w:ascii="宋体" w:hAnsi="宋体" w:cs="Arial" w:hint="eastAsia"/>
          <w:lang w:eastAsia="zh-CN"/>
        </w:rPr>
        <w:t>编号：</w:t>
      </w:r>
      <w:r>
        <w:rPr>
          <w:rFonts w:eastAsia="Calibri" w:cs="Arial"/>
          <w:lang w:eastAsia="zh-CN"/>
        </w:rPr>
        <w:t xml:space="preserve"> </w:t>
      </w:r>
      <w:r>
        <w:rPr>
          <w:rFonts w:ascii="宋体" w:hAnsi="宋体" w:cs="Arial" w:hint="eastAsia"/>
          <w:lang w:eastAsia="zh-CN"/>
        </w:rPr>
        <w:t>_______</w:t>
      </w:r>
    </w:p>
    <w:p w14:paraId="6759507D">
      <w:pPr>
        <w:spacing w:line="360" w:lineRule="auto"/>
        <w:rPr>
          <w:rFonts w:ascii="宋体" w:hAnsi="宋体" w:cs="Arial"/>
          <w:lang w:eastAsia="zh-CN"/>
        </w:rPr>
      </w:pPr>
      <w:r>
        <w:rPr>
          <w:rFonts w:cs="Arial"/>
          <w:u w:val="single"/>
          <w:lang w:eastAsia="zh-CN"/>
        </w:rPr>
        <w:t xml:space="preserve">       </w:t>
      </w:r>
      <w:r>
        <w:rPr>
          <w:rFonts w:cs="Arial" w:hint="eastAsia"/>
          <w:lang w:eastAsia="zh-CN"/>
        </w:rPr>
        <w:t>（投标人名称）：</w:t>
      </w:r>
    </w:p>
    <w:p w14:paraId="20B90496">
      <w:pPr>
        <w:spacing w:line="360" w:lineRule="auto"/>
        <w:rPr>
          <w:rFonts w:ascii="Calibri" w:hAnsi="Calibri" w:cs="Arial"/>
          <w:u w:val="single"/>
          <w:lang w:eastAsia="zh-CN"/>
        </w:rPr>
      </w:pPr>
      <w:r>
        <w:rPr>
          <w:rFonts w:eastAsia="Calibri" w:cs="Arial"/>
          <w:lang w:eastAsia="zh-CN"/>
        </w:rPr>
        <w:t xml:space="preserve">   </w:t>
      </w:r>
      <w:r>
        <w:rPr>
          <w:rFonts w:cs="Arial"/>
          <w:lang w:eastAsia="zh-CN"/>
        </w:rPr>
        <w:t xml:space="preserve">  </w:t>
      </w:r>
      <w:r>
        <w:rPr>
          <w:rFonts w:ascii="宋体" w:hAnsi="宋体" w:cs="Arial" w:hint="eastAsia"/>
          <w:lang w:eastAsia="zh-CN"/>
        </w:rPr>
        <w:t>______（项目名称）施工_______标段招标的评标委员会，对你方的投标文件进行了仔细的审查，现需你方对下列问题以书面形式予以澄清、说明或补正：</w:t>
      </w:r>
      <w:r>
        <w:rPr>
          <w:rFonts w:cs="Arial"/>
          <w:u w:val="single"/>
          <w:lang w:eastAsia="zh-CN"/>
        </w:rPr>
        <w:t xml:space="preserve">           </w:t>
      </w:r>
    </w:p>
    <w:p w14:paraId="5FD565A8">
      <w:pPr>
        <w:spacing w:line="360" w:lineRule="auto"/>
        <w:rPr>
          <w:rFonts w:cs="Arial"/>
          <w:u w:val="single"/>
          <w:lang w:eastAsia="zh-CN"/>
        </w:rPr>
      </w:pPr>
      <w:r>
        <w:rPr>
          <w:rFonts w:cs="Arial"/>
          <w:u w:val="single"/>
          <w:lang w:eastAsia="zh-CN"/>
        </w:rPr>
        <w:t xml:space="preserve">                                                                           </w:t>
      </w:r>
    </w:p>
    <w:p w14:paraId="3EFB35D0">
      <w:pPr>
        <w:spacing w:line="360" w:lineRule="auto"/>
        <w:rPr>
          <w:rFonts w:cs="Arial"/>
          <w:u w:val="single"/>
          <w:lang w:eastAsia="zh-CN"/>
        </w:rPr>
      </w:pPr>
    </w:p>
    <w:p w14:paraId="2BABA0EC">
      <w:pPr>
        <w:spacing w:line="360" w:lineRule="auto"/>
        <w:rPr>
          <w:rFonts w:cs="Arial"/>
          <w:u w:val="single"/>
          <w:lang w:eastAsia="zh-CN"/>
        </w:rPr>
      </w:pPr>
    </w:p>
    <w:p w14:paraId="4E3DD465">
      <w:pPr>
        <w:spacing w:line="360" w:lineRule="auto"/>
        <w:rPr>
          <w:rFonts w:cs="Arial"/>
          <w:u w:val="single"/>
          <w:lang w:eastAsia="zh-CN"/>
        </w:rPr>
      </w:pPr>
    </w:p>
    <w:p w14:paraId="1D5D993D">
      <w:pPr>
        <w:spacing w:line="360" w:lineRule="auto"/>
        <w:rPr>
          <w:rFonts w:cs="Arial"/>
          <w:lang w:eastAsia="zh-CN"/>
        </w:rPr>
      </w:pPr>
    </w:p>
    <w:p w14:paraId="08A4532D">
      <w:pPr>
        <w:spacing w:line="360" w:lineRule="auto"/>
        <w:rPr>
          <w:rFonts w:cs="Arial"/>
          <w:lang w:eastAsia="zh-CN"/>
        </w:rPr>
      </w:pPr>
    </w:p>
    <w:p w14:paraId="7BC21125">
      <w:pPr>
        <w:spacing w:line="360" w:lineRule="auto"/>
        <w:rPr>
          <w:rFonts w:ascii="宋体" w:hAnsi="宋体" w:cs="Arial"/>
          <w:lang w:eastAsia="zh-CN"/>
        </w:rPr>
      </w:pPr>
    </w:p>
    <w:p w14:paraId="42A21451">
      <w:pPr>
        <w:spacing w:line="360" w:lineRule="auto"/>
        <w:ind w:firstLine="480"/>
        <w:rPr>
          <w:rFonts w:ascii="宋体" w:hAnsi="宋体" w:cs="Arial"/>
          <w:lang w:eastAsia="zh-CN"/>
        </w:rPr>
      </w:pPr>
      <w:r>
        <w:rPr>
          <w:rFonts w:ascii="宋体" w:hAnsi="宋体" w:cs="Arial" w:hint="eastAsia"/>
          <w:lang w:eastAsia="zh-CN"/>
        </w:rPr>
        <w:t>请将上述问题的澄清、说明或补正于接到通知</w:t>
      </w:r>
      <w:r>
        <w:rPr>
          <w:rFonts w:ascii="宋体" w:hAnsi="宋体" w:cs="Arial" w:hint="eastAsia"/>
          <w:u w:val="single"/>
          <w:lang w:eastAsia="zh-CN"/>
        </w:rPr>
        <w:t xml:space="preserve">    </w:t>
      </w:r>
      <w:r>
        <w:rPr>
          <w:rFonts w:ascii="宋体" w:hAnsi="宋体" w:cs="Arial" w:hint="eastAsia"/>
          <w:lang w:eastAsia="zh-CN"/>
        </w:rPr>
        <w:t>分钟内通过在线形式递交至评标委员会。</w:t>
      </w:r>
    </w:p>
    <w:p w14:paraId="1DC059DC">
      <w:pPr>
        <w:spacing w:line="360" w:lineRule="auto"/>
        <w:rPr>
          <w:rFonts w:ascii="宋体" w:hAnsi="宋体" w:cs="Arial"/>
          <w:lang w:eastAsia="zh-CN"/>
        </w:rPr>
      </w:pPr>
      <w:r>
        <w:rPr>
          <w:rFonts w:ascii="宋体" w:hAnsi="宋体" w:cs="Arial" w:hint="eastAsia"/>
          <w:lang w:eastAsia="zh-CN"/>
        </w:rPr>
        <w:t>评标委员会成员签字：</w:t>
      </w:r>
      <w:r>
        <w:rPr>
          <w:rFonts w:ascii="宋体" w:hAnsi="宋体" w:cs="Arial" w:hint="eastAsia"/>
          <w:u w:val="single"/>
          <w:lang w:eastAsia="zh-CN"/>
        </w:rPr>
        <w:t xml:space="preserve">                         </w:t>
      </w:r>
    </w:p>
    <w:p w14:paraId="0E6C2260">
      <w:pPr>
        <w:spacing w:line="360" w:lineRule="auto"/>
        <w:jc w:val="center"/>
        <w:rPr>
          <w:rFonts w:ascii="Calibri" w:eastAsia="Calibri" w:hAnsi="Calibri" w:cs="Arial"/>
          <w:lang w:eastAsia="zh-CN"/>
        </w:rPr>
      </w:pPr>
    </w:p>
    <w:p w14:paraId="45EF737C">
      <w:pPr>
        <w:spacing w:line="360" w:lineRule="auto"/>
        <w:jc w:val="center"/>
        <w:rPr>
          <w:rFonts w:ascii="宋体" w:eastAsia="宋体" w:hAnsi="宋体" w:cs="Arial"/>
          <w:lang w:eastAsia="zh-CN"/>
        </w:rPr>
      </w:pPr>
      <w:r>
        <w:rPr>
          <w:rFonts w:eastAsia="Calibri" w:cs="Arial"/>
          <w:lang w:eastAsia="zh-CN"/>
        </w:rPr>
        <w:t xml:space="preserve">  </w:t>
      </w:r>
      <w:r>
        <w:rPr>
          <w:rFonts w:cs="Arial"/>
          <w:lang w:eastAsia="zh-CN"/>
        </w:rPr>
        <w:t xml:space="preserve">          </w:t>
      </w:r>
      <w:r>
        <w:rPr>
          <w:rFonts w:eastAsia="Calibri" w:cs="Arial"/>
          <w:lang w:eastAsia="zh-CN"/>
        </w:rPr>
        <w:t xml:space="preserve">     </w:t>
      </w:r>
      <w:r>
        <w:rPr>
          <w:rFonts w:ascii="宋体" w:hAnsi="宋体" w:cs="Arial" w:hint="eastAsia"/>
          <w:lang w:eastAsia="zh-CN"/>
        </w:rPr>
        <w:t>_______年_______月_______日</w:t>
      </w:r>
    </w:p>
    <w:p w14:paraId="34864E91">
      <w:pPr>
        <w:spacing w:line="360" w:lineRule="auto"/>
        <w:rPr>
          <w:rFonts w:ascii="宋体" w:hAnsi="宋体" w:cs="Arial"/>
          <w:lang w:eastAsia="zh-CN"/>
        </w:rPr>
      </w:pPr>
      <w:r>
        <w:rPr>
          <w:rFonts w:eastAsia="Calibri" w:cs="Arial"/>
          <w:lang w:eastAsia="zh-CN"/>
        </w:rPr>
        <w:t xml:space="preserve">    </w:t>
      </w:r>
    </w:p>
    <w:p w14:paraId="1AF35102">
      <w:pPr>
        <w:spacing w:line="360" w:lineRule="auto"/>
        <w:rPr>
          <w:rFonts w:ascii="宋体" w:hAnsi="宋体"/>
          <w:kern w:val="2"/>
          <w:szCs w:val="22"/>
          <w:lang w:eastAsia="zh-CN"/>
        </w:rPr>
      </w:pPr>
      <w:r>
        <w:rPr>
          <w:rFonts w:ascii="宋体" w:hAnsi="宋体" w:hint="eastAsia"/>
          <w:lang w:eastAsia="zh-CN"/>
        </w:rPr>
        <w:t>注：评标委员会在评标过程中，如要求投标人澄清或说明的，评标委员会要求投标人在线澄清或说明的时间距投标人收到评标委员会通知的时间不得少于 60分钟。</w:t>
      </w:r>
    </w:p>
    <w:p w14:paraId="2C250611">
      <w:pPr>
        <w:spacing w:line="360" w:lineRule="auto"/>
        <w:rPr>
          <w:rFonts w:ascii="宋体" w:hAnsi="宋体"/>
          <w:lang w:eastAsia="zh-CN"/>
        </w:rPr>
      </w:pPr>
      <w:r>
        <w:rPr>
          <w:lang w:eastAsia="zh-CN"/>
        </w:rPr>
        <w:t xml:space="preserve">    </w:t>
      </w:r>
      <w:r>
        <w:rPr>
          <w:rFonts w:ascii="宋体" w:hAnsi="宋体" w:hint="eastAsia"/>
          <w:lang w:eastAsia="zh-CN"/>
        </w:rPr>
        <w:t>评标委员会认为投标人的澄清或说明不够明确，应再次要求投标人对不明确的内容进行澄清或说明，评标委员会要求投标人再次在线澄清或说明的时间距投标人收到评标委员会通知的时间不得少于 30 分钟。</w:t>
      </w:r>
    </w:p>
    <w:p w14:paraId="4F7A4C16">
      <w:pPr>
        <w:spacing w:line="360" w:lineRule="auto"/>
        <w:ind w:firstLine="240"/>
        <w:rPr>
          <w:rFonts w:ascii="宋体" w:hAnsi="宋体" w:hint="eastAsia"/>
          <w:lang w:eastAsia="zh-CN"/>
        </w:rPr>
      </w:pPr>
      <w:r>
        <w:rPr>
          <w:rFonts w:ascii="宋体" w:hAnsi="宋体" w:hint="eastAsia"/>
          <w:lang w:eastAsia="zh-CN"/>
        </w:rPr>
        <w:t>投标人未在规定时间内作出澄清或说明的，或者评标委员会认为该投标人的两次澄清或说明都不符合评标委员会要求的，作否决投标处理。</w:t>
      </w:r>
    </w:p>
    <w:p w14:paraId="79B53F72">
      <w:pPr>
        <w:widowControl/>
        <w:spacing w:line="360" w:lineRule="auto"/>
        <w:ind w:firstLine="480" w:firstLineChars="200"/>
        <w:rPr>
          <w:rFonts w:ascii="宋体" w:hAnsi="宋体" w:cs="Arial"/>
          <w:color w:val="000000" w:themeColor="text1"/>
          <w:kern w:val="0"/>
          <w:sz w:val="24"/>
          <w:szCs w:val="24"/>
          <w14:textFill>
            <w14:solidFill>
              <w14:schemeClr w14:val="tx1"/>
            </w14:solidFill>
          </w14:textFill>
        </w:rPr>
      </w:pPr>
      <w:r>
        <w:rPr>
          <w:rFonts w:ascii="宋体" w:hAnsi="宋体" w:cs="Arial" w:hint="eastAsia"/>
          <w:color w:val="000000" w:themeColor="text1"/>
          <w:kern w:val="0"/>
          <w:sz w:val="24"/>
          <w:szCs w:val="24"/>
          <w14:textFill>
            <w14:solidFill>
              <w14:schemeClr w14:val="tx1"/>
            </w14:solidFill>
          </w14:textFill>
        </w:rPr>
        <w:t>根据投标人需要</w:t>
      </w:r>
      <w:r>
        <w:rPr>
          <w:rFonts w:ascii="宋体" w:hAnsi="宋体" w:cs="Arial" w:hint="eastAsia"/>
          <w:color w:val="000000" w:themeColor="text1"/>
          <w:kern w:val="0"/>
          <w:sz w:val="24"/>
          <w:szCs w:val="24"/>
          <w:lang w:val="en-US" w:eastAsia="zh-CN"/>
          <w14:textFill>
            <w14:solidFill>
              <w14:schemeClr w14:val="tx1"/>
            </w14:solidFill>
          </w14:textFill>
        </w:rPr>
        <w:t>知</w:t>
      </w:r>
      <w:r>
        <w:rPr>
          <w:rFonts w:ascii="宋体" w:hAnsi="宋体" w:cs="Arial" w:hint="eastAsia"/>
          <w:color w:val="000000" w:themeColor="text1"/>
          <w:kern w:val="0"/>
          <w:sz w:val="24"/>
          <w:szCs w:val="24"/>
          <w14:textFill>
            <w14:solidFill>
              <w14:schemeClr w14:val="tx1"/>
            </w14:solidFill>
          </w14:textFill>
        </w:rPr>
        <w:t>前附表1</w:t>
      </w:r>
      <w:r>
        <w:rPr>
          <w:rFonts w:ascii="宋体" w:hAnsi="宋体" w:cs="Arial"/>
          <w:color w:val="000000" w:themeColor="text1"/>
          <w:kern w:val="0"/>
          <w:sz w:val="24"/>
          <w:szCs w:val="24"/>
          <w14:textFill>
            <w14:solidFill>
              <w14:schemeClr w14:val="tx1"/>
            </w14:solidFill>
          </w14:textFill>
        </w:rPr>
        <w:t>0.</w:t>
      </w:r>
      <w:r>
        <w:rPr>
          <w:rFonts w:ascii="宋体" w:hAnsi="宋体" w:cs="Arial" w:hint="eastAsia"/>
          <w:color w:val="000000" w:themeColor="text1"/>
          <w:kern w:val="0"/>
          <w:sz w:val="24"/>
          <w:szCs w:val="24"/>
          <w:lang w:val="en-US" w:eastAsia="zh-CN"/>
          <w14:textFill>
            <w14:solidFill>
              <w14:schemeClr w14:val="tx1"/>
            </w14:solidFill>
          </w14:textFill>
        </w:rPr>
        <w:t>16</w:t>
      </w:r>
      <w:r>
        <w:rPr>
          <w:rFonts w:ascii="宋体" w:hAnsi="宋体" w:cs="Arial" w:hint="eastAsia"/>
          <w:color w:val="000000" w:themeColor="text1"/>
          <w:kern w:val="0"/>
          <w:sz w:val="24"/>
          <w:szCs w:val="24"/>
          <w14:textFill>
            <w14:solidFill>
              <w14:schemeClr w14:val="tx1"/>
            </w14:solidFill>
          </w14:textFill>
        </w:rPr>
        <w:t>约定，若本项目采用“</w:t>
      </w:r>
      <w:r>
        <w:rPr>
          <w:rFonts w:ascii="宋体" w:hAnsi="宋体" w:cs="Arial" w:hint="eastAsia"/>
          <w:b/>
          <w:bCs/>
          <w:color w:val="000000" w:themeColor="text1"/>
          <w:kern w:val="0"/>
          <w:sz w:val="24"/>
          <w:szCs w:val="24"/>
          <w:lang w:eastAsia="zh-CN"/>
          <w14:textFill>
            <w14:solidFill>
              <w14:schemeClr w14:val="tx1"/>
            </w14:solidFill>
          </w14:textFill>
        </w:rPr>
        <w:t>暗标</w:t>
      </w:r>
      <w:r>
        <w:rPr>
          <w:rFonts w:ascii="宋体" w:hAnsi="宋体" w:cs="Arial" w:hint="eastAsia"/>
          <w:color w:val="000000" w:themeColor="text1"/>
          <w:kern w:val="0"/>
          <w:sz w:val="24"/>
          <w:szCs w:val="24"/>
          <w14:textFill>
            <w14:solidFill>
              <w14:schemeClr w14:val="tx1"/>
            </w14:solidFill>
          </w14:textFill>
        </w:rPr>
        <w:t>”评审方式，且澄清问题属于</w:t>
      </w:r>
      <w:r>
        <w:rPr>
          <w:rFonts w:ascii="宋体" w:hAnsi="宋体" w:cs="宋体" w:hint="eastAsia"/>
          <w:color w:val="000000" w:themeColor="text1"/>
          <w:sz w:val="24"/>
          <w14:textFill>
            <w14:solidFill>
              <w14:schemeClr w14:val="tx1"/>
            </w14:solidFill>
          </w14:textFill>
        </w:rPr>
        <w:t>施工组织设计部分，投标人</w:t>
      </w:r>
      <w:r>
        <w:rPr>
          <w:rFonts w:ascii="宋体" w:hAnsi="宋体" w:cs="宋体" w:hint="eastAsia"/>
          <w:color w:val="000000" w:themeColor="text1"/>
          <w:sz w:val="24"/>
          <w:lang w:val="en-US" w:eastAsia="zh-CN"/>
          <w14:textFill>
            <w14:solidFill>
              <w14:schemeClr w14:val="tx1"/>
            </w14:solidFill>
          </w14:textFill>
        </w:rPr>
        <w:t>应通过遂宁市建设工程交易系统线上回复，</w:t>
      </w:r>
      <w:r>
        <w:rPr>
          <w:rFonts w:ascii="宋体" w:hAnsi="宋体" w:cs="宋体" w:hint="eastAsia"/>
          <w:color w:val="000000" w:themeColor="text1"/>
          <w:sz w:val="24"/>
          <w14:textFill>
            <w14:solidFill>
              <w14:schemeClr w14:val="tx1"/>
            </w14:solidFill>
          </w14:textFill>
        </w:rPr>
        <w:t>澄清回复内容不得签字和盖章，也不得出现投标人的名称和其它可识别投标人身份的字符、徽标、人员名称以及其他可能被辨别出投标人身份的任何标记，否则作否决投标处理。</w:t>
      </w:r>
    </w:p>
    <w:p w14:paraId="5FD7972C">
      <w:pPr>
        <w:spacing w:line="360" w:lineRule="auto"/>
        <w:ind w:firstLine="240"/>
        <w:rPr>
          <w:rFonts w:ascii="宋体" w:hAnsi="宋体" w:hint="eastAsia"/>
          <w:lang w:eastAsia="zh-CN"/>
        </w:rPr>
      </w:pPr>
    </w:p>
    <w:p w14:paraId="055E3749">
      <w:pPr>
        <w:spacing w:line="360" w:lineRule="auto"/>
        <w:ind w:firstLine="240"/>
        <w:rPr>
          <w:rFonts w:ascii="宋体" w:hAnsi="宋体" w:hint="eastAsia"/>
          <w:lang w:eastAsia="zh-CN"/>
        </w:rPr>
      </w:pPr>
    </w:p>
    <w:p w14:paraId="3B78383A">
      <w:pPr>
        <w:spacing w:line="360" w:lineRule="auto"/>
        <w:ind w:firstLine="240"/>
        <w:rPr>
          <w:rFonts w:ascii="宋体" w:hAnsi="宋体" w:hint="eastAsia"/>
          <w:lang w:eastAsia="zh-CN"/>
        </w:rPr>
      </w:pPr>
    </w:p>
    <w:p w14:paraId="7C9D8ECE">
      <w:pPr>
        <w:spacing w:line="360" w:lineRule="auto"/>
        <w:ind w:firstLine="240"/>
        <w:rPr>
          <w:rFonts w:ascii="宋体" w:hAnsi="宋体" w:hint="eastAsia"/>
          <w:lang w:eastAsia="zh-CN"/>
        </w:rPr>
      </w:pPr>
    </w:p>
    <w:p w14:paraId="31A392D2">
      <w:pPr>
        <w:spacing w:line="360" w:lineRule="auto"/>
        <w:ind w:firstLine="240"/>
        <w:rPr>
          <w:rFonts w:ascii="宋体" w:hAnsi="宋体" w:hint="eastAsia"/>
          <w:lang w:eastAsia="zh-CN"/>
        </w:rPr>
      </w:pPr>
    </w:p>
    <w:p w14:paraId="659D4EEE">
      <w:pPr>
        <w:spacing w:line="360" w:lineRule="auto"/>
        <w:ind w:firstLine="240"/>
        <w:rPr>
          <w:rFonts w:ascii="宋体" w:hAnsi="宋体" w:hint="eastAsia"/>
          <w:lang w:eastAsia="zh-CN"/>
        </w:rPr>
      </w:pPr>
    </w:p>
    <w:p w14:paraId="5D1F05F8">
      <w:pPr>
        <w:spacing w:line="360" w:lineRule="auto"/>
        <w:ind w:firstLine="240"/>
        <w:rPr>
          <w:rFonts w:ascii="宋体" w:hAnsi="宋体" w:hint="eastAsia"/>
          <w:lang w:eastAsia="zh-CN"/>
        </w:rPr>
      </w:pPr>
    </w:p>
    <w:p w14:paraId="2CF2204B">
      <w:pPr>
        <w:spacing w:line="360" w:lineRule="auto"/>
        <w:ind w:firstLine="240"/>
        <w:rPr>
          <w:rFonts w:ascii="宋体" w:hAnsi="宋体" w:hint="eastAsia"/>
          <w:lang w:eastAsia="zh-CN"/>
        </w:rPr>
      </w:pPr>
    </w:p>
    <w:p w14:paraId="73C42C09">
      <w:pPr>
        <w:spacing w:line="360" w:lineRule="auto"/>
        <w:ind w:firstLine="240"/>
        <w:rPr>
          <w:rFonts w:ascii="宋体" w:hAnsi="宋体" w:hint="eastAsia"/>
          <w:lang w:eastAsia="zh-CN"/>
        </w:rPr>
      </w:pPr>
    </w:p>
    <w:p w14:paraId="08DB5BE0">
      <w:pPr>
        <w:spacing w:line="360" w:lineRule="auto"/>
        <w:ind w:firstLine="240"/>
        <w:rPr>
          <w:rFonts w:ascii="宋体" w:hAnsi="宋体" w:hint="eastAsia"/>
          <w:lang w:eastAsia="zh-CN"/>
        </w:rPr>
      </w:pPr>
    </w:p>
    <w:p w14:paraId="2F7EB06E">
      <w:pPr>
        <w:spacing w:line="360" w:lineRule="auto"/>
        <w:ind w:firstLine="240"/>
        <w:rPr>
          <w:rFonts w:ascii="宋体" w:hAnsi="宋体" w:hint="eastAsia"/>
          <w:lang w:eastAsia="zh-CN"/>
        </w:rPr>
      </w:pPr>
    </w:p>
    <w:p w14:paraId="0CF30530">
      <w:pPr>
        <w:spacing w:line="360" w:lineRule="auto"/>
        <w:ind w:firstLine="240"/>
        <w:rPr>
          <w:rFonts w:ascii="宋体" w:hAnsi="宋体" w:hint="eastAsia"/>
          <w:lang w:eastAsia="zh-CN"/>
        </w:rPr>
      </w:pPr>
    </w:p>
    <w:p w14:paraId="1F34ABF2">
      <w:pPr>
        <w:spacing w:line="360" w:lineRule="auto"/>
        <w:ind w:firstLine="240"/>
        <w:rPr>
          <w:rFonts w:ascii="宋体" w:hAnsi="宋体" w:hint="eastAsia"/>
          <w:lang w:eastAsia="zh-CN"/>
        </w:rPr>
      </w:pPr>
    </w:p>
    <w:p w14:paraId="2A57FD9E">
      <w:pPr>
        <w:spacing w:line="360" w:lineRule="auto"/>
        <w:ind w:firstLine="240"/>
        <w:rPr>
          <w:rFonts w:ascii="宋体" w:hAnsi="宋体" w:hint="eastAsia"/>
          <w:lang w:eastAsia="zh-CN"/>
        </w:rPr>
      </w:pPr>
    </w:p>
    <w:p w14:paraId="0FF37A49">
      <w:pPr>
        <w:spacing w:line="360" w:lineRule="auto"/>
        <w:ind w:firstLine="240"/>
        <w:rPr>
          <w:rFonts w:ascii="宋体" w:hAnsi="宋体" w:hint="eastAsia"/>
          <w:lang w:eastAsia="zh-CN"/>
        </w:rPr>
      </w:pPr>
    </w:p>
    <w:p w14:paraId="186BA5F6">
      <w:pPr>
        <w:spacing w:line="360" w:lineRule="auto"/>
        <w:ind w:firstLine="240"/>
        <w:rPr>
          <w:rFonts w:ascii="宋体" w:hAnsi="宋体" w:hint="eastAsia"/>
          <w:lang w:eastAsia="zh-CN"/>
        </w:rPr>
      </w:pPr>
    </w:p>
    <w:p w14:paraId="7ACC5D17">
      <w:pPr>
        <w:spacing w:line="360" w:lineRule="auto"/>
        <w:ind w:firstLine="240"/>
        <w:rPr>
          <w:rFonts w:ascii="宋体" w:hAnsi="宋体" w:hint="eastAsia"/>
          <w:lang w:eastAsia="zh-CN"/>
        </w:rPr>
      </w:pPr>
    </w:p>
    <w:p w14:paraId="426A452D">
      <w:pPr>
        <w:spacing w:line="360" w:lineRule="auto"/>
        <w:ind w:firstLine="240"/>
        <w:rPr>
          <w:rFonts w:ascii="宋体" w:hAnsi="宋体" w:hint="eastAsia"/>
          <w:lang w:eastAsia="zh-CN"/>
        </w:rPr>
      </w:pPr>
    </w:p>
    <w:p w14:paraId="4D6DF432">
      <w:pPr>
        <w:spacing w:line="360" w:lineRule="auto"/>
        <w:ind w:firstLine="240"/>
        <w:rPr>
          <w:rFonts w:ascii="宋体" w:hAnsi="宋体" w:hint="eastAsia"/>
          <w:lang w:eastAsia="zh-CN"/>
        </w:rPr>
      </w:pPr>
    </w:p>
    <w:p w14:paraId="6F2D5FF0">
      <w:pPr>
        <w:spacing w:line="360" w:lineRule="auto"/>
        <w:ind w:firstLine="240"/>
        <w:rPr>
          <w:rFonts w:ascii="宋体" w:hAnsi="宋体" w:hint="eastAsia"/>
          <w:lang w:eastAsia="zh-CN"/>
        </w:rPr>
      </w:pPr>
    </w:p>
    <w:p w14:paraId="278C39E1">
      <w:pPr>
        <w:spacing w:line="360" w:lineRule="auto"/>
        <w:ind w:firstLine="240"/>
        <w:rPr>
          <w:rFonts w:ascii="宋体" w:hAnsi="宋体" w:hint="eastAsia"/>
          <w:lang w:eastAsia="zh-CN"/>
        </w:rPr>
      </w:pPr>
    </w:p>
    <w:p w14:paraId="6E022E0F">
      <w:pPr>
        <w:spacing w:line="360" w:lineRule="auto"/>
        <w:ind w:firstLine="240"/>
        <w:rPr>
          <w:rFonts w:ascii="宋体" w:hAnsi="宋体" w:hint="eastAsia"/>
          <w:lang w:eastAsia="zh-CN"/>
        </w:rPr>
      </w:pPr>
    </w:p>
    <w:p w14:paraId="6DCAB25C">
      <w:pPr>
        <w:spacing w:line="360" w:lineRule="auto"/>
        <w:jc w:val="center"/>
        <w:rPr>
          <w:rFonts w:ascii="宋体" w:hAnsi="宋体" w:cs="Arial"/>
          <w:lang w:eastAsia="zh-CN"/>
        </w:rPr>
      </w:pPr>
    </w:p>
    <w:p w14:paraId="72C17102">
      <w:pPr>
        <w:pStyle w:val="Heading2"/>
        <w:rPr>
          <w:rFonts w:ascii="宋体" w:hAnsi="宋体"/>
          <w:sz w:val="24"/>
          <w:szCs w:val="24"/>
        </w:rPr>
      </w:pPr>
      <w:bookmarkStart w:id="66" w:name="_Toc256000057"/>
      <w:r>
        <w:rPr>
          <w:rFonts w:ascii="宋体" w:hAnsi="宋体" w:hint="eastAsia"/>
          <w:sz w:val="24"/>
          <w:szCs w:val="24"/>
        </w:rPr>
        <w:t>附表三：问题的澄清</w:t>
      </w:r>
      <w:bookmarkEnd w:id="66"/>
    </w:p>
    <w:p w14:paraId="2755B902">
      <w:pPr>
        <w:spacing w:line="360" w:lineRule="auto"/>
        <w:rPr>
          <w:rFonts w:ascii="宋体" w:hAnsi="宋体"/>
          <w:lang w:eastAsia="zh-CN"/>
        </w:rPr>
      </w:pPr>
    </w:p>
    <w:p w14:paraId="09CF9DE7">
      <w:pPr>
        <w:spacing w:line="360" w:lineRule="auto"/>
        <w:jc w:val="center"/>
        <w:rPr>
          <w:rFonts w:ascii="宋体" w:hAnsi="宋体"/>
          <w:b/>
          <w:lang w:eastAsia="zh-CN"/>
        </w:rPr>
      </w:pPr>
      <w:bookmarkStart w:id="67" w:name="_Toc29092_WPSOffice_Level1"/>
      <w:r>
        <w:rPr>
          <w:rFonts w:ascii="宋体" w:hAnsi="宋体" w:hint="eastAsia"/>
          <w:b/>
          <w:lang w:eastAsia="zh-CN"/>
        </w:rPr>
        <w:t>问题的澄清</w:t>
      </w:r>
      <w:bookmarkEnd w:id="67"/>
    </w:p>
    <w:p w14:paraId="238D90B9">
      <w:pPr>
        <w:spacing w:line="360" w:lineRule="auto"/>
        <w:jc w:val="right"/>
        <w:rPr>
          <w:rFonts w:ascii="宋体" w:hAnsi="宋体"/>
          <w:lang w:eastAsia="zh-CN"/>
        </w:rPr>
      </w:pPr>
      <w:r>
        <w:rPr>
          <w:rFonts w:ascii="宋体" w:hAnsi="宋体" w:hint="eastAsia"/>
          <w:lang w:eastAsia="zh-CN"/>
        </w:rPr>
        <w:t>编号：</w:t>
      </w:r>
      <w:r>
        <w:rPr>
          <w:lang w:eastAsia="zh-CN"/>
        </w:rPr>
        <w:t xml:space="preserve"> </w:t>
      </w:r>
      <w:r>
        <w:rPr>
          <w:rFonts w:ascii="宋体" w:hAnsi="宋体" w:hint="eastAsia"/>
          <w:lang w:eastAsia="zh-CN"/>
        </w:rPr>
        <w:t>_______</w:t>
      </w:r>
    </w:p>
    <w:p w14:paraId="50E12786">
      <w:pPr>
        <w:spacing w:line="360" w:lineRule="auto"/>
        <w:rPr>
          <w:rFonts w:ascii="宋体" w:hAnsi="宋体"/>
          <w:lang w:eastAsia="zh-CN"/>
        </w:rPr>
      </w:pPr>
      <w:r>
        <w:rPr>
          <w:rFonts w:ascii="宋体" w:hAnsi="宋体" w:hint="eastAsia"/>
          <w:lang w:eastAsia="zh-CN"/>
        </w:rPr>
        <w:t>评标委员会：</w:t>
      </w:r>
    </w:p>
    <w:p w14:paraId="56F21B17">
      <w:pPr>
        <w:spacing w:line="360" w:lineRule="auto"/>
        <w:rPr>
          <w:rFonts w:ascii="Calibri" w:hAnsi="Calibri"/>
          <w:u w:val="single"/>
          <w:lang w:eastAsia="zh-CN"/>
        </w:rPr>
      </w:pPr>
      <w:r>
        <w:rPr>
          <w:lang w:eastAsia="zh-CN"/>
        </w:rPr>
        <w:t xml:space="preserve">    </w:t>
      </w:r>
      <w:r>
        <w:rPr>
          <w:rFonts w:ascii="宋体" w:hAnsi="宋体" w:hint="eastAsia"/>
          <w:lang w:eastAsia="zh-CN"/>
        </w:rPr>
        <w:t>问题澄清通知（编号：_______）已收悉，现澄清、说明或补正如下：</w:t>
      </w:r>
      <w:r>
        <w:rPr>
          <w:u w:val="single"/>
          <w:lang w:eastAsia="zh-CN"/>
        </w:rPr>
        <w:t xml:space="preserve">                           </w:t>
      </w:r>
    </w:p>
    <w:p w14:paraId="6CB83626">
      <w:pPr>
        <w:spacing w:line="360" w:lineRule="auto"/>
        <w:rPr>
          <w:lang w:eastAsia="zh-CN"/>
        </w:rPr>
      </w:pPr>
    </w:p>
    <w:p w14:paraId="5587B17B">
      <w:pPr>
        <w:spacing w:line="360" w:lineRule="auto"/>
        <w:rPr>
          <w:lang w:eastAsia="zh-CN"/>
        </w:rPr>
      </w:pPr>
    </w:p>
    <w:p w14:paraId="298B4FFA">
      <w:pPr>
        <w:spacing w:line="360" w:lineRule="auto"/>
        <w:rPr>
          <w:lang w:eastAsia="zh-CN"/>
        </w:rPr>
      </w:pPr>
    </w:p>
    <w:p w14:paraId="46A09244">
      <w:pPr>
        <w:spacing w:line="360" w:lineRule="auto"/>
        <w:rPr>
          <w:lang w:eastAsia="zh-CN"/>
        </w:rPr>
      </w:pPr>
    </w:p>
    <w:p w14:paraId="21179DD6">
      <w:pPr>
        <w:spacing w:line="360" w:lineRule="auto"/>
        <w:rPr>
          <w:lang w:eastAsia="zh-CN"/>
        </w:rPr>
      </w:pPr>
    </w:p>
    <w:p w14:paraId="0BE25FE4">
      <w:pPr>
        <w:spacing w:line="360" w:lineRule="auto"/>
        <w:rPr>
          <w:lang w:eastAsia="zh-CN"/>
        </w:rPr>
      </w:pPr>
    </w:p>
    <w:p w14:paraId="67A69DD3">
      <w:pPr>
        <w:spacing w:line="360" w:lineRule="auto"/>
        <w:rPr>
          <w:lang w:eastAsia="zh-CN"/>
        </w:rPr>
      </w:pPr>
    </w:p>
    <w:p w14:paraId="235BC5D1">
      <w:pPr>
        <w:spacing w:line="360" w:lineRule="auto"/>
        <w:rPr>
          <w:rFonts w:ascii="宋体" w:hAnsi="宋体"/>
          <w:lang w:eastAsia="zh-CN"/>
        </w:rPr>
      </w:pPr>
      <w:r>
        <w:rPr>
          <w:lang w:eastAsia="zh-CN"/>
        </w:rPr>
        <w:t xml:space="preserve">    </w:t>
      </w:r>
      <w:r>
        <w:rPr>
          <w:rFonts w:hint="eastAsia"/>
          <w:lang w:eastAsia="zh-CN"/>
        </w:rPr>
        <w:t>（投标人可另行附页）</w:t>
      </w:r>
    </w:p>
    <w:p w14:paraId="323668CD">
      <w:pPr>
        <w:spacing w:line="360" w:lineRule="auto"/>
        <w:ind w:firstLine="480"/>
        <w:rPr>
          <w:rFonts w:ascii="宋体" w:hAnsi="宋体"/>
          <w:lang w:eastAsia="zh-CN"/>
        </w:rPr>
      </w:pPr>
      <w:r>
        <w:rPr>
          <w:rFonts w:hint="eastAsia"/>
          <w:lang w:eastAsia="zh-CN"/>
        </w:rPr>
        <w:t>上述问题</w:t>
      </w:r>
      <w:r>
        <w:rPr>
          <w:rFonts w:ascii="宋体" w:hAnsi="宋体" w:hint="eastAsia"/>
          <w:lang w:eastAsia="zh-CN"/>
        </w:rPr>
        <w:t>澄清、说明或补正，不改变我方投标文件的实质性内容，构成我方投标文件的组成部分</w:t>
      </w:r>
    </w:p>
    <w:p w14:paraId="4B31D896">
      <w:pPr>
        <w:spacing w:line="360" w:lineRule="auto"/>
        <w:ind w:firstLine="480"/>
        <w:rPr>
          <w:rFonts w:ascii="宋体" w:hAnsi="宋体"/>
          <w:lang w:eastAsia="zh-CN"/>
        </w:rPr>
      </w:pPr>
    </w:p>
    <w:p w14:paraId="679F40D9">
      <w:pPr>
        <w:spacing w:line="360" w:lineRule="auto"/>
        <w:ind w:firstLine="480"/>
        <w:jc w:val="right"/>
        <w:rPr>
          <w:rFonts w:ascii="宋体" w:hAnsi="宋体"/>
          <w:lang w:eastAsia="zh-CN"/>
        </w:rPr>
      </w:pPr>
      <w:r>
        <w:rPr>
          <w:rFonts w:ascii="宋体" w:hAnsi="宋体" w:hint="eastAsia"/>
          <w:lang w:eastAsia="zh-CN"/>
        </w:rPr>
        <w:t>法定代表人或其委托代理人：_______（签字）</w:t>
      </w:r>
    </w:p>
    <w:p w14:paraId="3E14C7CF">
      <w:pPr>
        <w:spacing w:line="360" w:lineRule="auto"/>
        <w:jc w:val="right"/>
        <w:rPr>
          <w:rFonts w:ascii="宋体" w:hAnsi="宋体"/>
          <w:lang w:eastAsia="zh-CN"/>
        </w:rPr>
      </w:pPr>
      <w:r>
        <w:rPr>
          <w:lang w:eastAsia="zh-CN"/>
        </w:rPr>
        <w:t xml:space="preserve">    </w:t>
      </w:r>
    </w:p>
    <w:p w14:paraId="311FFCB6">
      <w:pPr>
        <w:wordWrap w:val="0"/>
        <w:spacing w:line="360" w:lineRule="auto"/>
        <w:jc w:val="right"/>
        <w:rPr>
          <w:rFonts w:ascii="宋体" w:hAnsi="宋体"/>
          <w:lang w:eastAsia="zh-CN"/>
        </w:rPr>
      </w:pPr>
      <w:r>
        <w:rPr>
          <w:lang w:eastAsia="zh-CN"/>
        </w:rPr>
        <w:t xml:space="preserve">                          </w:t>
      </w:r>
      <w:r>
        <w:rPr>
          <w:rFonts w:ascii="宋体" w:hAnsi="宋体" w:hint="eastAsia"/>
          <w:lang w:eastAsia="zh-CN"/>
        </w:rPr>
        <w:t>_______年_______月_______日</w:t>
      </w:r>
      <w:r>
        <w:rPr>
          <w:rFonts w:ascii="宋体" w:hAnsi="宋体" w:hint="eastAsia"/>
          <w:u w:val="single"/>
          <w:lang w:eastAsia="zh-CN"/>
        </w:rPr>
        <w:t xml:space="preserve">     </w:t>
      </w:r>
      <w:r>
        <w:rPr>
          <w:rFonts w:ascii="宋体" w:hAnsi="宋体" w:hint="eastAsia"/>
          <w:lang w:eastAsia="zh-CN"/>
        </w:rPr>
        <w:t>时</w:t>
      </w:r>
      <w:r>
        <w:rPr>
          <w:rFonts w:ascii="宋体" w:hAnsi="宋体" w:hint="eastAsia"/>
          <w:u w:val="single"/>
          <w:lang w:eastAsia="zh-CN"/>
        </w:rPr>
        <w:t xml:space="preserve">    </w:t>
      </w:r>
      <w:r>
        <w:rPr>
          <w:rFonts w:ascii="宋体" w:hAnsi="宋体" w:hint="eastAsia"/>
          <w:lang w:eastAsia="zh-CN"/>
        </w:rPr>
        <w:t>分</w:t>
      </w:r>
    </w:p>
    <w:p w14:paraId="3E9A2177">
      <w:pPr>
        <w:spacing w:line="360" w:lineRule="auto"/>
        <w:ind w:firstLine="480"/>
        <w:rPr>
          <w:rFonts w:ascii="Calibri" w:hAnsi="Calibri"/>
          <w:lang w:eastAsia="zh-CN"/>
        </w:rPr>
      </w:pPr>
    </w:p>
    <w:p w14:paraId="7E2E4880">
      <w:pPr>
        <w:spacing w:line="360" w:lineRule="auto"/>
        <w:ind w:firstLine="480"/>
        <w:rPr>
          <w:lang w:eastAsia="zh-CN"/>
        </w:rPr>
      </w:pPr>
    </w:p>
    <w:p w14:paraId="16348623">
      <w:pPr>
        <w:spacing w:line="360" w:lineRule="auto"/>
        <w:ind w:firstLine="480"/>
        <w:rPr>
          <w:lang w:eastAsia="zh-CN"/>
        </w:rPr>
      </w:pPr>
      <w:r>
        <w:rPr>
          <w:rFonts w:hint="eastAsia"/>
          <w:lang w:eastAsia="zh-CN"/>
        </w:rPr>
        <w:t>评标委员会意见：</w:t>
      </w:r>
      <w:r>
        <w:rPr>
          <w:rFonts w:ascii="宋体" w:hAnsi="宋体" w:hint="eastAsia"/>
          <w:lang w:eastAsia="zh-CN"/>
        </w:rPr>
        <w:t>___________________________________</w:t>
      </w:r>
    </w:p>
    <w:p w14:paraId="49F24470">
      <w:pPr>
        <w:spacing w:line="360" w:lineRule="auto"/>
        <w:ind w:firstLine="480"/>
        <w:rPr>
          <w:lang w:eastAsia="zh-CN"/>
        </w:rPr>
      </w:pPr>
    </w:p>
    <w:p w14:paraId="05A26536">
      <w:pPr>
        <w:spacing w:line="360" w:lineRule="auto"/>
        <w:ind w:firstLine="480"/>
        <w:rPr>
          <w:lang w:eastAsia="zh-CN"/>
        </w:rPr>
      </w:pPr>
      <w:r>
        <w:rPr>
          <w:rFonts w:hint="eastAsia"/>
          <w:lang w:eastAsia="zh-CN"/>
        </w:rPr>
        <w:t>评标委员会成员签字：</w:t>
      </w:r>
      <w:r>
        <w:rPr>
          <w:rFonts w:ascii="宋体" w:hAnsi="宋体" w:hint="eastAsia"/>
          <w:lang w:eastAsia="zh-CN"/>
        </w:rPr>
        <w:t>____________________________</w:t>
      </w:r>
    </w:p>
    <w:p w14:paraId="388F97A6">
      <w:pPr>
        <w:spacing w:line="360" w:lineRule="auto"/>
        <w:rPr>
          <w:rFonts w:ascii="宋体" w:hAnsi="宋体"/>
          <w:lang w:eastAsia="zh-CN"/>
        </w:rPr>
      </w:pPr>
      <w:r>
        <w:rPr>
          <w:lang w:eastAsia="zh-CN"/>
        </w:rPr>
        <w:t xml:space="preserve">   </w:t>
      </w:r>
    </w:p>
    <w:p w14:paraId="66BA831F">
      <w:pPr>
        <w:spacing w:line="360" w:lineRule="auto"/>
        <w:jc w:val="right"/>
        <w:rPr>
          <w:rFonts w:ascii="宋体" w:hAnsi="宋体"/>
          <w:lang w:eastAsia="zh-CN"/>
        </w:rPr>
      </w:pPr>
      <w:r>
        <w:rPr>
          <w:lang w:eastAsia="zh-CN"/>
        </w:rPr>
        <w:t xml:space="preserve">     </w:t>
      </w:r>
      <w:r>
        <w:rPr>
          <w:rFonts w:ascii="宋体" w:hAnsi="宋体" w:hint="eastAsia"/>
          <w:lang w:eastAsia="zh-CN"/>
        </w:rPr>
        <w:t>_______年_______月_______日</w:t>
      </w:r>
    </w:p>
    <w:p w14:paraId="6F887AF5">
      <w:pPr>
        <w:spacing w:line="360" w:lineRule="auto"/>
        <w:rPr>
          <w:rFonts w:ascii="宋体" w:hAnsi="宋体"/>
          <w:lang w:eastAsia="zh-CN"/>
        </w:rPr>
        <w:sectPr>
          <w:pgSz w:w="11906" w:h="16838"/>
          <w:pgMar w:top="1417" w:right="1417" w:bottom="1417" w:left="1417" w:header="851" w:footer="850" w:gutter="0"/>
          <w:cols w:num="1" w:space="720"/>
          <w:docGrid w:type="lines" w:linePitch="312" w:charSpace="0"/>
        </w:sectPr>
      </w:pPr>
    </w:p>
    <w:p w14:paraId="2DB212CA">
      <w:pPr>
        <w:pStyle w:val="Heading2"/>
        <w:rPr>
          <w:rFonts w:ascii="宋体" w:hAnsi="宋体"/>
          <w:sz w:val="24"/>
          <w:szCs w:val="24"/>
        </w:rPr>
      </w:pPr>
      <w:bookmarkStart w:id="68" w:name="_Toc256000058"/>
      <w:r>
        <w:rPr>
          <w:rFonts w:ascii="宋体" w:hAnsi="宋体" w:hint="eastAsia"/>
          <w:sz w:val="24"/>
          <w:szCs w:val="24"/>
        </w:rPr>
        <w:t>附表四：中标通知书</w:t>
      </w:r>
      <w:bookmarkEnd w:id="68"/>
    </w:p>
    <w:p w14:paraId="15EC1BBB">
      <w:pPr>
        <w:spacing w:line="360" w:lineRule="auto"/>
        <w:rPr>
          <w:rFonts w:ascii="宋体" w:hAnsi="宋体"/>
          <w:lang w:eastAsia="zh-CN"/>
        </w:rPr>
      </w:pPr>
    </w:p>
    <w:p w14:paraId="5928037B">
      <w:pPr>
        <w:spacing w:line="360" w:lineRule="auto"/>
        <w:jc w:val="center"/>
        <w:rPr>
          <w:rFonts w:ascii="宋体" w:hAnsi="宋体"/>
          <w:b/>
          <w:lang w:eastAsia="zh-CN"/>
        </w:rPr>
      </w:pPr>
      <w:r>
        <w:rPr>
          <w:rFonts w:ascii="宋体" w:hAnsi="宋体" w:hint="eastAsia"/>
          <w:b/>
          <w:lang w:eastAsia="zh-CN"/>
        </w:rPr>
        <w:t>中标通知书</w:t>
      </w:r>
    </w:p>
    <w:p w14:paraId="4E0FCB19">
      <w:pPr>
        <w:spacing w:line="360" w:lineRule="auto"/>
        <w:rPr>
          <w:rFonts w:ascii="宋体" w:hAnsi="宋体"/>
          <w:lang w:eastAsia="zh-CN"/>
        </w:rPr>
      </w:pPr>
    </w:p>
    <w:p w14:paraId="034DAA8B">
      <w:pPr>
        <w:spacing w:line="360" w:lineRule="auto"/>
        <w:rPr>
          <w:rFonts w:ascii="宋体" w:hAnsi="宋体"/>
          <w:lang w:eastAsia="zh-CN"/>
        </w:rPr>
      </w:pPr>
    </w:p>
    <w:p w14:paraId="48F2EC60">
      <w:pPr>
        <w:spacing w:line="360" w:lineRule="auto"/>
        <w:rPr>
          <w:rFonts w:ascii="宋体" w:hAnsi="宋体"/>
          <w:lang w:eastAsia="zh-CN"/>
        </w:rPr>
      </w:pPr>
      <w:r>
        <w:rPr>
          <w:rFonts w:ascii="宋体" w:hAnsi="宋体" w:hint="eastAsia"/>
          <w:u w:val="single"/>
          <w:lang w:eastAsia="zh-CN"/>
        </w:rPr>
        <w:t xml:space="preserve">                    </w:t>
      </w:r>
      <w:r>
        <w:rPr>
          <w:rFonts w:ascii="宋体" w:hAnsi="宋体" w:hint="eastAsia"/>
          <w:lang w:eastAsia="zh-CN"/>
        </w:rPr>
        <w:t>：</w:t>
      </w:r>
    </w:p>
    <w:p w14:paraId="25633B6A">
      <w:pPr>
        <w:spacing w:line="360" w:lineRule="auto"/>
        <w:rPr>
          <w:rFonts w:ascii="宋体" w:hAnsi="宋体"/>
          <w:lang w:eastAsia="zh-CN"/>
        </w:rPr>
      </w:pPr>
      <w:r>
        <w:rPr>
          <w:rFonts w:ascii="宋体" w:hAnsi="宋体" w:hint="eastAsia"/>
          <w:lang w:eastAsia="zh-CN"/>
        </w:rPr>
        <w:t xml:space="preserve">    你方于_______（投标日期）所递交的_______（项目名称）_______施工</w:t>
      </w:r>
      <w:r>
        <w:rPr>
          <w:rFonts w:ascii="宋体" w:hAnsi="宋体" w:hint="eastAsia"/>
          <w:u w:val="single"/>
          <w:lang w:eastAsia="zh-CN"/>
        </w:rPr>
        <w:t xml:space="preserve">  </w:t>
      </w:r>
      <w:r>
        <w:rPr>
          <w:rFonts w:ascii="宋体" w:hAnsi="宋体" w:hint="eastAsia"/>
          <w:lang w:eastAsia="zh-CN"/>
        </w:rPr>
        <w:t>标段投标文件已被我方接受，被确定为中标人。</w:t>
      </w:r>
    </w:p>
    <w:p w14:paraId="78DE7619">
      <w:pPr>
        <w:spacing w:line="360" w:lineRule="auto"/>
        <w:rPr>
          <w:rFonts w:ascii="宋体" w:hAnsi="宋体"/>
          <w:lang w:eastAsia="zh-CN"/>
        </w:rPr>
      </w:pPr>
      <w:r>
        <w:rPr>
          <w:rFonts w:ascii="宋体" w:hAnsi="宋体" w:hint="eastAsia"/>
          <w:lang w:eastAsia="zh-CN"/>
        </w:rPr>
        <w:t xml:space="preserve">    中标价：RMB____________元（大写：人民币</w:t>
      </w:r>
      <w:r>
        <w:rPr>
          <w:rFonts w:ascii="宋体" w:hAnsi="宋体" w:hint="eastAsia"/>
          <w:u w:val="single"/>
          <w:lang w:eastAsia="zh-CN"/>
        </w:rPr>
        <w:t xml:space="preserve">              </w:t>
      </w:r>
      <w:r>
        <w:rPr>
          <w:rFonts w:ascii="宋体" w:hAnsi="宋体" w:hint="eastAsia"/>
          <w:lang w:eastAsia="zh-CN"/>
        </w:rPr>
        <w:t>元）。</w:t>
      </w:r>
    </w:p>
    <w:p w14:paraId="212B95C4">
      <w:pPr>
        <w:spacing w:line="360" w:lineRule="auto"/>
        <w:rPr>
          <w:rFonts w:ascii="宋体" w:hAnsi="宋体"/>
          <w:lang w:eastAsia="zh-CN"/>
        </w:rPr>
      </w:pPr>
      <w:r>
        <w:rPr>
          <w:rFonts w:ascii="宋体" w:hAnsi="宋体" w:hint="eastAsia"/>
          <w:lang w:eastAsia="zh-CN"/>
        </w:rPr>
        <w:t xml:space="preserve">    工期：_______日历天。</w:t>
      </w:r>
    </w:p>
    <w:p w14:paraId="374689FE">
      <w:pPr>
        <w:spacing w:line="360" w:lineRule="auto"/>
        <w:rPr>
          <w:rFonts w:ascii="宋体" w:hAnsi="宋体"/>
          <w:lang w:eastAsia="zh-CN"/>
        </w:rPr>
      </w:pPr>
      <w:r>
        <w:rPr>
          <w:rFonts w:ascii="宋体" w:hAnsi="宋体" w:hint="eastAsia"/>
          <w:lang w:eastAsia="zh-CN"/>
        </w:rPr>
        <w:t xml:space="preserve">    工程质量： </w:t>
      </w:r>
      <w:r>
        <w:rPr>
          <w:rFonts w:ascii="宋体" w:hAnsi="宋体" w:hint="eastAsia"/>
          <w:u w:val="single"/>
          <w:lang w:eastAsia="zh-CN"/>
        </w:rPr>
        <w:t xml:space="preserve">                   </w:t>
      </w:r>
      <w:r>
        <w:rPr>
          <w:rFonts w:ascii="宋体" w:hAnsi="宋体" w:hint="eastAsia"/>
          <w:lang w:eastAsia="zh-CN"/>
        </w:rPr>
        <w:t>。</w:t>
      </w:r>
    </w:p>
    <w:p w14:paraId="784CAA89">
      <w:pPr>
        <w:spacing w:line="360" w:lineRule="auto"/>
        <w:rPr>
          <w:rFonts w:ascii="宋体" w:hAnsi="宋体"/>
          <w:lang w:eastAsia="zh-CN"/>
        </w:rPr>
      </w:pPr>
      <w:r>
        <w:rPr>
          <w:rFonts w:ascii="宋体" w:hAnsi="宋体" w:hint="eastAsia"/>
          <w:lang w:eastAsia="zh-CN"/>
        </w:rPr>
        <w:t xml:space="preserve">    项目经理：_______（姓名）。</w:t>
      </w:r>
    </w:p>
    <w:p w14:paraId="4537DAEC">
      <w:pPr>
        <w:spacing w:line="360" w:lineRule="auto"/>
        <w:rPr>
          <w:rFonts w:ascii="宋体" w:hAnsi="宋体"/>
          <w:lang w:eastAsia="zh-CN"/>
        </w:rPr>
      </w:pPr>
      <w:r>
        <w:rPr>
          <w:rFonts w:ascii="宋体" w:hAnsi="宋体" w:hint="eastAsia"/>
          <w:lang w:eastAsia="zh-CN"/>
        </w:rPr>
        <w:t xml:space="preserve">    请你方在接到本通知书后的_______日内到_______（指定地点）与我方签订施工承包合同，在此之前应按招标文件第二章“投标人须知”第 7.3 款规定向我方提交履约担保。</w:t>
      </w:r>
    </w:p>
    <w:p w14:paraId="2CF61A2E">
      <w:pPr>
        <w:spacing w:line="360" w:lineRule="auto"/>
        <w:rPr>
          <w:rFonts w:ascii="宋体" w:hAnsi="宋体"/>
          <w:lang w:eastAsia="zh-CN"/>
        </w:rPr>
      </w:pPr>
      <w:r>
        <w:rPr>
          <w:rFonts w:ascii="宋体" w:hAnsi="宋体" w:hint="eastAsia"/>
          <w:lang w:eastAsia="zh-CN"/>
        </w:rPr>
        <w:t xml:space="preserve">    特此通知。</w:t>
      </w:r>
    </w:p>
    <w:p w14:paraId="192ECBF3">
      <w:pPr>
        <w:spacing w:line="360" w:lineRule="auto"/>
        <w:jc w:val="center"/>
        <w:rPr>
          <w:rFonts w:ascii="宋体" w:hAnsi="宋体"/>
          <w:lang w:eastAsia="zh-CN"/>
        </w:rPr>
      </w:pPr>
      <w:r>
        <w:rPr>
          <w:rFonts w:ascii="宋体" w:hAnsi="宋体" w:hint="eastAsia"/>
          <w:lang w:eastAsia="zh-CN"/>
        </w:rPr>
        <w:t xml:space="preserve">    </w:t>
      </w:r>
    </w:p>
    <w:p w14:paraId="241307AA">
      <w:pPr>
        <w:spacing w:line="360" w:lineRule="auto"/>
        <w:jc w:val="center"/>
        <w:rPr>
          <w:rFonts w:ascii="宋体" w:hAnsi="宋体"/>
          <w:lang w:eastAsia="zh-CN"/>
        </w:rPr>
      </w:pPr>
      <w:r>
        <w:rPr>
          <w:rFonts w:ascii="宋体" w:hAnsi="宋体" w:hint="eastAsia"/>
          <w:lang w:eastAsia="zh-CN"/>
        </w:rPr>
        <w:t xml:space="preserve">               招标人：_____</w:t>
      </w:r>
      <w:r>
        <w:rPr>
          <w:rFonts w:ascii="宋体" w:hAnsi="宋体" w:hint="eastAsia"/>
          <w:u w:val="single"/>
          <w:lang w:eastAsia="zh-CN"/>
        </w:rPr>
        <w:t xml:space="preserve">         </w:t>
      </w:r>
      <w:r>
        <w:rPr>
          <w:rFonts w:ascii="宋体" w:hAnsi="宋体" w:hint="eastAsia"/>
          <w:lang w:eastAsia="zh-CN"/>
        </w:rPr>
        <w:t>__（盖单位章）</w:t>
      </w:r>
    </w:p>
    <w:p w14:paraId="79A407A9">
      <w:pPr>
        <w:spacing w:line="360" w:lineRule="auto"/>
        <w:jc w:val="center"/>
        <w:rPr>
          <w:rFonts w:ascii="宋体" w:hAnsi="宋体"/>
          <w:lang w:eastAsia="zh-CN"/>
        </w:rPr>
      </w:pPr>
      <w:r>
        <w:rPr>
          <w:rFonts w:ascii="宋体" w:hAnsi="宋体" w:hint="eastAsia"/>
          <w:lang w:eastAsia="zh-CN"/>
        </w:rPr>
        <w:t xml:space="preserve">                法定代表人：__</w:t>
      </w:r>
      <w:r>
        <w:rPr>
          <w:rFonts w:ascii="宋体" w:hAnsi="宋体" w:hint="eastAsia"/>
          <w:u w:val="single"/>
          <w:lang w:eastAsia="zh-CN"/>
        </w:rPr>
        <w:t>_    _</w:t>
      </w:r>
      <w:r>
        <w:rPr>
          <w:rFonts w:ascii="宋体" w:hAnsi="宋体" w:hint="eastAsia"/>
          <w:lang w:eastAsia="zh-CN"/>
        </w:rPr>
        <w:t>___（签字或盖章）</w:t>
      </w:r>
    </w:p>
    <w:p w14:paraId="603F1FD2">
      <w:pPr>
        <w:spacing w:line="360" w:lineRule="auto"/>
        <w:jc w:val="center"/>
        <w:rPr>
          <w:rFonts w:ascii="宋体" w:hAnsi="宋体"/>
          <w:lang w:eastAsia="zh-CN"/>
        </w:rPr>
      </w:pPr>
      <w:r>
        <w:rPr>
          <w:rFonts w:ascii="宋体" w:hAnsi="宋体" w:hint="eastAsia"/>
          <w:lang w:eastAsia="zh-CN"/>
        </w:rPr>
        <w:t xml:space="preserve">  </w:t>
      </w:r>
    </w:p>
    <w:p w14:paraId="765C9B7D">
      <w:pPr>
        <w:spacing w:line="360" w:lineRule="auto"/>
        <w:jc w:val="center"/>
        <w:rPr>
          <w:rFonts w:ascii="宋体" w:hAnsi="宋体"/>
          <w:lang w:eastAsia="zh-CN"/>
        </w:rPr>
      </w:pPr>
      <w:r>
        <w:rPr>
          <w:rFonts w:ascii="宋体" w:hAnsi="宋体" w:hint="eastAsia"/>
          <w:lang w:eastAsia="zh-CN"/>
        </w:rPr>
        <w:t xml:space="preserve">    </w:t>
      </w:r>
    </w:p>
    <w:p w14:paraId="3E3F2180">
      <w:pPr>
        <w:spacing w:line="360" w:lineRule="auto"/>
        <w:ind w:firstLine="480"/>
        <w:jc w:val="center"/>
        <w:rPr>
          <w:rFonts w:ascii="宋体" w:hAnsi="宋体"/>
          <w:lang w:eastAsia="zh-CN"/>
        </w:rPr>
      </w:pPr>
      <w:r>
        <w:rPr>
          <w:rFonts w:ascii="宋体" w:hAnsi="宋体" w:hint="eastAsia"/>
          <w:lang w:eastAsia="zh-CN"/>
        </w:rPr>
        <w:t>_______年_______月_______日</w:t>
      </w:r>
    </w:p>
    <w:p w14:paraId="712F0E18">
      <w:pPr>
        <w:spacing w:line="360" w:lineRule="auto"/>
        <w:ind w:firstLine="480"/>
        <w:jc w:val="center"/>
        <w:rPr>
          <w:rFonts w:ascii="宋体" w:hAnsi="宋体"/>
          <w:lang w:eastAsia="zh-CN"/>
        </w:rPr>
      </w:pPr>
    </w:p>
    <w:p w14:paraId="360719FA">
      <w:pPr>
        <w:spacing w:line="360" w:lineRule="auto"/>
        <w:ind w:firstLine="480"/>
        <w:jc w:val="center"/>
        <w:rPr>
          <w:rFonts w:ascii="宋体" w:hAnsi="宋体"/>
          <w:lang w:eastAsia="zh-CN"/>
        </w:rPr>
      </w:pPr>
    </w:p>
    <w:p w14:paraId="0970FFA4">
      <w:pPr>
        <w:spacing w:line="360" w:lineRule="auto"/>
        <w:ind w:firstLine="480"/>
        <w:jc w:val="center"/>
        <w:rPr>
          <w:rFonts w:ascii="宋体" w:hAnsi="宋体"/>
          <w:lang w:eastAsia="zh-CN"/>
        </w:rPr>
      </w:pPr>
    </w:p>
    <w:p w14:paraId="41229A4D">
      <w:pPr>
        <w:spacing w:line="360" w:lineRule="auto"/>
        <w:ind w:firstLine="480"/>
        <w:jc w:val="center"/>
        <w:rPr>
          <w:rFonts w:ascii="宋体" w:hAnsi="宋体"/>
          <w:lang w:eastAsia="zh-CN"/>
        </w:rPr>
      </w:pPr>
    </w:p>
    <w:p w14:paraId="22222BEF">
      <w:pPr>
        <w:spacing w:line="360" w:lineRule="auto"/>
        <w:ind w:firstLine="480"/>
        <w:jc w:val="center"/>
        <w:rPr>
          <w:rFonts w:ascii="宋体" w:hAnsi="宋体"/>
          <w:lang w:eastAsia="zh-CN"/>
        </w:rPr>
      </w:pPr>
    </w:p>
    <w:p w14:paraId="6B247800">
      <w:pPr>
        <w:spacing w:line="360" w:lineRule="auto"/>
        <w:ind w:firstLine="480"/>
        <w:jc w:val="center"/>
        <w:rPr>
          <w:rFonts w:ascii="宋体" w:hAnsi="宋体"/>
          <w:lang w:eastAsia="zh-CN"/>
        </w:rPr>
      </w:pPr>
    </w:p>
    <w:p w14:paraId="71F169EF">
      <w:pPr>
        <w:outlineLvl w:val="1"/>
        <w:rPr>
          <w:rFonts w:ascii="Calibri" w:eastAsia="黑体" w:hAnsi="Calibri"/>
          <w:sz w:val="28"/>
          <w:szCs w:val="28"/>
          <w:lang w:eastAsia="zh-CN"/>
        </w:rPr>
      </w:pPr>
      <w:r>
        <w:rPr>
          <w:rFonts w:eastAsia="黑体" w:hint="eastAsia"/>
          <w:sz w:val="28"/>
          <w:szCs w:val="28"/>
          <w:lang w:eastAsia="zh-CN"/>
        </w:rPr>
        <w:t>附表五：投标文件数字（</w:t>
      </w:r>
      <w:r>
        <w:rPr>
          <w:rFonts w:eastAsia="黑体"/>
          <w:sz w:val="28"/>
          <w:szCs w:val="28"/>
          <w:lang w:eastAsia="zh-CN"/>
        </w:rPr>
        <w:t>CA</w:t>
      </w:r>
      <w:r>
        <w:rPr>
          <w:rFonts w:eastAsia="黑体" w:hint="eastAsia"/>
          <w:sz w:val="28"/>
          <w:szCs w:val="28"/>
          <w:lang w:eastAsia="zh-CN"/>
        </w:rPr>
        <w:t>）签名信息表</w:t>
      </w:r>
    </w:p>
    <w:p w14:paraId="6F20FFE3">
      <w:pPr>
        <w:jc w:val="center"/>
        <w:rPr>
          <w:rFonts w:ascii="宋体" w:eastAsia="宋体" w:hAnsi="宋体"/>
          <w:lang w:eastAsia="zh-CN"/>
        </w:rPr>
      </w:pPr>
      <w:r>
        <w:rPr>
          <w:rFonts w:ascii="宋体" w:hAnsi="宋体" w:hint="eastAsia"/>
          <w:lang w:eastAsia="zh-CN"/>
        </w:rPr>
        <w:t>___________（项目名称） ______标段施工</w:t>
      </w:r>
    </w:p>
    <w:p w14:paraId="430AF94C">
      <w:pPr>
        <w:jc w:val="center"/>
        <w:rPr>
          <w:rFonts w:ascii="宋体" w:hAnsi="宋体"/>
          <w:lang w:eastAsia="zh-CN"/>
        </w:rPr>
      </w:pPr>
      <w:r>
        <w:rPr>
          <w:rFonts w:ascii="宋体" w:hAnsi="宋体" w:hint="eastAsia"/>
          <w:lang w:eastAsia="zh-CN"/>
        </w:rPr>
        <w:t>投标文件数字（CA）签名信息表</w:t>
      </w:r>
    </w:p>
    <w:p w14:paraId="55B6A82B">
      <w:pPr>
        <w:pStyle w:val="Normal1"/>
        <w:topLinePunct/>
        <w:spacing w:line="360" w:lineRule="auto"/>
        <w:jc w:val="left"/>
        <w:rPr>
          <w:rFonts w:ascii="宋体" w:hAnsi="宋体"/>
          <w:sz w:val="24"/>
          <w:szCs w:val="24"/>
        </w:rPr>
      </w:pPr>
      <w:r>
        <w:rPr>
          <w:rFonts w:ascii="宋体" w:hAnsi="宋体" w:hint="eastAsia"/>
          <w:sz w:val="24"/>
          <w:szCs w:val="24"/>
        </w:rPr>
        <w:t>开标时间：______年______月______日</w:t>
      </w:r>
    </w:p>
    <w:p w14:paraId="408C4C36">
      <w:pPr>
        <w:pStyle w:val="Normal1"/>
        <w:topLinePunct/>
        <w:spacing w:line="360" w:lineRule="auto"/>
        <w:jc w:val="left"/>
        <w:rPr>
          <w:rFonts w:ascii="宋体" w:hAnsi="宋体"/>
          <w:sz w:val="24"/>
          <w:szCs w:val="24"/>
        </w:rPr>
      </w:pPr>
    </w:p>
    <w:tbl>
      <w:tblPr>
        <w:tblStyle w:val="TableNormal"/>
        <w:tblpPr w:leftFromText="180" w:rightFromText="180" w:vertAnchor="text" w:horzAnchor="page" w:tblpX="816" w:tblpY="129"/>
        <w:tblOverlap w:val="never"/>
        <w:tblW w:w="107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8"/>
        <w:gridCol w:w="1981"/>
        <w:gridCol w:w="1701"/>
        <w:gridCol w:w="1276"/>
        <w:gridCol w:w="1559"/>
        <w:gridCol w:w="1701"/>
        <w:gridCol w:w="1134"/>
      </w:tblGrid>
      <w:tr w14:paraId="3E7D33B5">
        <w:tblPrEx>
          <w:tblW w:w="107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195"/>
        </w:trPr>
        <w:tc>
          <w:tcPr>
            <w:tcW w:w="1417" w:type="dxa"/>
            <w:vMerge w:val="restart"/>
            <w:tcBorders>
              <w:top w:val="single" w:sz="4" w:space="0" w:color="auto"/>
              <w:left w:val="single" w:sz="4" w:space="0" w:color="auto"/>
              <w:bottom w:val="single" w:sz="4" w:space="0" w:color="auto"/>
              <w:right w:val="single" w:sz="4" w:space="0" w:color="auto"/>
            </w:tcBorders>
            <w:vAlign w:val="center"/>
          </w:tcPr>
          <w:p w14:paraId="0BB7BE53">
            <w:pPr>
              <w:jc w:val="center"/>
              <w:rPr>
                <w:rFonts w:ascii="宋体" w:hAnsi="宋体"/>
                <w:szCs w:val="22"/>
              </w:rPr>
            </w:pPr>
            <w:r>
              <w:rPr>
                <w:rFonts w:ascii="宋体" w:hAnsi="宋体" w:hint="eastAsia"/>
              </w:rPr>
              <w:t>序号</w:t>
            </w:r>
          </w:p>
        </w:tc>
        <w:tc>
          <w:tcPr>
            <w:tcW w:w="1980" w:type="dxa"/>
            <w:vMerge w:val="restart"/>
            <w:tcBorders>
              <w:top w:val="single" w:sz="4" w:space="0" w:color="auto"/>
              <w:left w:val="single" w:sz="4" w:space="0" w:color="auto"/>
              <w:bottom w:val="single" w:sz="4" w:space="0" w:color="auto"/>
              <w:right w:val="single" w:sz="4" w:space="0" w:color="auto"/>
            </w:tcBorders>
            <w:vAlign w:val="center"/>
          </w:tcPr>
          <w:p w14:paraId="1B91DC7F">
            <w:pPr>
              <w:jc w:val="center"/>
              <w:rPr>
                <w:rFonts w:ascii="宋体" w:hAnsi="宋体"/>
              </w:rPr>
            </w:pPr>
            <w:r>
              <w:rPr>
                <w:rFonts w:ascii="宋体" w:hAnsi="宋体" w:hint="eastAsia"/>
              </w:rPr>
              <w:t>投标人名称</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4CA3AAF1">
            <w:pPr>
              <w:jc w:val="center"/>
              <w:rPr>
                <w:rFonts w:ascii="宋体" w:hAnsi="宋体"/>
              </w:rPr>
            </w:pPr>
            <w:r>
              <w:rPr>
                <w:rFonts w:ascii="宋体" w:hAnsi="宋体" w:hint="eastAsia"/>
              </w:rPr>
              <w:t>商务标</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093514B9">
            <w:pPr>
              <w:jc w:val="center"/>
              <w:rPr>
                <w:rFonts w:ascii="宋体" w:hAnsi="宋体"/>
              </w:rPr>
            </w:pPr>
            <w:r>
              <w:rPr>
                <w:rFonts w:ascii="宋体" w:hAnsi="宋体" w:hint="eastAsia"/>
              </w:rPr>
              <w:t>技术标</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08C4E01">
            <w:pPr>
              <w:jc w:val="center"/>
              <w:rPr>
                <w:rFonts w:ascii="宋体" w:hAnsi="宋体"/>
              </w:rPr>
            </w:pPr>
            <w:r>
              <w:rPr>
                <w:rFonts w:ascii="宋体" w:hAnsi="宋体" w:hint="eastAsia"/>
              </w:rPr>
              <w:t>签名（见备注2）</w:t>
            </w:r>
          </w:p>
        </w:tc>
      </w:tr>
      <w:tr w14:paraId="10BFED5F">
        <w:tblPrEx>
          <w:tblW w:w="10770" w:type="dxa"/>
          <w:tblInd w:w="0" w:type="dxa"/>
          <w:tblLayout w:type="fixed"/>
          <w:tblCellMar>
            <w:top w:w="0" w:type="dxa"/>
            <w:left w:w="108" w:type="dxa"/>
            <w:bottom w:w="0" w:type="dxa"/>
            <w:right w:w="108" w:type="dxa"/>
          </w:tblCellMar>
        </w:tblPrEx>
        <w:trPr>
          <w:trHeight w:val="1195"/>
        </w:trPr>
        <w:tc>
          <w:tcPr>
            <w:tcW w:w="1417" w:type="dxa"/>
            <w:vMerge/>
            <w:tcBorders>
              <w:top w:val="single" w:sz="4" w:space="0" w:color="auto"/>
              <w:left w:val="single" w:sz="4" w:space="0" w:color="auto"/>
              <w:bottom w:val="single" w:sz="4" w:space="0" w:color="auto"/>
              <w:right w:val="single" w:sz="4" w:space="0" w:color="auto"/>
            </w:tcBorders>
            <w:vAlign w:val="center"/>
          </w:tcPr>
          <w:p w14:paraId="1B0BEE39">
            <w:pPr>
              <w:rPr>
                <w:rFonts w:ascii="宋体" w:eastAsia="宋体" w:hAnsi="宋体"/>
                <w:kern w:val="2"/>
                <w:szCs w:val="22"/>
              </w:rPr>
            </w:pPr>
          </w:p>
        </w:tc>
        <w:tc>
          <w:tcPr>
            <w:tcW w:w="1980" w:type="dxa"/>
            <w:vMerge/>
            <w:tcBorders>
              <w:top w:val="single" w:sz="4" w:space="0" w:color="auto"/>
              <w:left w:val="single" w:sz="4" w:space="0" w:color="auto"/>
              <w:bottom w:val="single" w:sz="4" w:space="0" w:color="auto"/>
              <w:right w:val="single" w:sz="4" w:space="0" w:color="auto"/>
            </w:tcBorders>
            <w:vAlign w:val="center"/>
          </w:tcPr>
          <w:p w14:paraId="602AF0E3">
            <w:pPr>
              <w:rPr>
                <w:rFonts w:ascii="宋体" w:eastAsia="宋体" w:hAnsi="宋体"/>
                <w:kern w:val="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CFABC91">
            <w:pPr>
              <w:jc w:val="center"/>
              <w:rPr>
                <w:rFonts w:ascii="宋体" w:hAnsi="宋体"/>
              </w:rPr>
            </w:pPr>
            <w:r>
              <w:rPr>
                <w:rFonts w:ascii="宋体" w:hAnsi="宋体" w:hint="eastAsia"/>
              </w:rPr>
              <w:t>法定代表人</w:t>
            </w:r>
          </w:p>
        </w:tc>
        <w:tc>
          <w:tcPr>
            <w:tcW w:w="1276" w:type="dxa"/>
            <w:tcBorders>
              <w:top w:val="single" w:sz="4" w:space="0" w:color="auto"/>
              <w:left w:val="single" w:sz="4" w:space="0" w:color="auto"/>
              <w:bottom w:val="single" w:sz="4" w:space="0" w:color="auto"/>
              <w:right w:val="single" w:sz="4" w:space="0" w:color="auto"/>
            </w:tcBorders>
            <w:vAlign w:val="center"/>
          </w:tcPr>
          <w:p w14:paraId="3AA56A96">
            <w:pPr>
              <w:jc w:val="center"/>
              <w:rPr>
                <w:rFonts w:ascii="宋体" w:hAnsi="宋体"/>
              </w:rPr>
            </w:pPr>
            <w:r>
              <w:rPr>
                <w:rFonts w:ascii="宋体" w:hAnsi="宋体" w:hint="eastAsia"/>
              </w:rPr>
              <w:t>造价人员</w:t>
            </w:r>
          </w:p>
        </w:tc>
        <w:tc>
          <w:tcPr>
            <w:tcW w:w="1559" w:type="dxa"/>
            <w:tcBorders>
              <w:top w:val="single" w:sz="4" w:space="0" w:color="auto"/>
              <w:left w:val="single" w:sz="4" w:space="0" w:color="auto"/>
              <w:bottom w:val="single" w:sz="4" w:space="0" w:color="auto"/>
              <w:right w:val="single" w:sz="4" w:space="0" w:color="auto"/>
            </w:tcBorders>
            <w:vAlign w:val="center"/>
          </w:tcPr>
          <w:p w14:paraId="57473EE8">
            <w:pPr>
              <w:jc w:val="center"/>
              <w:rPr>
                <w:rFonts w:ascii="宋体" w:hAnsi="宋体"/>
              </w:rPr>
            </w:pPr>
            <w:r>
              <w:rPr>
                <w:rFonts w:ascii="宋体" w:hAnsi="宋体" w:hint="eastAsia"/>
              </w:rPr>
              <w:t>法定代表人</w:t>
            </w:r>
          </w:p>
        </w:tc>
        <w:tc>
          <w:tcPr>
            <w:tcW w:w="1701" w:type="dxa"/>
            <w:tcBorders>
              <w:top w:val="single" w:sz="4" w:space="0" w:color="auto"/>
              <w:left w:val="single" w:sz="4" w:space="0" w:color="auto"/>
              <w:bottom w:val="single" w:sz="4" w:space="0" w:color="auto"/>
              <w:right w:val="single" w:sz="4" w:space="0" w:color="auto"/>
            </w:tcBorders>
            <w:vAlign w:val="center"/>
          </w:tcPr>
          <w:p w14:paraId="554C557C">
            <w:pPr>
              <w:jc w:val="center"/>
              <w:rPr>
                <w:rFonts w:ascii="宋体" w:hAnsi="宋体"/>
              </w:rPr>
            </w:pPr>
            <w:r>
              <w:rPr>
                <w:rFonts w:ascii="宋体" w:hAnsi="宋体" w:hint="eastAsia"/>
              </w:rPr>
              <w:t>项目负责人</w:t>
            </w:r>
          </w:p>
        </w:tc>
        <w:tc>
          <w:tcPr>
            <w:tcW w:w="1134" w:type="dxa"/>
            <w:vMerge/>
            <w:tcBorders>
              <w:top w:val="single" w:sz="4" w:space="0" w:color="auto"/>
              <w:left w:val="single" w:sz="4" w:space="0" w:color="auto"/>
              <w:bottom w:val="single" w:sz="4" w:space="0" w:color="auto"/>
              <w:right w:val="single" w:sz="4" w:space="0" w:color="auto"/>
            </w:tcBorders>
            <w:vAlign w:val="center"/>
          </w:tcPr>
          <w:p w14:paraId="7708AB53">
            <w:pPr>
              <w:rPr>
                <w:rFonts w:ascii="宋体" w:eastAsia="宋体" w:hAnsi="宋体"/>
                <w:kern w:val="2"/>
                <w:szCs w:val="22"/>
              </w:rPr>
            </w:pPr>
          </w:p>
        </w:tc>
      </w:tr>
      <w:tr w14:paraId="1488F991">
        <w:tblPrEx>
          <w:tblW w:w="10770" w:type="dxa"/>
          <w:tblInd w:w="0" w:type="dxa"/>
          <w:tblLayout w:type="fixed"/>
          <w:tblCellMar>
            <w:top w:w="0" w:type="dxa"/>
            <w:left w:w="108" w:type="dxa"/>
            <w:bottom w:w="0" w:type="dxa"/>
            <w:right w:w="108" w:type="dxa"/>
          </w:tblCellMar>
        </w:tblPrEx>
        <w:trPr>
          <w:trHeight w:val="1195"/>
        </w:trPr>
        <w:tc>
          <w:tcPr>
            <w:tcW w:w="1417" w:type="dxa"/>
            <w:tcBorders>
              <w:top w:val="single" w:sz="4" w:space="0" w:color="auto"/>
              <w:left w:val="single" w:sz="4" w:space="0" w:color="auto"/>
              <w:bottom w:val="single" w:sz="4" w:space="0" w:color="auto"/>
              <w:right w:val="single" w:sz="4" w:space="0" w:color="auto"/>
            </w:tcBorders>
            <w:vAlign w:val="center"/>
          </w:tcPr>
          <w:p w14:paraId="1DBC9488">
            <w:pPr>
              <w:jc w:val="center"/>
              <w:rPr>
                <w:rFonts w:ascii="宋体" w:hAnsi="宋体"/>
              </w:rPr>
            </w:pPr>
          </w:p>
        </w:tc>
        <w:tc>
          <w:tcPr>
            <w:tcW w:w="1980" w:type="dxa"/>
            <w:tcBorders>
              <w:top w:val="single" w:sz="4" w:space="0" w:color="auto"/>
              <w:left w:val="single" w:sz="4" w:space="0" w:color="auto"/>
              <w:bottom w:val="single" w:sz="4" w:space="0" w:color="auto"/>
              <w:right w:val="single" w:sz="4" w:space="0" w:color="auto"/>
            </w:tcBorders>
            <w:vAlign w:val="center"/>
          </w:tcPr>
          <w:p w14:paraId="04F63F09">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2393E6EE">
            <w:pPr>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4891C02D">
            <w:pPr>
              <w:jc w:val="center"/>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4F7A0ABE">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7B511B26">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7B07DCE8">
            <w:pPr>
              <w:jc w:val="center"/>
              <w:rPr>
                <w:rFonts w:ascii="宋体" w:hAnsi="宋体"/>
              </w:rPr>
            </w:pPr>
          </w:p>
        </w:tc>
      </w:tr>
      <w:tr w14:paraId="173100D7">
        <w:tblPrEx>
          <w:tblW w:w="10770" w:type="dxa"/>
          <w:tblInd w:w="0" w:type="dxa"/>
          <w:tblLayout w:type="fixed"/>
          <w:tblCellMar>
            <w:top w:w="0" w:type="dxa"/>
            <w:left w:w="108" w:type="dxa"/>
            <w:bottom w:w="0" w:type="dxa"/>
            <w:right w:w="108" w:type="dxa"/>
          </w:tblCellMar>
        </w:tblPrEx>
        <w:trPr>
          <w:trHeight w:val="1195"/>
        </w:trPr>
        <w:tc>
          <w:tcPr>
            <w:tcW w:w="1417" w:type="dxa"/>
            <w:tcBorders>
              <w:top w:val="single" w:sz="4" w:space="0" w:color="auto"/>
              <w:left w:val="single" w:sz="4" w:space="0" w:color="auto"/>
              <w:bottom w:val="single" w:sz="4" w:space="0" w:color="auto"/>
              <w:right w:val="single" w:sz="4" w:space="0" w:color="auto"/>
            </w:tcBorders>
            <w:vAlign w:val="center"/>
          </w:tcPr>
          <w:p w14:paraId="7447EA63">
            <w:pPr>
              <w:jc w:val="center"/>
              <w:rPr>
                <w:rFonts w:ascii="宋体" w:hAnsi="宋体"/>
              </w:rPr>
            </w:pPr>
          </w:p>
        </w:tc>
        <w:tc>
          <w:tcPr>
            <w:tcW w:w="1980" w:type="dxa"/>
            <w:tcBorders>
              <w:top w:val="single" w:sz="4" w:space="0" w:color="auto"/>
              <w:left w:val="single" w:sz="4" w:space="0" w:color="auto"/>
              <w:bottom w:val="single" w:sz="4" w:space="0" w:color="auto"/>
              <w:right w:val="single" w:sz="4" w:space="0" w:color="auto"/>
            </w:tcBorders>
            <w:vAlign w:val="center"/>
          </w:tcPr>
          <w:p w14:paraId="56A5527C">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6831B328">
            <w:pPr>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73458B73">
            <w:pPr>
              <w:jc w:val="center"/>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6A0D04B8">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4F109F93">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536A09A5">
            <w:pPr>
              <w:jc w:val="center"/>
              <w:rPr>
                <w:rFonts w:ascii="宋体" w:hAnsi="宋体"/>
              </w:rPr>
            </w:pPr>
          </w:p>
        </w:tc>
      </w:tr>
      <w:tr w14:paraId="36F7D265">
        <w:tblPrEx>
          <w:tblW w:w="10770" w:type="dxa"/>
          <w:tblInd w:w="0" w:type="dxa"/>
          <w:tblLayout w:type="fixed"/>
          <w:tblCellMar>
            <w:top w:w="0" w:type="dxa"/>
            <w:left w:w="108" w:type="dxa"/>
            <w:bottom w:w="0" w:type="dxa"/>
            <w:right w:w="108" w:type="dxa"/>
          </w:tblCellMar>
        </w:tblPrEx>
        <w:trPr>
          <w:trHeight w:val="1195"/>
        </w:trPr>
        <w:tc>
          <w:tcPr>
            <w:tcW w:w="1417" w:type="dxa"/>
            <w:tcBorders>
              <w:top w:val="single" w:sz="4" w:space="0" w:color="auto"/>
              <w:left w:val="single" w:sz="4" w:space="0" w:color="auto"/>
              <w:bottom w:val="single" w:sz="4" w:space="0" w:color="auto"/>
              <w:right w:val="single" w:sz="4" w:space="0" w:color="auto"/>
            </w:tcBorders>
            <w:vAlign w:val="center"/>
          </w:tcPr>
          <w:p w14:paraId="64C99E09">
            <w:pPr>
              <w:jc w:val="center"/>
              <w:rPr>
                <w:rFonts w:ascii="宋体" w:hAnsi="宋体"/>
              </w:rPr>
            </w:pPr>
          </w:p>
        </w:tc>
        <w:tc>
          <w:tcPr>
            <w:tcW w:w="1980" w:type="dxa"/>
            <w:tcBorders>
              <w:top w:val="single" w:sz="4" w:space="0" w:color="auto"/>
              <w:left w:val="single" w:sz="4" w:space="0" w:color="auto"/>
              <w:bottom w:val="single" w:sz="4" w:space="0" w:color="auto"/>
              <w:right w:val="single" w:sz="4" w:space="0" w:color="auto"/>
            </w:tcBorders>
            <w:vAlign w:val="center"/>
          </w:tcPr>
          <w:p w14:paraId="79523E19">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5B56C0A0">
            <w:pPr>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0095BDC2">
            <w:pPr>
              <w:jc w:val="center"/>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1DD2719B">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6AC9EFA4">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7057E1D5">
            <w:pPr>
              <w:jc w:val="center"/>
              <w:rPr>
                <w:rFonts w:ascii="宋体" w:hAnsi="宋体"/>
              </w:rPr>
            </w:pPr>
          </w:p>
        </w:tc>
      </w:tr>
    </w:tbl>
    <w:p w14:paraId="4DE57A6A">
      <w:pPr>
        <w:rPr>
          <w:rFonts w:ascii="宋体" w:hAnsi="宋体"/>
          <w:kern w:val="2"/>
          <w:szCs w:val="22"/>
        </w:rPr>
      </w:pPr>
    </w:p>
    <w:p w14:paraId="7BEAE67B">
      <w:pPr>
        <w:rPr>
          <w:rFonts w:ascii="宋体" w:hAnsi="宋体"/>
        </w:rPr>
      </w:pPr>
    </w:p>
    <w:p w14:paraId="0F2494A6">
      <w:pPr>
        <w:ind w:firstLine="11280" w:firstLineChars="4700"/>
        <w:rPr>
          <w:rFonts w:ascii="宋体" w:hAnsi="宋体"/>
        </w:rPr>
      </w:pPr>
      <w:r>
        <w:rPr>
          <w:rFonts w:ascii="宋体" w:hAnsi="宋体" w:hint="eastAsia"/>
        </w:rPr>
        <w:t xml:space="preserve"> </w:t>
      </w:r>
    </w:p>
    <w:p w14:paraId="3B775A56">
      <w:pPr>
        <w:rPr>
          <w:rFonts w:ascii="宋体" w:hAnsi="宋体"/>
        </w:rPr>
      </w:pPr>
    </w:p>
    <w:p w14:paraId="0FA1B9D6">
      <w:pPr>
        <w:rPr>
          <w:lang w:eastAsia="zh-CN"/>
        </w:rPr>
      </w:pPr>
      <w:bookmarkStart w:id="69" w:name="_Hlk61442590"/>
      <w:r>
        <w:rPr>
          <w:rFonts w:hint="eastAsia"/>
          <w:lang w:eastAsia="zh-CN"/>
        </w:rPr>
        <w:t>备注</w:t>
      </w:r>
      <w:r>
        <w:rPr>
          <w:lang w:eastAsia="zh-CN"/>
        </w:rPr>
        <w:t>1.</w:t>
      </w:r>
      <w:r>
        <w:rPr>
          <w:rFonts w:hint="eastAsia"/>
          <w:lang w:eastAsia="zh-CN"/>
        </w:rPr>
        <w:t>凡是在此表格中显示的信息，均表示该投标人已经按照要求使用数字证书进行了签名。</w:t>
      </w:r>
      <w:r>
        <w:rPr>
          <w:lang w:eastAsia="zh-CN"/>
        </w:rPr>
        <w:t xml:space="preserve"> </w:t>
      </w:r>
    </w:p>
    <w:p w14:paraId="2D87D466">
      <w:pPr>
        <w:rPr>
          <w:rFonts w:ascii="宋体" w:hAnsi="宋体"/>
          <w:lang w:eastAsia="zh-CN"/>
        </w:rPr>
      </w:pPr>
      <w:r>
        <w:rPr>
          <w:rFonts w:hint="eastAsia"/>
          <w:lang w:eastAsia="zh-CN"/>
        </w:rPr>
        <w:t>备注</w:t>
      </w:r>
      <w:r>
        <w:rPr>
          <w:lang w:eastAsia="zh-CN"/>
        </w:rPr>
        <w:t>2.“</w:t>
      </w:r>
      <w:r>
        <w:rPr>
          <w:rFonts w:hint="eastAsia"/>
          <w:lang w:eastAsia="zh-CN"/>
        </w:rPr>
        <w:t>签名</w:t>
      </w:r>
      <w:r>
        <w:rPr>
          <w:lang w:eastAsia="zh-CN"/>
        </w:rPr>
        <w:t>”</w:t>
      </w:r>
      <w:r>
        <w:rPr>
          <w:rFonts w:hint="eastAsia"/>
          <w:lang w:eastAsia="zh-CN"/>
        </w:rPr>
        <w:t>栏仅适用于现场开标的项目。</w:t>
      </w:r>
      <w:bookmarkEnd w:id="69"/>
      <w:r>
        <w:rPr>
          <w:rFonts w:ascii="宋体" w:hAnsi="宋体" w:hint="eastAsia"/>
          <w:lang w:eastAsia="zh-CN"/>
        </w:rPr>
        <w:br w:type="page"/>
      </w:r>
    </w:p>
    <w:p w14:paraId="09582CAD">
      <w:pPr>
        <w:pStyle w:val="Heading10"/>
        <w:jc w:val="center"/>
        <w:rPr>
          <w:rFonts w:ascii="宋体" w:hAnsi="宋体"/>
          <w:b w:val="0"/>
          <w:lang w:eastAsia="zh-CN"/>
        </w:rPr>
      </w:pPr>
      <w:r>
        <w:rPr>
          <w:rFonts w:ascii="MS Gothic" w:eastAsia="MS Gothic" w:hAnsi="MS Gothic" w:hint="eastAsia"/>
          <w:sz w:val="32"/>
          <w:szCs w:val="32"/>
          <w:lang w:eastAsia="zh-CN"/>
        </w:rPr>
        <w:t>☑</w:t>
      </w:r>
      <w:r>
        <w:rPr>
          <w:rFonts w:ascii="宋体" w:hAnsi="宋体" w:hint="eastAsia"/>
          <w:sz w:val="32"/>
          <w:szCs w:val="32"/>
          <w:lang w:eastAsia="zh-CN"/>
        </w:rPr>
        <w:t>第三章</w:t>
      </w:r>
      <w:r>
        <w:rPr>
          <w:rFonts w:ascii="宋体" w:hAnsi="宋体" w:hint="eastAsia"/>
          <w:sz w:val="24"/>
          <w:szCs w:val="24"/>
          <w:lang w:eastAsia="zh-CN"/>
        </w:rPr>
        <w:t xml:space="preserve"> </w:t>
      </w:r>
      <w:r>
        <w:rPr>
          <w:rFonts w:ascii="宋体" w:hAnsi="宋体" w:hint="eastAsia"/>
          <w:sz w:val="32"/>
          <w:szCs w:val="32"/>
          <w:lang w:eastAsia="zh-CN"/>
        </w:rPr>
        <w:t>评标办法（综合评估法）</w:t>
      </w:r>
    </w:p>
    <w:p w14:paraId="70CD1CF6">
      <w:pPr>
        <w:spacing w:line="36" w:lineRule="auto"/>
        <w:rPr>
          <w:rFonts w:ascii="宋体" w:hAnsi="宋体"/>
          <w:sz w:val="27"/>
          <w:lang w:eastAsia="zh-CN"/>
        </w:rPr>
      </w:pPr>
    </w:p>
    <w:p w14:paraId="00CB0472">
      <w:pPr>
        <w:pStyle w:val="Heading3"/>
        <w:jc w:val="center"/>
        <w:rPr>
          <w:rFonts w:ascii="宋体" w:hAnsi="宋体"/>
          <w:sz w:val="24"/>
          <w:szCs w:val="24"/>
        </w:rPr>
      </w:pPr>
      <w:r>
        <w:rPr>
          <w:rFonts w:ascii="宋体" w:hAnsi="宋体" w:hint="eastAsia"/>
          <w:sz w:val="24"/>
          <w:szCs w:val="24"/>
        </w:rPr>
        <w:t>评标办法前附表</w:t>
      </w:r>
    </w:p>
    <w:tbl>
      <w:tblPr>
        <w:tblStyle w:val="TableNormal"/>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1276"/>
        <w:gridCol w:w="851"/>
        <w:gridCol w:w="1842"/>
        <w:gridCol w:w="5241"/>
      </w:tblGrid>
      <w:tr w14:paraId="04AB1549">
        <w:tblPrEx>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476"/>
          <w:jc w:val="center"/>
        </w:trPr>
        <w:tc>
          <w:tcPr>
            <w:tcW w:w="2127" w:type="dxa"/>
            <w:gridSpan w:val="2"/>
            <w:tcBorders>
              <w:top w:val="single" w:sz="2" w:space="0" w:color="auto"/>
              <w:left w:val="single" w:sz="2" w:space="0" w:color="auto"/>
              <w:bottom w:val="single" w:sz="2" w:space="0" w:color="auto"/>
              <w:right w:val="single" w:sz="2" w:space="0" w:color="auto"/>
            </w:tcBorders>
            <w:vAlign w:val="center"/>
          </w:tcPr>
          <w:p w14:paraId="55E0103B">
            <w:pPr>
              <w:spacing w:line="360" w:lineRule="auto"/>
              <w:jc w:val="center"/>
              <w:rPr>
                <w:rFonts w:ascii="宋体" w:hAnsi="宋体"/>
                <w:b/>
              </w:rPr>
            </w:pPr>
            <w:r>
              <w:rPr>
                <w:rFonts w:ascii="宋体" w:hAnsi="宋体" w:hint="eastAsia"/>
                <w:b/>
              </w:rPr>
              <w:t>条款号</w:t>
            </w:r>
          </w:p>
        </w:tc>
        <w:tc>
          <w:tcPr>
            <w:tcW w:w="1842" w:type="dxa"/>
            <w:tcBorders>
              <w:top w:val="single" w:sz="2" w:space="0" w:color="auto"/>
              <w:left w:val="single" w:sz="2" w:space="0" w:color="auto"/>
              <w:bottom w:val="single" w:sz="2" w:space="0" w:color="auto"/>
              <w:right w:val="single" w:sz="2" w:space="0" w:color="auto"/>
            </w:tcBorders>
            <w:vAlign w:val="center"/>
          </w:tcPr>
          <w:p w14:paraId="1EB6139B">
            <w:pPr>
              <w:spacing w:line="360" w:lineRule="auto"/>
              <w:jc w:val="center"/>
              <w:rPr>
                <w:rFonts w:ascii="宋体" w:hAnsi="宋体"/>
                <w:b/>
              </w:rPr>
            </w:pPr>
            <w:r>
              <w:rPr>
                <w:rFonts w:ascii="宋体" w:hAnsi="宋体" w:hint="eastAsia"/>
                <w:b/>
              </w:rPr>
              <w:t>评审因素</w:t>
            </w:r>
          </w:p>
        </w:tc>
        <w:tc>
          <w:tcPr>
            <w:tcW w:w="5241" w:type="dxa"/>
            <w:tcBorders>
              <w:top w:val="single" w:sz="2" w:space="0" w:color="auto"/>
              <w:left w:val="single" w:sz="2" w:space="0" w:color="auto"/>
              <w:bottom w:val="single" w:sz="2" w:space="0" w:color="auto"/>
              <w:right w:val="single" w:sz="2" w:space="0" w:color="auto"/>
            </w:tcBorders>
            <w:vAlign w:val="center"/>
          </w:tcPr>
          <w:p w14:paraId="60860819">
            <w:pPr>
              <w:spacing w:line="360" w:lineRule="auto"/>
              <w:jc w:val="center"/>
              <w:rPr>
                <w:rFonts w:ascii="宋体" w:hAnsi="宋体"/>
                <w:b/>
              </w:rPr>
            </w:pPr>
            <w:r>
              <w:rPr>
                <w:rFonts w:ascii="宋体" w:hAnsi="宋体" w:hint="eastAsia"/>
                <w:b/>
              </w:rPr>
              <w:t>评审标准</w:t>
            </w:r>
          </w:p>
        </w:tc>
      </w:tr>
      <w:tr w14:paraId="2C3CC789">
        <w:tblPrEx>
          <w:tblW w:w="9210" w:type="dxa"/>
          <w:jc w:val="center"/>
          <w:tblLayout w:type="fixed"/>
          <w:tblCellMar>
            <w:top w:w="0" w:type="dxa"/>
            <w:left w:w="108" w:type="dxa"/>
            <w:bottom w:w="0" w:type="dxa"/>
            <w:right w:w="108" w:type="dxa"/>
          </w:tblCellMar>
        </w:tblPrEx>
        <w:trPr>
          <w:trHeight w:val="691"/>
          <w:jc w:val="center"/>
        </w:trPr>
        <w:tc>
          <w:tcPr>
            <w:tcW w:w="1276" w:type="dxa"/>
            <w:vMerge w:val="restart"/>
            <w:tcBorders>
              <w:top w:val="single" w:sz="2" w:space="0" w:color="auto"/>
              <w:left w:val="single" w:sz="2" w:space="0" w:color="auto"/>
              <w:bottom w:val="single" w:sz="2" w:space="0" w:color="auto"/>
              <w:right w:val="single" w:sz="2" w:space="0" w:color="auto"/>
            </w:tcBorders>
            <w:vAlign w:val="center"/>
          </w:tcPr>
          <w:p w14:paraId="45CF7C25">
            <w:pPr>
              <w:spacing w:line="360" w:lineRule="auto"/>
              <w:jc w:val="center"/>
              <w:rPr>
                <w:rFonts w:ascii="宋体" w:hAnsi="宋体"/>
              </w:rPr>
            </w:pPr>
            <w:r>
              <w:rPr>
                <w:rFonts w:ascii="宋体" w:hAnsi="宋体" w:hint="eastAsia"/>
              </w:rPr>
              <w:t>2.1.1</w:t>
            </w:r>
          </w:p>
        </w:tc>
        <w:tc>
          <w:tcPr>
            <w:tcW w:w="851" w:type="dxa"/>
            <w:vMerge w:val="restart"/>
            <w:tcBorders>
              <w:top w:val="single" w:sz="2" w:space="0" w:color="auto"/>
              <w:left w:val="single" w:sz="2" w:space="0" w:color="auto"/>
              <w:bottom w:val="single" w:sz="2" w:space="0" w:color="auto"/>
              <w:right w:val="single" w:sz="2" w:space="0" w:color="auto"/>
            </w:tcBorders>
            <w:vAlign w:val="center"/>
          </w:tcPr>
          <w:p w14:paraId="5F530732">
            <w:pPr>
              <w:spacing w:line="360" w:lineRule="auto"/>
              <w:jc w:val="center"/>
              <w:rPr>
                <w:rFonts w:ascii="宋体" w:hAnsi="宋体"/>
              </w:rPr>
            </w:pPr>
            <w:r>
              <w:rPr>
                <w:rFonts w:ascii="宋体" w:hAnsi="宋体" w:hint="eastAsia"/>
              </w:rPr>
              <w:t>形式评审标准</w:t>
            </w:r>
          </w:p>
        </w:tc>
        <w:tc>
          <w:tcPr>
            <w:tcW w:w="1842" w:type="dxa"/>
            <w:tcBorders>
              <w:top w:val="single" w:sz="2" w:space="0" w:color="auto"/>
              <w:left w:val="single" w:sz="2" w:space="0" w:color="auto"/>
              <w:bottom w:val="single" w:sz="2" w:space="0" w:color="auto"/>
              <w:right w:val="single" w:sz="2" w:space="0" w:color="auto"/>
            </w:tcBorders>
            <w:vAlign w:val="center"/>
          </w:tcPr>
          <w:p w14:paraId="1E3413FD">
            <w:pPr>
              <w:spacing w:line="360" w:lineRule="auto"/>
              <w:jc w:val="center"/>
              <w:rPr>
                <w:rFonts w:ascii="宋体" w:hAnsi="宋体"/>
              </w:rPr>
            </w:pPr>
            <w:r>
              <w:rPr>
                <w:rFonts w:ascii="宋体" w:hAnsi="宋体" w:hint="eastAsia"/>
              </w:rPr>
              <w:t>投标人名称</w:t>
            </w:r>
          </w:p>
        </w:tc>
        <w:tc>
          <w:tcPr>
            <w:tcW w:w="5241" w:type="dxa"/>
            <w:tcBorders>
              <w:top w:val="single" w:sz="2" w:space="0" w:color="auto"/>
              <w:left w:val="single" w:sz="2" w:space="0" w:color="auto"/>
              <w:bottom w:val="single" w:sz="2" w:space="0" w:color="auto"/>
              <w:right w:val="single" w:sz="2" w:space="0" w:color="auto"/>
            </w:tcBorders>
            <w:vAlign w:val="center"/>
          </w:tcPr>
          <w:p w14:paraId="5A0A9189">
            <w:pPr>
              <w:spacing w:line="360" w:lineRule="auto"/>
              <w:rPr>
                <w:rFonts w:ascii="宋体" w:hAnsi="宋体"/>
                <w:lang w:eastAsia="zh-CN"/>
              </w:rPr>
            </w:pPr>
            <w:r>
              <w:rPr>
                <w:rFonts w:ascii="宋体" w:hAnsi="宋体" w:hint="eastAsia"/>
                <w:lang w:eastAsia="zh-CN"/>
              </w:rPr>
              <w:t>与营业执照、资质证书、安全生产许可证一致</w:t>
            </w:r>
          </w:p>
        </w:tc>
      </w:tr>
      <w:tr w14:paraId="73E24697">
        <w:tblPrEx>
          <w:tblW w:w="9210" w:type="dxa"/>
          <w:jc w:val="center"/>
          <w:tblLayout w:type="fixed"/>
          <w:tblCellMar>
            <w:top w:w="0" w:type="dxa"/>
            <w:left w:w="108" w:type="dxa"/>
            <w:bottom w:w="0" w:type="dxa"/>
            <w:right w:w="108" w:type="dxa"/>
          </w:tblCellMar>
        </w:tblPrEx>
        <w:trPr>
          <w:trHeight w:val="984"/>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07C62A14">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15D567F7">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37410698">
            <w:pPr>
              <w:spacing w:line="360" w:lineRule="auto"/>
              <w:jc w:val="center"/>
              <w:rPr>
                <w:rFonts w:ascii="宋体" w:hAnsi="宋体"/>
              </w:rPr>
            </w:pPr>
            <w:r>
              <w:rPr>
                <w:rFonts w:ascii="宋体" w:hAnsi="宋体" w:hint="eastAsia"/>
              </w:rPr>
              <w:t>投标文件格式</w:t>
            </w:r>
          </w:p>
        </w:tc>
        <w:tc>
          <w:tcPr>
            <w:tcW w:w="5241" w:type="dxa"/>
            <w:tcBorders>
              <w:top w:val="single" w:sz="2" w:space="0" w:color="auto"/>
              <w:left w:val="single" w:sz="2" w:space="0" w:color="auto"/>
              <w:bottom w:val="single" w:sz="2" w:space="0" w:color="auto"/>
              <w:right w:val="single" w:sz="2" w:space="0" w:color="auto"/>
            </w:tcBorders>
            <w:vAlign w:val="center"/>
          </w:tcPr>
          <w:p w14:paraId="260E373A">
            <w:pPr>
              <w:spacing w:line="360" w:lineRule="auto"/>
              <w:rPr>
                <w:rFonts w:ascii="宋体" w:hAnsi="宋体"/>
                <w:lang w:eastAsia="zh-CN"/>
              </w:rPr>
            </w:pPr>
            <w:r>
              <w:rPr>
                <w:rFonts w:ascii="宋体" w:hAnsi="宋体" w:hint="eastAsia"/>
                <w:lang w:eastAsia="zh-CN"/>
              </w:rPr>
              <w:t>符合第八章“投标文件格式”的要求和符合第二章“投标人须知”第 3.7.1 项和第5.2项要求</w:t>
            </w:r>
          </w:p>
        </w:tc>
      </w:tr>
      <w:tr w14:paraId="21FA0710">
        <w:tblPrEx>
          <w:tblW w:w="9210" w:type="dxa"/>
          <w:jc w:val="center"/>
          <w:tblLayout w:type="fixed"/>
          <w:tblCellMar>
            <w:top w:w="0" w:type="dxa"/>
            <w:left w:w="108" w:type="dxa"/>
            <w:bottom w:w="0" w:type="dxa"/>
            <w:right w:w="108" w:type="dxa"/>
          </w:tblCellMar>
        </w:tblPrEx>
        <w:trPr>
          <w:trHeight w:val="587"/>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32A58F88">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240965A6">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5B33E676">
            <w:pPr>
              <w:spacing w:line="360" w:lineRule="auto"/>
              <w:jc w:val="center"/>
              <w:rPr>
                <w:rFonts w:ascii="宋体" w:hAnsi="宋体"/>
              </w:rPr>
            </w:pPr>
            <w:r>
              <w:rPr>
                <w:rFonts w:ascii="宋体" w:hAnsi="宋体" w:hint="eastAsia"/>
              </w:rPr>
              <w:t>投标文件的签署</w:t>
            </w:r>
          </w:p>
        </w:tc>
        <w:tc>
          <w:tcPr>
            <w:tcW w:w="5241" w:type="dxa"/>
            <w:tcBorders>
              <w:top w:val="single" w:sz="2" w:space="0" w:color="auto"/>
              <w:left w:val="single" w:sz="2" w:space="0" w:color="auto"/>
              <w:bottom w:val="single" w:sz="2" w:space="0" w:color="auto"/>
              <w:right w:val="single" w:sz="2" w:space="0" w:color="auto"/>
            </w:tcBorders>
            <w:vAlign w:val="center"/>
          </w:tcPr>
          <w:p w14:paraId="7AD12A87">
            <w:pPr>
              <w:spacing w:line="360" w:lineRule="auto"/>
              <w:rPr>
                <w:rFonts w:ascii="宋体" w:hAnsi="宋体"/>
                <w:lang w:eastAsia="zh-CN"/>
              </w:rPr>
            </w:pPr>
            <w:r>
              <w:rPr>
                <w:rFonts w:ascii="宋体" w:hAnsi="宋体" w:hint="eastAsia"/>
                <w:lang w:eastAsia="zh-CN"/>
              </w:rPr>
              <w:t>符合第二章“投标人须知”第 3.7.3 项要求</w:t>
            </w:r>
          </w:p>
        </w:tc>
      </w:tr>
      <w:tr w14:paraId="2F3A075F">
        <w:tblPrEx>
          <w:tblW w:w="9210" w:type="dxa"/>
          <w:jc w:val="center"/>
          <w:tblLayout w:type="fixed"/>
          <w:tblCellMar>
            <w:top w:w="0" w:type="dxa"/>
            <w:left w:w="108" w:type="dxa"/>
            <w:bottom w:w="0" w:type="dxa"/>
            <w:right w:w="108" w:type="dxa"/>
          </w:tblCellMar>
        </w:tblPrEx>
        <w:trPr>
          <w:trHeight w:val="594"/>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6528A50D">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3F1586FA">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6DB9937A">
            <w:pPr>
              <w:spacing w:line="360" w:lineRule="auto"/>
              <w:jc w:val="center"/>
              <w:rPr>
                <w:rFonts w:ascii="宋体" w:hAnsi="宋体"/>
              </w:rPr>
            </w:pPr>
            <w:r>
              <w:rPr>
                <w:rFonts w:ascii="宋体" w:hAnsi="宋体" w:hint="eastAsia"/>
              </w:rPr>
              <w:t>联合体投标人</w:t>
            </w:r>
          </w:p>
        </w:tc>
        <w:tc>
          <w:tcPr>
            <w:tcW w:w="5241" w:type="dxa"/>
            <w:tcBorders>
              <w:top w:val="single" w:sz="2" w:space="0" w:color="auto"/>
              <w:left w:val="single" w:sz="2" w:space="0" w:color="auto"/>
              <w:bottom w:val="single" w:sz="2" w:space="0" w:color="auto"/>
              <w:right w:val="single" w:sz="2" w:space="0" w:color="auto"/>
            </w:tcBorders>
            <w:vAlign w:val="center"/>
          </w:tcPr>
          <w:p w14:paraId="2BEE644F">
            <w:pPr>
              <w:spacing w:line="360" w:lineRule="auto"/>
              <w:rPr>
                <w:rFonts w:ascii="宋体" w:hAnsi="宋体"/>
                <w:lang w:eastAsia="zh-CN"/>
              </w:rPr>
            </w:pPr>
            <w:r>
              <w:rPr>
                <w:rFonts w:ascii="宋体" w:hAnsi="宋体" w:hint="eastAsia"/>
                <w:lang w:eastAsia="zh-CN"/>
              </w:rPr>
              <w:t>提交联合体协议书，并明确联合体牵头人（如有）</w:t>
            </w:r>
          </w:p>
        </w:tc>
      </w:tr>
      <w:tr w14:paraId="48680D54">
        <w:tblPrEx>
          <w:tblW w:w="9210" w:type="dxa"/>
          <w:jc w:val="center"/>
          <w:tblLayout w:type="fixed"/>
          <w:tblCellMar>
            <w:top w:w="0" w:type="dxa"/>
            <w:left w:w="108" w:type="dxa"/>
            <w:bottom w:w="0" w:type="dxa"/>
            <w:right w:w="108" w:type="dxa"/>
          </w:tblCellMar>
        </w:tblPrEx>
        <w:trPr>
          <w:trHeight w:val="985"/>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0EDF6DA1">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2AD968B5">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75B5CD7D">
            <w:pPr>
              <w:spacing w:line="360" w:lineRule="auto"/>
              <w:jc w:val="center"/>
              <w:rPr>
                <w:rFonts w:ascii="宋体" w:hAnsi="宋体"/>
              </w:rPr>
            </w:pPr>
            <w:r>
              <w:rPr>
                <w:rFonts w:ascii="宋体" w:hAnsi="宋体" w:hint="eastAsia"/>
              </w:rPr>
              <w:t>报价唯一</w:t>
            </w:r>
          </w:p>
        </w:tc>
        <w:tc>
          <w:tcPr>
            <w:tcW w:w="5241" w:type="dxa"/>
            <w:tcBorders>
              <w:top w:val="single" w:sz="2" w:space="0" w:color="auto"/>
              <w:left w:val="single" w:sz="2" w:space="0" w:color="auto"/>
              <w:bottom w:val="single" w:sz="2" w:space="0" w:color="auto"/>
              <w:right w:val="single" w:sz="2" w:space="0" w:color="auto"/>
            </w:tcBorders>
            <w:vAlign w:val="center"/>
          </w:tcPr>
          <w:p w14:paraId="0EE729E1">
            <w:pPr>
              <w:spacing w:line="360" w:lineRule="auto"/>
              <w:rPr>
                <w:rFonts w:ascii="宋体" w:hAnsi="宋体"/>
                <w:lang w:eastAsia="zh-CN"/>
              </w:rPr>
            </w:pPr>
            <w:r>
              <w:rPr>
                <w:rFonts w:ascii="宋体" w:hAnsi="宋体" w:hint="eastAsia"/>
                <w:lang w:eastAsia="zh-CN"/>
              </w:rPr>
              <w:t>只能有一个报价，即符合第二章“投标人须知”第 10.3</w:t>
            </w:r>
            <w:r>
              <w:rPr>
                <w:rFonts w:hint="eastAsia"/>
                <w:lang w:eastAsia="zh-CN"/>
              </w:rPr>
              <w:t>项</w:t>
            </w:r>
            <w:r>
              <w:rPr>
                <w:rFonts w:ascii="宋体" w:hAnsi="宋体" w:hint="eastAsia"/>
                <w:lang w:eastAsia="zh-CN"/>
              </w:rPr>
              <w:t>要求</w:t>
            </w:r>
          </w:p>
        </w:tc>
      </w:tr>
      <w:tr w14:paraId="24168570">
        <w:tblPrEx>
          <w:tblW w:w="9210" w:type="dxa"/>
          <w:jc w:val="center"/>
          <w:tblLayout w:type="fixed"/>
          <w:tblCellMar>
            <w:top w:w="0" w:type="dxa"/>
            <w:left w:w="108" w:type="dxa"/>
            <w:bottom w:w="0" w:type="dxa"/>
            <w:right w:w="108" w:type="dxa"/>
          </w:tblCellMar>
        </w:tblPrEx>
        <w:trPr>
          <w:trHeight w:val="985"/>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4B3F0A72">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0C5D27E3">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77508761">
            <w:pPr>
              <w:spacing w:line="360" w:lineRule="auto"/>
              <w:jc w:val="center"/>
              <w:rPr>
                <w:rFonts w:ascii="宋体" w:hAnsi="宋体"/>
              </w:rPr>
            </w:pPr>
            <w:r>
              <w:rPr>
                <w:rFonts w:ascii="宋体" w:hAnsi="宋体" w:hint="eastAsia"/>
              </w:rPr>
              <w:t>备选投标</w:t>
            </w:r>
          </w:p>
          <w:p w14:paraId="3D12E9DA">
            <w:pPr>
              <w:spacing w:line="360" w:lineRule="auto"/>
              <w:jc w:val="center"/>
              <w:rPr>
                <w:rFonts w:ascii="宋体" w:hAnsi="宋体"/>
              </w:rPr>
            </w:pPr>
            <w:r>
              <w:rPr>
                <w:rFonts w:ascii="宋体" w:hAnsi="宋体" w:hint="eastAsia"/>
              </w:rPr>
              <w:t>方案</w:t>
            </w:r>
          </w:p>
        </w:tc>
        <w:tc>
          <w:tcPr>
            <w:tcW w:w="5241" w:type="dxa"/>
            <w:tcBorders>
              <w:top w:val="single" w:sz="2" w:space="0" w:color="auto"/>
              <w:left w:val="single" w:sz="2" w:space="0" w:color="auto"/>
              <w:bottom w:val="single" w:sz="2" w:space="0" w:color="auto"/>
              <w:right w:val="single" w:sz="2" w:space="0" w:color="auto"/>
            </w:tcBorders>
            <w:vAlign w:val="center"/>
          </w:tcPr>
          <w:p w14:paraId="641071BF">
            <w:pPr>
              <w:spacing w:line="360" w:lineRule="auto"/>
              <w:rPr>
                <w:rFonts w:ascii="宋体" w:hAnsi="宋体"/>
                <w:lang w:eastAsia="zh-CN"/>
              </w:rPr>
            </w:pPr>
            <w:r>
              <w:rPr>
                <w:rFonts w:ascii="宋体" w:hAnsi="宋体" w:hint="eastAsia"/>
                <w:lang w:eastAsia="zh-CN"/>
              </w:rPr>
              <w:t>除招标文件明确允许提交备选投标方案外，投标人不得提交备选投标方案</w:t>
            </w:r>
          </w:p>
        </w:tc>
      </w:tr>
      <w:tr w14:paraId="593D2CBA">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411E7B95">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301E5DC5">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6BC6C04B">
            <w:pPr>
              <w:spacing w:line="360" w:lineRule="auto"/>
              <w:jc w:val="center"/>
              <w:rPr>
                <w:rFonts w:ascii="宋体" w:hAnsi="宋体"/>
              </w:rPr>
            </w:pPr>
            <w:r>
              <w:rPr>
                <w:rFonts w:ascii="宋体" w:hAnsi="宋体" w:hint="eastAsia"/>
              </w:rPr>
              <w:t>……</w:t>
            </w:r>
          </w:p>
        </w:tc>
        <w:tc>
          <w:tcPr>
            <w:tcW w:w="5241" w:type="dxa"/>
            <w:tcBorders>
              <w:top w:val="single" w:sz="2" w:space="0" w:color="auto"/>
              <w:left w:val="single" w:sz="2" w:space="0" w:color="auto"/>
              <w:bottom w:val="single" w:sz="2" w:space="0" w:color="auto"/>
              <w:right w:val="single" w:sz="2" w:space="0" w:color="auto"/>
            </w:tcBorders>
            <w:vAlign w:val="center"/>
          </w:tcPr>
          <w:p w14:paraId="7C25DB4E">
            <w:pPr>
              <w:spacing w:line="360" w:lineRule="auto"/>
              <w:jc w:val="center"/>
              <w:rPr>
                <w:rFonts w:ascii="宋体" w:hAnsi="宋体"/>
              </w:rPr>
            </w:pPr>
            <w:r>
              <w:rPr>
                <w:rFonts w:ascii="宋体" w:hAnsi="宋体" w:hint="eastAsia"/>
              </w:rPr>
              <w:t>……</w:t>
            </w:r>
          </w:p>
        </w:tc>
      </w:tr>
      <w:tr w14:paraId="6DBDA5E9">
        <w:tblPrEx>
          <w:tblW w:w="9210" w:type="dxa"/>
          <w:jc w:val="center"/>
          <w:tblLayout w:type="fixed"/>
          <w:tblCellMar>
            <w:top w:w="0" w:type="dxa"/>
            <w:left w:w="108" w:type="dxa"/>
            <w:bottom w:w="0" w:type="dxa"/>
            <w:right w:w="108" w:type="dxa"/>
          </w:tblCellMar>
        </w:tblPrEx>
        <w:trPr>
          <w:trHeight w:val="476"/>
          <w:jc w:val="center"/>
        </w:trPr>
        <w:tc>
          <w:tcPr>
            <w:tcW w:w="1276" w:type="dxa"/>
            <w:vMerge w:val="restart"/>
            <w:tcBorders>
              <w:top w:val="single" w:sz="2" w:space="0" w:color="auto"/>
              <w:left w:val="single" w:sz="2" w:space="0" w:color="auto"/>
              <w:bottom w:val="single" w:sz="2" w:space="0" w:color="auto"/>
              <w:right w:val="single" w:sz="2" w:space="0" w:color="auto"/>
            </w:tcBorders>
            <w:vAlign w:val="center"/>
          </w:tcPr>
          <w:p w14:paraId="09B967AF">
            <w:pPr>
              <w:spacing w:line="360" w:lineRule="auto"/>
              <w:jc w:val="center"/>
              <w:rPr>
                <w:rFonts w:ascii="宋体" w:hAnsi="宋体"/>
              </w:rPr>
            </w:pPr>
            <w:r>
              <w:rPr>
                <w:rFonts w:ascii="宋体" w:hAnsi="宋体" w:hint="eastAsia"/>
              </w:rPr>
              <w:t>2.1.2</w:t>
            </w:r>
          </w:p>
        </w:tc>
        <w:tc>
          <w:tcPr>
            <w:tcW w:w="851" w:type="dxa"/>
            <w:vMerge w:val="restart"/>
            <w:tcBorders>
              <w:top w:val="single" w:sz="2" w:space="0" w:color="auto"/>
              <w:left w:val="single" w:sz="2" w:space="0" w:color="auto"/>
              <w:bottom w:val="single" w:sz="2" w:space="0" w:color="auto"/>
              <w:right w:val="single" w:sz="2" w:space="0" w:color="auto"/>
            </w:tcBorders>
            <w:vAlign w:val="center"/>
          </w:tcPr>
          <w:p w14:paraId="6E9D91BF">
            <w:pPr>
              <w:spacing w:line="360" w:lineRule="auto"/>
              <w:jc w:val="center"/>
              <w:rPr>
                <w:rFonts w:ascii="宋体" w:hAnsi="宋体"/>
              </w:rPr>
            </w:pPr>
            <w:r>
              <w:rPr>
                <w:rFonts w:ascii="宋体" w:hAnsi="宋体" w:hint="eastAsia"/>
              </w:rPr>
              <w:t>资格评审标准</w:t>
            </w:r>
          </w:p>
        </w:tc>
        <w:tc>
          <w:tcPr>
            <w:tcW w:w="1842" w:type="dxa"/>
            <w:tcBorders>
              <w:top w:val="single" w:sz="2" w:space="0" w:color="auto"/>
              <w:left w:val="single" w:sz="2" w:space="0" w:color="auto"/>
              <w:bottom w:val="single" w:sz="2" w:space="0" w:color="auto"/>
              <w:right w:val="single" w:sz="2" w:space="0" w:color="auto"/>
            </w:tcBorders>
            <w:vAlign w:val="center"/>
          </w:tcPr>
          <w:p w14:paraId="722B2F1B">
            <w:pPr>
              <w:spacing w:line="360" w:lineRule="auto"/>
              <w:jc w:val="center"/>
              <w:rPr>
                <w:rFonts w:ascii="宋体" w:hAnsi="宋体"/>
              </w:rPr>
            </w:pPr>
            <w:r>
              <w:rPr>
                <w:rFonts w:ascii="宋体" w:hAnsi="宋体" w:hint="eastAsia"/>
              </w:rPr>
              <w:t>营业执照</w:t>
            </w:r>
          </w:p>
        </w:tc>
        <w:tc>
          <w:tcPr>
            <w:tcW w:w="5241" w:type="dxa"/>
            <w:tcBorders>
              <w:top w:val="single" w:sz="2" w:space="0" w:color="auto"/>
              <w:left w:val="single" w:sz="2" w:space="0" w:color="auto"/>
              <w:bottom w:val="single" w:sz="2" w:space="0" w:color="auto"/>
              <w:right w:val="single" w:sz="2" w:space="0" w:color="auto"/>
            </w:tcBorders>
            <w:vAlign w:val="center"/>
          </w:tcPr>
          <w:p w14:paraId="0C6C042E">
            <w:pPr>
              <w:spacing w:line="360" w:lineRule="auto"/>
              <w:rPr>
                <w:rFonts w:ascii="宋体" w:hAnsi="宋体"/>
              </w:rPr>
            </w:pPr>
            <w:r>
              <w:rPr>
                <w:rFonts w:ascii="宋体" w:hAnsi="宋体" w:hint="eastAsia"/>
              </w:rPr>
              <w:t>具备有效的营业执照</w:t>
            </w:r>
          </w:p>
        </w:tc>
      </w:tr>
      <w:tr w14:paraId="2409F761">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4E5A5F9E">
            <w:pPr>
              <w:rPr>
                <w:rFonts w:ascii="宋体" w:eastAsia="宋体" w:hAnsi="宋体"/>
                <w:kern w:val="2"/>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37B8094F">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03AE66C9">
            <w:pPr>
              <w:spacing w:line="360" w:lineRule="auto"/>
              <w:jc w:val="center"/>
              <w:rPr>
                <w:rFonts w:ascii="宋体" w:hAnsi="宋体"/>
              </w:rPr>
            </w:pPr>
            <w:r>
              <w:rPr>
                <w:rFonts w:ascii="宋体" w:hAnsi="宋体" w:hint="eastAsia"/>
              </w:rPr>
              <w:t>安全生产</w:t>
            </w:r>
          </w:p>
          <w:p w14:paraId="123DD9F7">
            <w:pPr>
              <w:spacing w:line="360" w:lineRule="auto"/>
              <w:jc w:val="center"/>
              <w:rPr>
                <w:rFonts w:ascii="宋体" w:hAnsi="宋体"/>
              </w:rPr>
            </w:pPr>
            <w:r>
              <w:rPr>
                <w:rFonts w:ascii="宋体" w:hAnsi="宋体" w:hint="eastAsia"/>
              </w:rPr>
              <w:t>许可证</w:t>
            </w:r>
          </w:p>
        </w:tc>
        <w:tc>
          <w:tcPr>
            <w:tcW w:w="5241" w:type="dxa"/>
            <w:tcBorders>
              <w:top w:val="single" w:sz="2" w:space="0" w:color="auto"/>
              <w:left w:val="single" w:sz="2" w:space="0" w:color="auto"/>
              <w:bottom w:val="single" w:sz="2" w:space="0" w:color="auto"/>
              <w:right w:val="single" w:sz="2" w:space="0" w:color="auto"/>
            </w:tcBorders>
            <w:vAlign w:val="center"/>
          </w:tcPr>
          <w:p w14:paraId="26771555">
            <w:pPr>
              <w:spacing w:line="360" w:lineRule="auto"/>
              <w:rPr>
                <w:rFonts w:ascii="宋体" w:hAnsi="宋体"/>
                <w:lang w:eastAsia="zh-CN"/>
              </w:rPr>
            </w:pPr>
            <w:r>
              <w:rPr>
                <w:rFonts w:ascii="宋体" w:hAnsi="宋体" w:hint="eastAsia"/>
                <w:lang w:eastAsia="zh-CN"/>
              </w:rPr>
              <w:t>具备有效的安全生产许可证（园林绿化、电梯安装等不实行安全生产许可的除外）</w:t>
            </w:r>
          </w:p>
        </w:tc>
      </w:tr>
      <w:tr w14:paraId="73183C4B">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75322BAC">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084F7114">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BF029C3">
            <w:pPr>
              <w:spacing w:line="360" w:lineRule="auto"/>
              <w:jc w:val="center"/>
              <w:rPr>
                <w:rFonts w:ascii="宋体" w:hAnsi="宋体"/>
              </w:rPr>
            </w:pPr>
            <w:r>
              <w:rPr>
                <w:rFonts w:ascii="宋体" w:hAnsi="宋体" w:hint="eastAsia"/>
              </w:rPr>
              <w:t>资质等级</w:t>
            </w:r>
          </w:p>
        </w:tc>
        <w:tc>
          <w:tcPr>
            <w:tcW w:w="5241" w:type="dxa"/>
            <w:tcBorders>
              <w:top w:val="single" w:sz="2" w:space="0" w:color="auto"/>
              <w:left w:val="single" w:sz="2" w:space="0" w:color="auto"/>
              <w:bottom w:val="single" w:sz="2" w:space="0" w:color="auto"/>
              <w:right w:val="single" w:sz="2" w:space="0" w:color="auto"/>
            </w:tcBorders>
            <w:vAlign w:val="center"/>
          </w:tcPr>
          <w:p w14:paraId="01A37AA6">
            <w:pPr>
              <w:spacing w:line="360" w:lineRule="auto"/>
              <w:rPr>
                <w:rFonts w:ascii="宋体" w:hAnsi="宋体"/>
                <w:lang w:eastAsia="zh-CN"/>
              </w:rPr>
            </w:pPr>
            <w:r>
              <w:rPr>
                <w:rFonts w:ascii="宋体" w:hAnsi="宋体" w:hint="eastAsia"/>
                <w:lang w:eastAsia="zh-CN"/>
              </w:rPr>
              <w:t>符合第二章“投标人须知”第 1.4.1  项规定</w:t>
            </w:r>
          </w:p>
        </w:tc>
      </w:tr>
      <w:tr w14:paraId="541D9BE2">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4C42F919">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5A5779B0">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5DEE19EE">
            <w:pPr>
              <w:spacing w:line="360" w:lineRule="auto"/>
              <w:jc w:val="center"/>
              <w:rPr>
                <w:rFonts w:ascii="宋体" w:hAnsi="宋体"/>
              </w:rPr>
            </w:pPr>
            <w:r>
              <w:rPr>
                <w:rFonts w:ascii="宋体" w:hAnsi="宋体" w:hint="eastAsia"/>
              </w:rPr>
              <w:t>财务状况</w:t>
            </w:r>
          </w:p>
        </w:tc>
        <w:tc>
          <w:tcPr>
            <w:tcW w:w="5241" w:type="dxa"/>
            <w:tcBorders>
              <w:top w:val="single" w:sz="2" w:space="0" w:color="auto"/>
              <w:left w:val="single" w:sz="2" w:space="0" w:color="auto"/>
              <w:bottom w:val="single" w:sz="2" w:space="0" w:color="auto"/>
              <w:right w:val="single" w:sz="2" w:space="0" w:color="auto"/>
            </w:tcBorders>
            <w:vAlign w:val="center"/>
          </w:tcPr>
          <w:p w14:paraId="6822EC51">
            <w:pPr>
              <w:spacing w:line="360" w:lineRule="auto"/>
              <w:rPr>
                <w:rFonts w:ascii="宋体" w:hAnsi="宋体"/>
                <w:lang w:eastAsia="zh-CN"/>
              </w:rPr>
            </w:pPr>
            <w:r>
              <w:rPr>
                <w:rFonts w:ascii="宋体" w:hAnsi="宋体" w:hint="eastAsia"/>
                <w:lang w:eastAsia="zh-CN"/>
              </w:rPr>
              <w:t>符合第二章“投标人须知”第 1.4.1  项规定</w:t>
            </w:r>
          </w:p>
        </w:tc>
      </w:tr>
      <w:tr w14:paraId="08CE30A5">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07A5B8C3">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54538CB6">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1130D605">
            <w:pPr>
              <w:spacing w:line="360" w:lineRule="auto"/>
              <w:jc w:val="center"/>
              <w:rPr>
                <w:rFonts w:ascii="宋体" w:hAnsi="宋体"/>
              </w:rPr>
            </w:pPr>
            <w:r>
              <w:rPr>
                <w:rFonts w:ascii="宋体" w:hAnsi="宋体" w:hint="eastAsia"/>
              </w:rPr>
              <w:t>类似项目业绩</w:t>
            </w:r>
          </w:p>
        </w:tc>
        <w:tc>
          <w:tcPr>
            <w:tcW w:w="5241" w:type="dxa"/>
            <w:tcBorders>
              <w:top w:val="single" w:sz="2" w:space="0" w:color="auto"/>
              <w:left w:val="single" w:sz="2" w:space="0" w:color="auto"/>
              <w:bottom w:val="single" w:sz="2" w:space="0" w:color="auto"/>
              <w:right w:val="single" w:sz="2" w:space="0" w:color="auto"/>
            </w:tcBorders>
            <w:vAlign w:val="center"/>
          </w:tcPr>
          <w:p w14:paraId="6943A6D2">
            <w:pPr>
              <w:spacing w:line="360" w:lineRule="auto"/>
              <w:rPr>
                <w:rFonts w:ascii="宋体" w:hAnsi="宋体"/>
                <w:lang w:eastAsia="zh-CN"/>
              </w:rPr>
            </w:pPr>
            <w:r>
              <w:rPr>
                <w:rFonts w:ascii="宋体" w:hAnsi="宋体" w:hint="eastAsia"/>
                <w:lang w:eastAsia="zh-CN"/>
              </w:rPr>
              <w:t>符合第二章“投标人须知”第 1.4.1  项规定</w:t>
            </w:r>
          </w:p>
        </w:tc>
      </w:tr>
      <w:tr w14:paraId="67B275BD">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3705665A">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57C1B018">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2464D488">
            <w:pPr>
              <w:spacing w:line="360" w:lineRule="auto"/>
              <w:jc w:val="center"/>
              <w:rPr>
                <w:rFonts w:ascii="宋体" w:hAnsi="宋体"/>
              </w:rPr>
            </w:pPr>
            <w:r>
              <w:rPr>
                <w:rFonts w:ascii="宋体" w:hAnsi="宋体" w:hint="eastAsia"/>
              </w:rPr>
              <w:t>信誉</w:t>
            </w:r>
          </w:p>
        </w:tc>
        <w:tc>
          <w:tcPr>
            <w:tcW w:w="5241" w:type="dxa"/>
            <w:tcBorders>
              <w:top w:val="single" w:sz="2" w:space="0" w:color="auto"/>
              <w:left w:val="single" w:sz="2" w:space="0" w:color="auto"/>
              <w:bottom w:val="single" w:sz="2" w:space="0" w:color="auto"/>
              <w:right w:val="single" w:sz="2" w:space="0" w:color="auto"/>
            </w:tcBorders>
            <w:vAlign w:val="center"/>
          </w:tcPr>
          <w:p w14:paraId="13ECED5D">
            <w:pPr>
              <w:spacing w:line="360" w:lineRule="auto"/>
              <w:rPr>
                <w:rFonts w:ascii="宋体" w:hAnsi="宋体"/>
                <w:lang w:eastAsia="zh-CN"/>
              </w:rPr>
            </w:pPr>
            <w:r>
              <w:rPr>
                <w:rFonts w:ascii="宋体" w:hAnsi="宋体" w:hint="eastAsia"/>
                <w:lang w:eastAsia="zh-CN"/>
              </w:rPr>
              <w:t>符合第二章“投标人须知”第 1.4.1  项规定</w:t>
            </w:r>
          </w:p>
        </w:tc>
      </w:tr>
      <w:tr w14:paraId="387A1111">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488DBE8C">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591E080B">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41E69714">
            <w:pPr>
              <w:spacing w:line="360" w:lineRule="auto"/>
              <w:jc w:val="center"/>
              <w:rPr>
                <w:rFonts w:ascii="宋体" w:hAnsi="宋体"/>
              </w:rPr>
            </w:pPr>
            <w:r>
              <w:rPr>
                <w:rFonts w:ascii="宋体" w:hAnsi="宋体" w:hint="eastAsia"/>
              </w:rPr>
              <w:t>项目经理</w:t>
            </w:r>
          </w:p>
        </w:tc>
        <w:tc>
          <w:tcPr>
            <w:tcW w:w="5241" w:type="dxa"/>
            <w:tcBorders>
              <w:top w:val="single" w:sz="2" w:space="0" w:color="auto"/>
              <w:left w:val="single" w:sz="2" w:space="0" w:color="auto"/>
              <w:bottom w:val="single" w:sz="2" w:space="0" w:color="auto"/>
              <w:right w:val="single" w:sz="2" w:space="0" w:color="auto"/>
            </w:tcBorders>
            <w:vAlign w:val="center"/>
          </w:tcPr>
          <w:p w14:paraId="0F12300C">
            <w:pPr>
              <w:spacing w:line="360" w:lineRule="auto"/>
              <w:rPr>
                <w:rFonts w:ascii="宋体" w:hAnsi="宋体"/>
                <w:lang w:eastAsia="zh-CN"/>
              </w:rPr>
            </w:pPr>
            <w:r>
              <w:rPr>
                <w:rFonts w:ascii="宋体" w:hAnsi="宋体" w:hint="eastAsia"/>
                <w:lang w:eastAsia="zh-CN"/>
              </w:rPr>
              <w:t>符合第二章“投标人须知”第 1.4.1  项规定</w:t>
            </w:r>
          </w:p>
        </w:tc>
      </w:tr>
      <w:tr w14:paraId="0EC19656">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275B5E7C">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0240D538">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3B0C360F">
            <w:pPr>
              <w:spacing w:line="360" w:lineRule="auto"/>
              <w:jc w:val="center"/>
              <w:rPr>
                <w:rFonts w:ascii="宋体" w:hAnsi="宋体"/>
              </w:rPr>
            </w:pPr>
            <w:r>
              <w:rPr>
                <w:rFonts w:ascii="宋体" w:hAnsi="宋体" w:hint="eastAsia"/>
              </w:rPr>
              <w:t>技术负责人</w:t>
            </w:r>
          </w:p>
        </w:tc>
        <w:tc>
          <w:tcPr>
            <w:tcW w:w="5241" w:type="dxa"/>
            <w:tcBorders>
              <w:top w:val="single" w:sz="2" w:space="0" w:color="auto"/>
              <w:left w:val="single" w:sz="2" w:space="0" w:color="auto"/>
              <w:bottom w:val="single" w:sz="2" w:space="0" w:color="auto"/>
              <w:right w:val="single" w:sz="2" w:space="0" w:color="auto"/>
            </w:tcBorders>
            <w:vAlign w:val="center"/>
          </w:tcPr>
          <w:p w14:paraId="2357C228">
            <w:pPr>
              <w:spacing w:line="360" w:lineRule="auto"/>
              <w:rPr>
                <w:rFonts w:ascii="宋体" w:hAnsi="宋体"/>
                <w:lang w:eastAsia="zh-CN"/>
              </w:rPr>
            </w:pPr>
            <w:r>
              <w:rPr>
                <w:rFonts w:ascii="宋体" w:hAnsi="宋体" w:hint="eastAsia"/>
                <w:lang w:eastAsia="zh-CN"/>
              </w:rPr>
              <w:t>符合第二章“投标人须知”第 1.4.1  项规定</w:t>
            </w:r>
          </w:p>
        </w:tc>
      </w:tr>
      <w:tr w14:paraId="5BD36103">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322F64E5">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2A9F227E">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35CA7046">
            <w:pPr>
              <w:spacing w:line="360" w:lineRule="auto"/>
              <w:jc w:val="center"/>
              <w:rPr>
                <w:rFonts w:ascii="宋体" w:hAnsi="宋体"/>
              </w:rPr>
            </w:pPr>
            <w:r>
              <w:rPr>
                <w:rFonts w:ascii="宋体" w:hAnsi="宋体" w:hint="eastAsia"/>
              </w:rPr>
              <w:t>其他要求</w:t>
            </w:r>
          </w:p>
        </w:tc>
        <w:tc>
          <w:tcPr>
            <w:tcW w:w="5241" w:type="dxa"/>
            <w:tcBorders>
              <w:top w:val="single" w:sz="2" w:space="0" w:color="auto"/>
              <w:left w:val="single" w:sz="2" w:space="0" w:color="auto"/>
              <w:bottom w:val="single" w:sz="2" w:space="0" w:color="auto"/>
              <w:right w:val="single" w:sz="2" w:space="0" w:color="auto"/>
            </w:tcBorders>
            <w:vAlign w:val="center"/>
          </w:tcPr>
          <w:p w14:paraId="0506AE95">
            <w:pPr>
              <w:spacing w:line="360" w:lineRule="auto"/>
              <w:rPr>
                <w:rFonts w:ascii="宋体" w:hAnsi="宋体"/>
                <w:lang w:eastAsia="zh-CN"/>
              </w:rPr>
            </w:pPr>
            <w:r>
              <w:rPr>
                <w:rFonts w:ascii="宋体" w:hAnsi="宋体" w:hint="eastAsia"/>
                <w:lang w:eastAsia="zh-CN"/>
              </w:rPr>
              <w:t>符合第二章“投标人须知”第 1.4.1  项规定</w:t>
            </w:r>
          </w:p>
        </w:tc>
      </w:tr>
      <w:tr w14:paraId="43E7576F">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14306507">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6B4419DB">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62422D0A">
            <w:pPr>
              <w:spacing w:line="360" w:lineRule="auto"/>
              <w:jc w:val="center"/>
              <w:rPr>
                <w:rFonts w:ascii="宋体" w:hAnsi="宋体"/>
              </w:rPr>
            </w:pPr>
            <w:r>
              <w:rPr>
                <w:rFonts w:ascii="宋体" w:hAnsi="宋体" w:hint="eastAsia"/>
              </w:rPr>
              <w:t>联合体投标人</w:t>
            </w:r>
          </w:p>
        </w:tc>
        <w:tc>
          <w:tcPr>
            <w:tcW w:w="5241" w:type="dxa"/>
            <w:tcBorders>
              <w:top w:val="single" w:sz="2" w:space="0" w:color="auto"/>
              <w:left w:val="single" w:sz="2" w:space="0" w:color="auto"/>
              <w:bottom w:val="single" w:sz="2" w:space="0" w:color="auto"/>
              <w:right w:val="single" w:sz="2" w:space="0" w:color="auto"/>
            </w:tcBorders>
            <w:vAlign w:val="center"/>
          </w:tcPr>
          <w:p w14:paraId="07464F37">
            <w:pPr>
              <w:spacing w:line="360" w:lineRule="auto"/>
              <w:rPr>
                <w:rFonts w:ascii="宋体" w:hAnsi="宋体"/>
                <w:lang w:eastAsia="zh-CN"/>
              </w:rPr>
            </w:pPr>
            <w:r>
              <w:rPr>
                <w:rFonts w:ascii="宋体" w:hAnsi="宋体" w:hint="eastAsia"/>
                <w:lang w:eastAsia="zh-CN"/>
              </w:rPr>
              <w:t>符合第二章“投标人须知”第 1.4.2  项规定（如有）</w:t>
            </w:r>
          </w:p>
        </w:tc>
      </w:tr>
      <w:tr w14:paraId="7A06C85F">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5A1233C9">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7070D450">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61CB396">
            <w:pPr>
              <w:spacing w:line="360" w:lineRule="auto"/>
              <w:jc w:val="center"/>
              <w:rPr>
                <w:rFonts w:ascii="宋体" w:hAnsi="宋体"/>
              </w:rPr>
            </w:pPr>
            <w:r>
              <w:rPr>
                <w:rFonts w:ascii="宋体" w:hAnsi="宋体" w:hint="eastAsia"/>
              </w:rPr>
              <w:t>投标要求</w:t>
            </w:r>
          </w:p>
        </w:tc>
        <w:tc>
          <w:tcPr>
            <w:tcW w:w="5241" w:type="dxa"/>
            <w:tcBorders>
              <w:top w:val="single" w:sz="2" w:space="0" w:color="auto"/>
              <w:left w:val="single" w:sz="2" w:space="0" w:color="auto"/>
              <w:bottom w:val="single" w:sz="2" w:space="0" w:color="auto"/>
              <w:right w:val="single" w:sz="2" w:space="0" w:color="auto"/>
            </w:tcBorders>
            <w:vAlign w:val="center"/>
          </w:tcPr>
          <w:p w14:paraId="21FC502C">
            <w:pPr>
              <w:spacing w:line="360" w:lineRule="auto"/>
              <w:rPr>
                <w:rFonts w:ascii="宋体" w:hAnsi="宋体"/>
                <w:lang w:eastAsia="zh-CN"/>
              </w:rPr>
            </w:pPr>
            <w:r>
              <w:rPr>
                <w:rFonts w:ascii="宋体" w:hAnsi="宋体" w:hint="eastAsia"/>
                <w:lang w:eastAsia="zh-CN"/>
              </w:rPr>
              <w:t>不存在本章第 3.1.2 项任何一种情形</w:t>
            </w:r>
          </w:p>
        </w:tc>
      </w:tr>
      <w:tr w14:paraId="75F4C487">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1BCA1CAD">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5743936B">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7CEB1BB1">
            <w:pPr>
              <w:spacing w:line="360" w:lineRule="auto"/>
              <w:jc w:val="center"/>
              <w:rPr>
                <w:rFonts w:ascii="宋体" w:hAnsi="宋体"/>
              </w:rPr>
            </w:pPr>
            <w:r>
              <w:rPr>
                <w:rFonts w:ascii="宋体" w:hAnsi="宋体" w:hint="eastAsia"/>
              </w:rPr>
              <w:t>……</w:t>
            </w:r>
          </w:p>
        </w:tc>
        <w:tc>
          <w:tcPr>
            <w:tcW w:w="5241" w:type="dxa"/>
            <w:tcBorders>
              <w:top w:val="single" w:sz="2" w:space="0" w:color="auto"/>
              <w:left w:val="single" w:sz="2" w:space="0" w:color="auto"/>
              <w:bottom w:val="single" w:sz="2" w:space="0" w:color="auto"/>
              <w:right w:val="single" w:sz="2" w:space="0" w:color="auto"/>
            </w:tcBorders>
            <w:vAlign w:val="center"/>
          </w:tcPr>
          <w:p w14:paraId="6B8EF066">
            <w:pPr>
              <w:spacing w:line="360" w:lineRule="auto"/>
              <w:jc w:val="center"/>
              <w:rPr>
                <w:rFonts w:ascii="宋体" w:hAnsi="宋体"/>
              </w:rPr>
            </w:pPr>
            <w:r>
              <w:rPr>
                <w:rFonts w:ascii="宋体" w:hAnsi="宋体" w:hint="eastAsia"/>
              </w:rPr>
              <w:t>……</w:t>
            </w:r>
          </w:p>
        </w:tc>
      </w:tr>
      <w:tr w14:paraId="366EF95A">
        <w:tblPrEx>
          <w:tblW w:w="9210" w:type="dxa"/>
          <w:jc w:val="center"/>
          <w:tblLayout w:type="fixed"/>
          <w:tblCellMar>
            <w:top w:w="0" w:type="dxa"/>
            <w:left w:w="108" w:type="dxa"/>
            <w:bottom w:w="0" w:type="dxa"/>
            <w:right w:w="108" w:type="dxa"/>
          </w:tblCellMar>
        </w:tblPrEx>
        <w:trPr>
          <w:trHeight w:val="476"/>
          <w:jc w:val="center"/>
        </w:trPr>
        <w:tc>
          <w:tcPr>
            <w:tcW w:w="1276" w:type="dxa"/>
            <w:vMerge w:val="restart"/>
            <w:tcBorders>
              <w:top w:val="single" w:sz="2" w:space="0" w:color="auto"/>
              <w:left w:val="single" w:sz="2" w:space="0" w:color="auto"/>
              <w:bottom w:val="single" w:sz="2" w:space="0" w:color="auto"/>
              <w:right w:val="single" w:sz="2" w:space="0" w:color="auto"/>
            </w:tcBorders>
            <w:vAlign w:val="center"/>
          </w:tcPr>
          <w:p w14:paraId="30E77BDE">
            <w:pPr>
              <w:spacing w:line="360" w:lineRule="auto"/>
              <w:rPr>
                <w:rFonts w:ascii="宋体" w:hAnsi="宋体"/>
              </w:rPr>
            </w:pPr>
            <w:r>
              <w:rPr>
                <w:rFonts w:ascii="宋体" w:hAnsi="宋体" w:hint="eastAsia"/>
              </w:rPr>
              <w:t>2.1.3</w:t>
            </w:r>
          </w:p>
        </w:tc>
        <w:tc>
          <w:tcPr>
            <w:tcW w:w="851" w:type="dxa"/>
            <w:vMerge w:val="restart"/>
            <w:tcBorders>
              <w:top w:val="single" w:sz="2" w:space="0" w:color="auto"/>
              <w:left w:val="single" w:sz="2" w:space="0" w:color="auto"/>
              <w:bottom w:val="single" w:sz="2" w:space="0" w:color="auto"/>
              <w:right w:val="single" w:sz="2" w:space="0" w:color="auto"/>
            </w:tcBorders>
            <w:vAlign w:val="center"/>
          </w:tcPr>
          <w:p w14:paraId="473BF466">
            <w:pPr>
              <w:spacing w:line="360" w:lineRule="auto"/>
              <w:jc w:val="center"/>
              <w:rPr>
                <w:rFonts w:ascii="宋体" w:hAnsi="宋体"/>
              </w:rPr>
            </w:pPr>
            <w:r>
              <w:rPr>
                <w:rFonts w:ascii="宋体" w:hAnsi="宋体" w:hint="eastAsia"/>
              </w:rPr>
              <w:t>响应性评审标准</w:t>
            </w:r>
          </w:p>
        </w:tc>
        <w:tc>
          <w:tcPr>
            <w:tcW w:w="1842" w:type="dxa"/>
            <w:tcBorders>
              <w:top w:val="single" w:sz="2" w:space="0" w:color="auto"/>
              <w:left w:val="single" w:sz="2" w:space="0" w:color="auto"/>
              <w:bottom w:val="single" w:sz="2" w:space="0" w:color="auto"/>
              <w:right w:val="single" w:sz="2" w:space="0" w:color="auto"/>
            </w:tcBorders>
            <w:vAlign w:val="center"/>
          </w:tcPr>
          <w:p w14:paraId="08ECBF0D">
            <w:pPr>
              <w:spacing w:line="360" w:lineRule="auto"/>
              <w:jc w:val="center"/>
              <w:rPr>
                <w:rFonts w:ascii="宋体" w:hAnsi="宋体"/>
              </w:rPr>
            </w:pPr>
            <w:r>
              <w:rPr>
                <w:rFonts w:ascii="宋体" w:hAnsi="宋体" w:hint="eastAsia"/>
              </w:rPr>
              <w:t>投标内容</w:t>
            </w:r>
          </w:p>
        </w:tc>
        <w:tc>
          <w:tcPr>
            <w:tcW w:w="5241" w:type="dxa"/>
            <w:tcBorders>
              <w:top w:val="single" w:sz="2" w:space="0" w:color="auto"/>
              <w:left w:val="single" w:sz="2" w:space="0" w:color="auto"/>
              <w:bottom w:val="single" w:sz="2" w:space="0" w:color="auto"/>
              <w:right w:val="single" w:sz="2" w:space="0" w:color="auto"/>
            </w:tcBorders>
            <w:vAlign w:val="center"/>
          </w:tcPr>
          <w:p w14:paraId="06347BB5">
            <w:pPr>
              <w:spacing w:line="360" w:lineRule="auto"/>
              <w:rPr>
                <w:rFonts w:ascii="宋体" w:hAnsi="宋体"/>
                <w:lang w:eastAsia="zh-CN"/>
              </w:rPr>
            </w:pPr>
            <w:r>
              <w:rPr>
                <w:rFonts w:ascii="宋体" w:hAnsi="宋体" w:hint="eastAsia"/>
                <w:lang w:eastAsia="zh-CN"/>
              </w:rPr>
              <w:t>符合第二章“投标人须知”第 1.3.1  项规定</w:t>
            </w:r>
          </w:p>
        </w:tc>
      </w:tr>
      <w:tr w14:paraId="01C87ABD">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3F862DFC">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7714697F">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B8F0640">
            <w:pPr>
              <w:spacing w:line="360" w:lineRule="auto"/>
              <w:jc w:val="center"/>
              <w:rPr>
                <w:rFonts w:ascii="宋体" w:hAnsi="宋体"/>
              </w:rPr>
            </w:pPr>
            <w:r>
              <w:rPr>
                <w:rFonts w:ascii="宋体" w:hAnsi="宋体" w:hint="eastAsia"/>
              </w:rPr>
              <w:t>工期</w:t>
            </w:r>
          </w:p>
        </w:tc>
        <w:tc>
          <w:tcPr>
            <w:tcW w:w="5241" w:type="dxa"/>
            <w:tcBorders>
              <w:top w:val="single" w:sz="2" w:space="0" w:color="auto"/>
              <w:left w:val="single" w:sz="2" w:space="0" w:color="auto"/>
              <w:bottom w:val="single" w:sz="2" w:space="0" w:color="auto"/>
              <w:right w:val="single" w:sz="2" w:space="0" w:color="auto"/>
            </w:tcBorders>
            <w:vAlign w:val="center"/>
          </w:tcPr>
          <w:p w14:paraId="3D5D810B">
            <w:pPr>
              <w:spacing w:line="360" w:lineRule="auto"/>
              <w:rPr>
                <w:rFonts w:ascii="宋体" w:hAnsi="宋体"/>
                <w:lang w:eastAsia="zh-CN"/>
              </w:rPr>
            </w:pPr>
            <w:r>
              <w:rPr>
                <w:rFonts w:ascii="宋体" w:hAnsi="宋体" w:hint="eastAsia"/>
                <w:lang w:eastAsia="zh-CN"/>
              </w:rPr>
              <w:t>符合第二章“投标人须知”第 1.3.2  项规定</w:t>
            </w:r>
          </w:p>
        </w:tc>
      </w:tr>
      <w:tr w14:paraId="694EA1F5">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08668A78">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28D4A24C">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7BDFE8D6">
            <w:pPr>
              <w:spacing w:line="360" w:lineRule="auto"/>
              <w:jc w:val="center"/>
              <w:rPr>
                <w:rFonts w:ascii="宋体" w:hAnsi="宋体"/>
              </w:rPr>
            </w:pPr>
            <w:r>
              <w:rPr>
                <w:rFonts w:ascii="宋体" w:hAnsi="宋体" w:hint="eastAsia"/>
              </w:rPr>
              <w:t>工程质量</w:t>
            </w:r>
          </w:p>
        </w:tc>
        <w:tc>
          <w:tcPr>
            <w:tcW w:w="5241" w:type="dxa"/>
            <w:tcBorders>
              <w:top w:val="single" w:sz="2" w:space="0" w:color="auto"/>
              <w:left w:val="single" w:sz="2" w:space="0" w:color="auto"/>
              <w:bottom w:val="single" w:sz="2" w:space="0" w:color="auto"/>
              <w:right w:val="single" w:sz="2" w:space="0" w:color="auto"/>
            </w:tcBorders>
            <w:vAlign w:val="center"/>
          </w:tcPr>
          <w:p w14:paraId="2CDBB775">
            <w:pPr>
              <w:spacing w:line="360" w:lineRule="auto"/>
              <w:rPr>
                <w:rFonts w:ascii="宋体" w:hAnsi="宋体"/>
                <w:lang w:eastAsia="zh-CN"/>
              </w:rPr>
            </w:pPr>
            <w:r>
              <w:rPr>
                <w:rFonts w:ascii="宋体" w:hAnsi="宋体" w:hint="eastAsia"/>
                <w:lang w:eastAsia="zh-CN"/>
              </w:rPr>
              <w:t>符合第二章“投标人须知”第 1.3.3  项规定</w:t>
            </w:r>
          </w:p>
        </w:tc>
      </w:tr>
      <w:tr w14:paraId="696DDA3D">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5C11DFB6">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4018A4C6">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222D011">
            <w:pPr>
              <w:spacing w:line="360" w:lineRule="auto"/>
              <w:jc w:val="center"/>
              <w:rPr>
                <w:rFonts w:ascii="宋体" w:hAnsi="宋体"/>
              </w:rPr>
            </w:pPr>
            <w:r>
              <w:rPr>
                <w:rFonts w:ascii="宋体" w:hAnsi="宋体" w:hint="eastAsia"/>
              </w:rPr>
              <w:t>投标有效期</w:t>
            </w:r>
          </w:p>
        </w:tc>
        <w:tc>
          <w:tcPr>
            <w:tcW w:w="5241" w:type="dxa"/>
            <w:tcBorders>
              <w:top w:val="single" w:sz="2" w:space="0" w:color="auto"/>
              <w:left w:val="single" w:sz="2" w:space="0" w:color="auto"/>
              <w:bottom w:val="single" w:sz="2" w:space="0" w:color="auto"/>
              <w:right w:val="single" w:sz="2" w:space="0" w:color="auto"/>
            </w:tcBorders>
            <w:vAlign w:val="center"/>
          </w:tcPr>
          <w:p w14:paraId="489CA262">
            <w:pPr>
              <w:spacing w:line="360" w:lineRule="auto"/>
              <w:rPr>
                <w:rFonts w:ascii="宋体" w:hAnsi="宋体"/>
                <w:lang w:eastAsia="zh-CN"/>
              </w:rPr>
            </w:pPr>
            <w:r>
              <w:rPr>
                <w:rFonts w:ascii="宋体" w:hAnsi="宋体" w:hint="eastAsia"/>
                <w:lang w:eastAsia="zh-CN"/>
              </w:rPr>
              <w:t>符合第二章“投标人须知”第 3.3.1  项规定</w:t>
            </w:r>
          </w:p>
        </w:tc>
      </w:tr>
      <w:tr w14:paraId="020B5DC9">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387F66EF">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5B28848E">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BFEC388">
            <w:pPr>
              <w:spacing w:line="360" w:lineRule="auto"/>
              <w:jc w:val="center"/>
              <w:rPr>
                <w:rFonts w:ascii="宋体" w:hAnsi="宋体"/>
              </w:rPr>
            </w:pPr>
            <w:r>
              <w:rPr>
                <w:rFonts w:ascii="宋体" w:hAnsi="宋体" w:hint="eastAsia"/>
              </w:rPr>
              <w:t>投标保证金</w:t>
            </w:r>
          </w:p>
        </w:tc>
        <w:tc>
          <w:tcPr>
            <w:tcW w:w="5241" w:type="dxa"/>
            <w:tcBorders>
              <w:top w:val="single" w:sz="2" w:space="0" w:color="auto"/>
              <w:left w:val="single" w:sz="2" w:space="0" w:color="auto"/>
              <w:bottom w:val="single" w:sz="2" w:space="0" w:color="auto"/>
              <w:right w:val="single" w:sz="2" w:space="0" w:color="auto"/>
            </w:tcBorders>
            <w:vAlign w:val="center"/>
          </w:tcPr>
          <w:p w14:paraId="77F29A74">
            <w:pPr>
              <w:spacing w:line="360" w:lineRule="auto"/>
              <w:rPr>
                <w:rFonts w:ascii="宋体" w:hAnsi="宋体"/>
                <w:lang w:eastAsia="zh-CN"/>
              </w:rPr>
            </w:pPr>
            <w:r>
              <w:rPr>
                <w:rFonts w:ascii="宋体" w:hAnsi="宋体" w:hint="eastAsia"/>
                <w:lang w:eastAsia="zh-CN"/>
              </w:rPr>
              <w:t>符合第二章“投标人须知”第 3.4.1  项规定</w:t>
            </w:r>
          </w:p>
        </w:tc>
      </w:tr>
      <w:tr w14:paraId="20A02B84">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32957758">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20E10C43">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734A22B4">
            <w:pPr>
              <w:spacing w:line="360" w:lineRule="auto"/>
              <w:jc w:val="center"/>
              <w:rPr>
                <w:rFonts w:ascii="宋体" w:hAnsi="宋体"/>
              </w:rPr>
            </w:pPr>
            <w:r>
              <w:rPr>
                <w:rFonts w:ascii="宋体" w:hAnsi="宋体" w:hint="eastAsia"/>
              </w:rPr>
              <w:t>权利义务</w:t>
            </w:r>
          </w:p>
        </w:tc>
        <w:tc>
          <w:tcPr>
            <w:tcW w:w="5241" w:type="dxa"/>
            <w:tcBorders>
              <w:top w:val="single" w:sz="2" w:space="0" w:color="auto"/>
              <w:left w:val="single" w:sz="2" w:space="0" w:color="auto"/>
              <w:bottom w:val="single" w:sz="2" w:space="0" w:color="auto"/>
              <w:right w:val="single" w:sz="2" w:space="0" w:color="auto"/>
            </w:tcBorders>
            <w:vAlign w:val="center"/>
          </w:tcPr>
          <w:p w14:paraId="7A488E7F">
            <w:pPr>
              <w:spacing w:line="360" w:lineRule="auto"/>
              <w:rPr>
                <w:rFonts w:ascii="宋体" w:hAnsi="宋体"/>
                <w:lang w:eastAsia="zh-CN"/>
              </w:rPr>
            </w:pPr>
            <w:r>
              <w:rPr>
                <w:rFonts w:ascii="宋体" w:hAnsi="宋体" w:hint="eastAsia"/>
                <w:lang w:eastAsia="zh-CN"/>
              </w:rPr>
              <w:t>符合第四章“合同条款及格式”规定</w:t>
            </w:r>
          </w:p>
        </w:tc>
      </w:tr>
      <w:tr w14:paraId="3436425E">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7454FC87">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658FA962">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C71A154">
            <w:pPr>
              <w:spacing w:line="360" w:lineRule="auto"/>
              <w:jc w:val="center"/>
              <w:rPr>
                <w:rFonts w:ascii="宋体" w:hAnsi="宋体"/>
              </w:rPr>
            </w:pPr>
            <w:r>
              <w:rPr>
                <w:rFonts w:ascii="宋体" w:hAnsi="宋体" w:hint="eastAsia"/>
              </w:rPr>
              <w:t>已标价</w:t>
            </w:r>
          </w:p>
          <w:p w14:paraId="27C7BE88">
            <w:pPr>
              <w:spacing w:line="360" w:lineRule="auto"/>
              <w:jc w:val="center"/>
              <w:rPr>
                <w:rFonts w:ascii="宋体" w:hAnsi="宋体"/>
              </w:rPr>
            </w:pPr>
            <w:r>
              <w:rPr>
                <w:rFonts w:ascii="宋体" w:hAnsi="宋体" w:hint="eastAsia"/>
              </w:rPr>
              <w:t>工程量清单</w:t>
            </w:r>
          </w:p>
        </w:tc>
        <w:tc>
          <w:tcPr>
            <w:tcW w:w="5241" w:type="dxa"/>
            <w:tcBorders>
              <w:top w:val="single" w:sz="2" w:space="0" w:color="auto"/>
              <w:left w:val="single" w:sz="2" w:space="0" w:color="auto"/>
              <w:bottom w:val="single" w:sz="2" w:space="0" w:color="auto"/>
              <w:right w:val="single" w:sz="2" w:space="0" w:color="auto"/>
            </w:tcBorders>
            <w:vAlign w:val="center"/>
          </w:tcPr>
          <w:p w14:paraId="14EDF47D">
            <w:pPr>
              <w:spacing w:line="360" w:lineRule="auto"/>
              <w:rPr>
                <w:rFonts w:ascii="宋体" w:hAnsi="宋体"/>
                <w:lang w:eastAsia="zh-CN"/>
              </w:rPr>
            </w:pPr>
            <w:r>
              <w:rPr>
                <w:rFonts w:ascii="宋体" w:hAnsi="宋体" w:hint="eastAsia"/>
                <w:lang w:eastAsia="zh-CN"/>
              </w:rPr>
              <w:t>符合第五章“工程量清单”给出的范围及数量以及“说明”中对投标人的要求</w:t>
            </w:r>
          </w:p>
        </w:tc>
      </w:tr>
      <w:tr w14:paraId="5788163B">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7525A109">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0FEBF6E8">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3868D2D1">
            <w:pPr>
              <w:spacing w:line="360" w:lineRule="auto"/>
              <w:jc w:val="center"/>
              <w:rPr>
                <w:rFonts w:ascii="宋体" w:hAnsi="宋体"/>
              </w:rPr>
            </w:pPr>
            <w:r>
              <w:rPr>
                <w:rFonts w:ascii="宋体" w:hAnsi="宋体" w:hint="eastAsia"/>
              </w:rPr>
              <w:t>技术标准</w:t>
            </w:r>
          </w:p>
          <w:p w14:paraId="6FF5556C">
            <w:pPr>
              <w:spacing w:line="360" w:lineRule="auto"/>
              <w:jc w:val="center"/>
              <w:rPr>
                <w:rFonts w:ascii="宋体" w:hAnsi="宋体"/>
              </w:rPr>
            </w:pPr>
            <w:r>
              <w:rPr>
                <w:rFonts w:ascii="宋体" w:hAnsi="宋体" w:hint="eastAsia"/>
              </w:rPr>
              <w:t>和要求</w:t>
            </w:r>
          </w:p>
        </w:tc>
        <w:tc>
          <w:tcPr>
            <w:tcW w:w="5241" w:type="dxa"/>
            <w:tcBorders>
              <w:top w:val="single" w:sz="2" w:space="0" w:color="auto"/>
              <w:left w:val="single" w:sz="2" w:space="0" w:color="auto"/>
              <w:bottom w:val="single" w:sz="2" w:space="0" w:color="auto"/>
              <w:right w:val="single" w:sz="2" w:space="0" w:color="auto"/>
            </w:tcBorders>
            <w:vAlign w:val="center"/>
          </w:tcPr>
          <w:p w14:paraId="11B507CD">
            <w:pPr>
              <w:spacing w:line="360" w:lineRule="auto"/>
              <w:rPr>
                <w:rFonts w:ascii="宋体" w:hAnsi="宋体"/>
                <w:lang w:eastAsia="zh-CN"/>
              </w:rPr>
            </w:pPr>
            <w:r>
              <w:rPr>
                <w:rFonts w:ascii="宋体" w:hAnsi="宋体" w:hint="eastAsia"/>
                <w:lang w:eastAsia="zh-CN"/>
              </w:rPr>
              <w:t>符合第七章“技术标准和要求”规定</w:t>
            </w:r>
          </w:p>
        </w:tc>
      </w:tr>
      <w:tr w14:paraId="5D772669">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6A994330">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2F69BE7D">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69E024B">
            <w:pPr>
              <w:spacing w:line="360" w:lineRule="auto"/>
              <w:jc w:val="center"/>
              <w:rPr>
                <w:rFonts w:ascii="宋体" w:hAnsi="宋体"/>
              </w:rPr>
            </w:pPr>
            <w:r>
              <w:rPr>
                <w:rFonts w:ascii="宋体" w:hAnsi="宋体" w:hint="eastAsia"/>
              </w:rPr>
              <w:t>分包计划</w:t>
            </w:r>
          </w:p>
        </w:tc>
        <w:tc>
          <w:tcPr>
            <w:tcW w:w="5241" w:type="dxa"/>
            <w:tcBorders>
              <w:top w:val="single" w:sz="2" w:space="0" w:color="auto"/>
              <w:left w:val="single" w:sz="2" w:space="0" w:color="auto"/>
              <w:bottom w:val="single" w:sz="2" w:space="0" w:color="auto"/>
              <w:right w:val="single" w:sz="2" w:space="0" w:color="auto"/>
            </w:tcBorders>
            <w:vAlign w:val="center"/>
          </w:tcPr>
          <w:p w14:paraId="3674911B">
            <w:pPr>
              <w:spacing w:line="360" w:lineRule="auto"/>
              <w:rPr>
                <w:rFonts w:ascii="宋体" w:hAnsi="宋体"/>
                <w:lang w:eastAsia="zh-CN"/>
              </w:rPr>
            </w:pPr>
            <w:r>
              <w:rPr>
                <w:rFonts w:ascii="宋体" w:hAnsi="宋体" w:hint="eastAsia"/>
                <w:lang w:eastAsia="zh-CN"/>
              </w:rPr>
              <w:t>符合第二章“投标人须知”第1.11款规定</w:t>
            </w:r>
          </w:p>
        </w:tc>
      </w:tr>
      <w:tr w14:paraId="0EA8DF9E">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55D3503B">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112C0BEB">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406BB83">
            <w:pPr>
              <w:spacing w:line="360" w:lineRule="auto"/>
              <w:jc w:val="center"/>
              <w:rPr>
                <w:rFonts w:ascii="宋体" w:hAnsi="宋体"/>
              </w:rPr>
            </w:pPr>
            <w:r>
              <w:rPr>
                <w:rFonts w:ascii="宋体" w:hAnsi="宋体" w:hint="eastAsia"/>
              </w:rPr>
              <w:t>最高限价</w:t>
            </w:r>
          </w:p>
        </w:tc>
        <w:tc>
          <w:tcPr>
            <w:tcW w:w="5241" w:type="dxa"/>
            <w:tcBorders>
              <w:top w:val="single" w:sz="2" w:space="0" w:color="auto"/>
              <w:left w:val="single" w:sz="2" w:space="0" w:color="auto"/>
              <w:bottom w:val="single" w:sz="2" w:space="0" w:color="auto"/>
              <w:right w:val="single" w:sz="2" w:space="0" w:color="auto"/>
            </w:tcBorders>
            <w:vAlign w:val="center"/>
          </w:tcPr>
          <w:p w14:paraId="2610892F">
            <w:pPr>
              <w:spacing w:line="360" w:lineRule="auto"/>
              <w:rPr>
                <w:rFonts w:ascii="宋体" w:hAnsi="宋体"/>
                <w:lang w:eastAsia="zh-CN"/>
              </w:rPr>
            </w:pPr>
            <w:r>
              <w:rPr>
                <w:rFonts w:ascii="宋体" w:hAnsi="宋体" w:hint="eastAsia"/>
                <w:lang w:eastAsia="zh-CN"/>
              </w:rPr>
              <w:t>投标报价（修正价）不得超过第二章“投标人须知”7.3.1项规定的最高限价</w:t>
            </w:r>
          </w:p>
        </w:tc>
      </w:tr>
      <w:tr w14:paraId="1D80449C">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2A7D2856">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7CFF71D4">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BEE4F0B">
            <w:pPr>
              <w:spacing w:line="360" w:lineRule="auto"/>
              <w:jc w:val="center"/>
              <w:rPr>
                <w:rFonts w:ascii="宋体" w:hAnsi="宋体"/>
              </w:rPr>
            </w:pPr>
            <w:r>
              <w:rPr>
                <w:rFonts w:ascii="宋体" w:hAnsi="宋体" w:hint="eastAsia"/>
              </w:rPr>
              <w:t>……</w:t>
            </w:r>
          </w:p>
        </w:tc>
        <w:tc>
          <w:tcPr>
            <w:tcW w:w="5241" w:type="dxa"/>
            <w:tcBorders>
              <w:top w:val="single" w:sz="2" w:space="0" w:color="auto"/>
              <w:left w:val="single" w:sz="2" w:space="0" w:color="auto"/>
              <w:bottom w:val="single" w:sz="2" w:space="0" w:color="auto"/>
              <w:right w:val="single" w:sz="2" w:space="0" w:color="auto"/>
            </w:tcBorders>
            <w:vAlign w:val="center"/>
          </w:tcPr>
          <w:p w14:paraId="256887EC">
            <w:pPr>
              <w:spacing w:line="360" w:lineRule="auto"/>
              <w:jc w:val="center"/>
              <w:rPr>
                <w:rFonts w:ascii="宋体" w:hAnsi="宋体"/>
              </w:rPr>
            </w:pPr>
            <w:r>
              <w:rPr>
                <w:rFonts w:ascii="宋体" w:hAnsi="宋体" w:hint="eastAsia"/>
              </w:rPr>
              <w:t>……</w:t>
            </w:r>
          </w:p>
        </w:tc>
      </w:tr>
      <w:tr w14:paraId="7C4A5A08">
        <w:tblPrEx>
          <w:tblW w:w="9210" w:type="dxa"/>
          <w:jc w:val="center"/>
          <w:tblLayout w:type="fixed"/>
          <w:tblCellMar>
            <w:top w:w="0" w:type="dxa"/>
            <w:left w:w="108" w:type="dxa"/>
            <w:bottom w:w="0" w:type="dxa"/>
            <w:right w:w="108" w:type="dxa"/>
          </w:tblCellMar>
        </w:tblPrEx>
        <w:trPr>
          <w:trHeight w:val="561"/>
          <w:jc w:val="center"/>
        </w:trPr>
        <w:tc>
          <w:tcPr>
            <w:tcW w:w="2127" w:type="dxa"/>
            <w:gridSpan w:val="2"/>
            <w:tcBorders>
              <w:top w:val="single" w:sz="2" w:space="0" w:color="auto"/>
              <w:left w:val="single" w:sz="2" w:space="0" w:color="auto"/>
              <w:bottom w:val="single" w:sz="2" w:space="0" w:color="auto"/>
              <w:right w:val="single" w:sz="2" w:space="0" w:color="auto"/>
            </w:tcBorders>
            <w:vAlign w:val="center"/>
          </w:tcPr>
          <w:p w14:paraId="762443C0">
            <w:pPr>
              <w:spacing w:line="360" w:lineRule="auto"/>
              <w:jc w:val="center"/>
              <w:rPr>
                <w:rFonts w:ascii="宋体" w:hAnsi="宋体"/>
                <w:b/>
              </w:rPr>
            </w:pPr>
            <w:r>
              <w:rPr>
                <w:rFonts w:ascii="宋体" w:hAnsi="宋体" w:hint="eastAsia"/>
                <w:b/>
              </w:rPr>
              <w:t>条款号</w:t>
            </w:r>
          </w:p>
        </w:tc>
        <w:tc>
          <w:tcPr>
            <w:tcW w:w="1842" w:type="dxa"/>
            <w:tcBorders>
              <w:top w:val="single" w:sz="2" w:space="0" w:color="auto"/>
              <w:left w:val="single" w:sz="2" w:space="0" w:color="auto"/>
              <w:bottom w:val="single" w:sz="2" w:space="0" w:color="auto"/>
              <w:right w:val="single" w:sz="2" w:space="0" w:color="auto"/>
            </w:tcBorders>
            <w:vAlign w:val="center"/>
          </w:tcPr>
          <w:p w14:paraId="361AA570">
            <w:pPr>
              <w:spacing w:line="360" w:lineRule="auto"/>
              <w:jc w:val="center"/>
              <w:rPr>
                <w:rFonts w:ascii="宋体" w:hAnsi="宋体"/>
                <w:b/>
              </w:rPr>
            </w:pPr>
            <w:r>
              <w:rPr>
                <w:rFonts w:ascii="宋体" w:hAnsi="宋体" w:hint="eastAsia"/>
                <w:b/>
              </w:rPr>
              <w:t>条款内容</w:t>
            </w:r>
          </w:p>
        </w:tc>
        <w:tc>
          <w:tcPr>
            <w:tcW w:w="5241" w:type="dxa"/>
            <w:tcBorders>
              <w:top w:val="single" w:sz="2" w:space="0" w:color="auto"/>
              <w:left w:val="single" w:sz="2" w:space="0" w:color="auto"/>
              <w:bottom w:val="single" w:sz="2" w:space="0" w:color="auto"/>
              <w:right w:val="single" w:sz="2" w:space="0" w:color="auto"/>
            </w:tcBorders>
            <w:vAlign w:val="center"/>
          </w:tcPr>
          <w:p w14:paraId="62C64ECE">
            <w:pPr>
              <w:spacing w:line="360" w:lineRule="auto"/>
              <w:jc w:val="center"/>
              <w:rPr>
                <w:rFonts w:ascii="宋体" w:hAnsi="宋体"/>
                <w:b/>
              </w:rPr>
            </w:pPr>
            <w:r>
              <w:rPr>
                <w:rFonts w:ascii="宋体" w:hAnsi="宋体" w:hint="eastAsia"/>
                <w:b/>
              </w:rPr>
              <w:t>编列内容</w:t>
            </w:r>
          </w:p>
        </w:tc>
      </w:tr>
      <w:tr w14:paraId="14BE16F9">
        <w:tblPrEx>
          <w:tblW w:w="9210" w:type="dxa"/>
          <w:jc w:val="center"/>
          <w:tblLayout w:type="fixed"/>
          <w:tblCellMar>
            <w:top w:w="0" w:type="dxa"/>
            <w:left w:w="108" w:type="dxa"/>
            <w:bottom w:w="0" w:type="dxa"/>
            <w:right w:w="108" w:type="dxa"/>
          </w:tblCellMar>
        </w:tblPrEx>
        <w:trPr>
          <w:trHeight w:val="476"/>
          <w:jc w:val="center"/>
        </w:trPr>
        <w:tc>
          <w:tcPr>
            <w:tcW w:w="2127" w:type="dxa"/>
            <w:gridSpan w:val="2"/>
            <w:tcBorders>
              <w:top w:val="single" w:sz="2" w:space="0" w:color="auto"/>
              <w:left w:val="single" w:sz="2" w:space="0" w:color="auto"/>
              <w:bottom w:val="single" w:sz="2" w:space="0" w:color="auto"/>
              <w:right w:val="single" w:sz="2" w:space="0" w:color="auto"/>
            </w:tcBorders>
            <w:vAlign w:val="center"/>
          </w:tcPr>
          <w:p w14:paraId="7B20475F">
            <w:pPr>
              <w:spacing w:line="360" w:lineRule="auto"/>
              <w:jc w:val="center"/>
              <w:rPr>
                <w:rFonts w:ascii="宋体" w:hAnsi="宋体"/>
              </w:rPr>
            </w:pPr>
            <w:r>
              <w:rPr>
                <w:rFonts w:ascii="宋体" w:hAnsi="宋体" w:hint="eastAsia"/>
              </w:rPr>
              <w:t>2.2.1</w:t>
            </w:r>
          </w:p>
        </w:tc>
        <w:tc>
          <w:tcPr>
            <w:tcW w:w="1842" w:type="dxa"/>
            <w:tcBorders>
              <w:top w:val="single" w:sz="2" w:space="0" w:color="auto"/>
              <w:left w:val="single" w:sz="2" w:space="0" w:color="auto"/>
              <w:bottom w:val="single" w:sz="2" w:space="0" w:color="auto"/>
              <w:right w:val="single" w:sz="2" w:space="0" w:color="auto"/>
            </w:tcBorders>
            <w:vAlign w:val="center"/>
          </w:tcPr>
          <w:p w14:paraId="69C8937D">
            <w:pPr>
              <w:spacing w:line="360" w:lineRule="auto"/>
              <w:jc w:val="center"/>
              <w:rPr>
                <w:rFonts w:ascii="宋体" w:hAnsi="宋体"/>
              </w:rPr>
            </w:pPr>
            <w:r>
              <w:rPr>
                <w:rFonts w:ascii="宋体" w:hAnsi="宋体" w:hint="eastAsia"/>
              </w:rPr>
              <w:t>分值构成</w:t>
            </w:r>
          </w:p>
          <w:p w14:paraId="15356F0D">
            <w:pPr>
              <w:spacing w:line="360" w:lineRule="auto"/>
              <w:jc w:val="center"/>
              <w:rPr>
                <w:rFonts w:ascii="宋体" w:hAnsi="宋体"/>
              </w:rPr>
            </w:pPr>
            <w:r>
              <w:rPr>
                <w:rFonts w:ascii="宋体" w:hAnsi="宋体" w:hint="eastAsia"/>
              </w:rPr>
              <w:t>(总分100分)</w:t>
            </w:r>
          </w:p>
        </w:tc>
        <w:tc>
          <w:tcPr>
            <w:tcW w:w="5241" w:type="dxa"/>
            <w:tcBorders>
              <w:top w:val="single" w:sz="2" w:space="0" w:color="auto"/>
              <w:left w:val="single" w:sz="2" w:space="0" w:color="auto"/>
              <w:bottom w:val="single" w:sz="2" w:space="0" w:color="auto"/>
              <w:right w:val="single" w:sz="2" w:space="0" w:color="auto"/>
            </w:tcBorders>
            <w:vAlign w:val="center"/>
          </w:tcPr>
          <w:p w14:paraId="607AE1BE">
            <w:pPr>
              <w:spacing w:line="360" w:lineRule="auto"/>
              <w:rPr>
                <w:rFonts w:ascii="宋体" w:hAnsi="宋体"/>
                <w:lang w:eastAsia="zh-CN"/>
              </w:rPr>
            </w:pPr>
            <w:r>
              <w:rPr>
                <w:rFonts w:ascii="宋体" w:hAnsi="宋体" w:hint="eastAsia"/>
                <w:lang w:eastAsia="zh-CN"/>
              </w:rPr>
              <w:t>施工组织设计：</w:t>
            </w:r>
            <w:r>
              <w:rPr>
                <w:rFonts w:ascii="宋体" w:hAnsi="宋体" w:hint="eastAsia"/>
                <w:color w:val="00B0F0"/>
                <w:u w:val="single"/>
                <w:lang w:eastAsia="zh-CN"/>
              </w:rPr>
              <w:t xml:space="preserve"> 34  </w:t>
            </w:r>
            <w:r>
              <w:rPr>
                <w:rFonts w:ascii="宋体" w:hAnsi="宋体" w:hint="eastAsia"/>
                <w:lang w:eastAsia="zh-CN"/>
              </w:rPr>
              <w:t>分</w:t>
            </w:r>
          </w:p>
          <w:p w14:paraId="354B6FAC">
            <w:pPr>
              <w:spacing w:line="360" w:lineRule="auto"/>
              <w:rPr>
                <w:rFonts w:ascii="宋体" w:hAnsi="宋体"/>
                <w:lang w:eastAsia="zh-CN"/>
              </w:rPr>
            </w:pPr>
            <w:r>
              <w:rPr>
                <w:rFonts w:ascii="宋体" w:hAnsi="宋体" w:hint="eastAsia"/>
                <w:lang w:eastAsia="zh-CN"/>
              </w:rPr>
              <w:t>项目管理机构：</w:t>
            </w:r>
            <w:r>
              <w:rPr>
                <w:rFonts w:ascii="宋体" w:hAnsi="宋体" w:hint="eastAsia"/>
                <w:color w:val="00B0F0"/>
                <w:u w:val="single"/>
                <w:lang w:eastAsia="zh-CN"/>
              </w:rPr>
              <w:t xml:space="preserve">   </w:t>
            </w:r>
            <w:r>
              <w:rPr>
                <w:rFonts w:ascii="宋体" w:hAnsi="宋体" w:hint="eastAsia"/>
                <w:color w:val="00B0F0"/>
                <w:u w:val="single"/>
                <w:lang w:val="en-US" w:eastAsia="zh-CN"/>
              </w:rPr>
              <w:t>6</w:t>
            </w:r>
            <w:r>
              <w:rPr>
                <w:rFonts w:ascii="宋体" w:hAnsi="宋体" w:hint="eastAsia"/>
                <w:color w:val="00B0F0"/>
                <w:u w:val="single"/>
                <w:lang w:eastAsia="zh-CN"/>
              </w:rPr>
              <w:t xml:space="preserve">   </w:t>
            </w:r>
            <w:r>
              <w:rPr>
                <w:rFonts w:ascii="宋体" w:hAnsi="宋体" w:hint="eastAsia"/>
                <w:lang w:eastAsia="zh-CN"/>
              </w:rPr>
              <w:t>分</w:t>
            </w:r>
          </w:p>
          <w:p w14:paraId="212F973C">
            <w:pPr>
              <w:spacing w:line="360" w:lineRule="auto"/>
              <w:rPr>
                <w:rFonts w:ascii="宋体" w:hAnsi="宋体"/>
                <w:lang w:eastAsia="zh-CN"/>
              </w:rPr>
            </w:pPr>
            <w:r>
              <w:rPr>
                <w:rFonts w:ascii="宋体" w:hAnsi="宋体" w:hint="eastAsia"/>
                <w:lang w:eastAsia="zh-CN"/>
              </w:rPr>
              <w:t>投标报价：</w:t>
            </w:r>
            <w:r>
              <w:rPr>
                <w:rFonts w:ascii="宋体" w:hAnsi="宋体" w:hint="eastAsia"/>
                <w:color w:val="00B0F0"/>
                <w:u w:val="single"/>
                <w:lang w:eastAsia="zh-CN"/>
              </w:rPr>
              <w:t xml:space="preserve">   </w:t>
            </w:r>
            <w:r>
              <w:rPr>
                <w:rFonts w:ascii="宋体" w:hAnsi="宋体" w:hint="eastAsia"/>
                <w:color w:val="00B0F0"/>
                <w:u w:val="single"/>
                <w:lang w:val="en-US" w:eastAsia="zh-CN"/>
              </w:rPr>
              <w:t>60</w:t>
            </w:r>
            <w:r>
              <w:rPr>
                <w:rFonts w:ascii="宋体" w:hAnsi="宋体" w:hint="eastAsia"/>
                <w:color w:val="00B0F0"/>
                <w:u w:val="single"/>
                <w:lang w:eastAsia="zh-CN"/>
              </w:rPr>
              <w:t xml:space="preserve">   </w:t>
            </w:r>
            <w:r>
              <w:rPr>
                <w:rFonts w:ascii="宋体" w:hAnsi="宋体" w:hint="eastAsia"/>
                <w:lang w:eastAsia="zh-CN"/>
              </w:rPr>
              <w:t>分（不低于60分）</w:t>
            </w:r>
          </w:p>
          <w:p w14:paraId="19133481">
            <w:pPr>
              <w:spacing w:line="360" w:lineRule="auto"/>
              <w:rPr>
                <w:rFonts w:ascii="宋体" w:hAnsi="宋体"/>
              </w:rPr>
            </w:pPr>
            <w:r>
              <w:rPr>
                <w:rFonts w:ascii="宋体" w:hAnsi="宋体" w:hint="eastAsia"/>
              </w:rPr>
              <w:t>其他评分因素：</w:t>
            </w:r>
            <w:r>
              <w:rPr>
                <w:rFonts w:ascii="宋体" w:hAnsi="宋体" w:hint="eastAsia"/>
                <w:color w:val="00B0F0"/>
                <w:u w:val="single"/>
              </w:rPr>
              <w:t xml:space="preserve">   </w:t>
            </w:r>
            <w:r>
              <w:rPr>
                <w:rFonts w:ascii="宋体" w:hAnsi="宋体" w:hint="eastAsia"/>
                <w:color w:val="00B0F0"/>
                <w:u w:val="single"/>
                <w:lang w:val="en-US" w:eastAsia="zh-CN"/>
              </w:rPr>
              <w:t>0</w:t>
            </w:r>
            <w:r>
              <w:rPr>
                <w:rFonts w:ascii="宋体" w:hAnsi="宋体" w:hint="eastAsia"/>
                <w:color w:val="00B0F0"/>
                <w:u w:val="single"/>
              </w:rPr>
              <w:t xml:space="preserve">   </w:t>
            </w:r>
            <w:r>
              <w:rPr>
                <w:rFonts w:ascii="宋体" w:hAnsi="宋体" w:hint="eastAsia"/>
              </w:rPr>
              <w:t>分</w:t>
            </w:r>
          </w:p>
        </w:tc>
      </w:tr>
      <w:tr w14:paraId="242B54C6">
        <w:tblPrEx>
          <w:tblW w:w="9210" w:type="dxa"/>
          <w:jc w:val="center"/>
          <w:tblLayout w:type="fixed"/>
          <w:tblCellMar>
            <w:top w:w="0" w:type="dxa"/>
            <w:left w:w="108" w:type="dxa"/>
            <w:bottom w:w="0" w:type="dxa"/>
            <w:right w:w="108" w:type="dxa"/>
          </w:tblCellMar>
        </w:tblPrEx>
        <w:trPr>
          <w:trHeight w:val="476"/>
          <w:jc w:val="center"/>
        </w:trPr>
        <w:tc>
          <w:tcPr>
            <w:tcW w:w="2127" w:type="dxa"/>
            <w:gridSpan w:val="2"/>
            <w:tcBorders>
              <w:top w:val="single" w:sz="2" w:space="0" w:color="auto"/>
              <w:left w:val="single" w:sz="2" w:space="0" w:color="auto"/>
              <w:bottom w:val="single" w:sz="2" w:space="0" w:color="auto"/>
              <w:right w:val="single" w:sz="2" w:space="0" w:color="auto"/>
            </w:tcBorders>
            <w:vAlign w:val="center"/>
          </w:tcPr>
          <w:p w14:paraId="2E3405D6">
            <w:pPr>
              <w:spacing w:line="360" w:lineRule="auto"/>
              <w:jc w:val="center"/>
              <w:rPr>
                <w:rFonts w:ascii="宋体" w:hAnsi="宋体"/>
              </w:rPr>
            </w:pPr>
            <w:r>
              <w:rPr>
                <w:rFonts w:ascii="宋体" w:hAnsi="宋体" w:hint="eastAsia"/>
              </w:rPr>
              <w:t>2.2.2(1)</w:t>
            </w:r>
          </w:p>
        </w:tc>
        <w:tc>
          <w:tcPr>
            <w:tcW w:w="1842" w:type="dxa"/>
            <w:tcBorders>
              <w:top w:val="single" w:sz="2" w:space="0" w:color="auto"/>
              <w:left w:val="single" w:sz="2" w:space="0" w:color="auto"/>
              <w:bottom w:val="single" w:sz="2" w:space="0" w:color="auto"/>
              <w:right w:val="single" w:sz="2" w:space="0" w:color="auto"/>
            </w:tcBorders>
            <w:vAlign w:val="center"/>
          </w:tcPr>
          <w:p w14:paraId="202D223C">
            <w:pPr>
              <w:spacing w:line="360" w:lineRule="auto"/>
              <w:jc w:val="center"/>
              <w:rPr>
                <w:rFonts w:ascii="宋体" w:hAnsi="宋体"/>
                <w:lang w:eastAsia="zh-CN"/>
              </w:rPr>
            </w:pPr>
            <w:r>
              <w:rPr>
                <w:rFonts w:ascii="宋体" w:hAnsi="宋体" w:hint="eastAsia"/>
                <w:lang w:eastAsia="zh-CN"/>
              </w:rPr>
              <w:t>投标报价（含</w:t>
            </w:r>
          </w:p>
          <w:p w14:paraId="11B96A35">
            <w:pPr>
              <w:spacing w:line="360" w:lineRule="auto"/>
              <w:jc w:val="center"/>
              <w:rPr>
                <w:rFonts w:ascii="宋体" w:hAnsi="宋体"/>
                <w:lang w:eastAsia="zh-CN"/>
              </w:rPr>
            </w:pPr>
            <w:r>
              <w:rPr>
                <w:rFonts w:ascii="宋体" w:hAnsi="宋体" w:hint="eastAsia"/>
                <w:lang w:eastAsia="zh-CN"/>
              </w:rPr>
              <w:t>成本）评审</w:t>
            </w:r>
          </w:p>
        </w:tc>
        <w:tc>
          <w:tcPr>
            <w:tcW w:w="5241" w:type="dxa"/>
            <w:tcBorders>
              <w:top w:val="single" w:sz="2" w:space="0" w:color="auto"/>
              <w:left w:val="single" w:sz="2" w:space="0" w:color="auto"/>
              <w:bottom w:val="single" w:sz="2" w:space="0" w:color="auto"/>
              <w:right w:val="single" w:sz="2" w:space="0" w:color="auto"/>
            </w:tcBorders>
            <w:vAlign w:val="center"/>
          </w:tcPr>
          <w:p w14:paraId="34B11CB6">
            <w:pPr>
              <w:spacing w:line="360" w:lineRule="auto"/>
              <w:rPr>
                <w:rFonts w:ascii="宋体" w:hAnsi="宋体"/>
                <w:lang w:eastAsia="zh-CN"/>
              </w:rPr>
            </w:pPr>
            <w:r>
              <w:rPr>
                <w:rFonts w:ascii="宋体" w:eastAsia="宋体" w:hAnsi="宋体" w:cs="宋体"/>
                <w:sz w:val="24"/>
                <w:szCs w:val="24"/>
              </w:rPr>
              <w:t>投标报价（含成本）的评审按照《四川省房屋建筑和市政工程工程量清单招标投标报价评审办法》（川建行规〔2021〕3号）、《关于印发&lt;四川省房屋建筑和市政工程工程量清单招标投标报价评审办法答疑&gt;的通知》（川建造价发〔2021〕65号）、《关于调整现行&lt;四川省房屋建筑和市政工程工程量清单招标投标报价评审办法&gt;的通知》（川建行规〔2024〕17 号）进行评审。</w:t>
            </w:r>
          </w:p>
        </w:tc>
      </w:tr>
      <w:tr w14:paraId="01B79DD4">
        <w:tblPrEx>
          <w:tblW w:w="9210" w:type="dxa"/>
          <w:jc w:val="center"/>
          <w:tblLayout w:type="fixed"/>
          <w:tblCellMar>
            <w:top w:w="0" w:type="dxa"/>
            <w:left w:w="108" w:type="dxa"/>
            <w:bottom w:w="0" w:type="dxa"/>
            <w:right w:w="108" w:type="dxa"/>
          </w:tblCellMar>
        </w:tblPrEx>
        <w:trPr>
          <w:trHeight w:val="476"/>
          <w:jc w:val="center"/>
        </w:trPr>
        <w:tc>
          <w:tcPr>
            <w:tcW w:w="2127" w:type="dxa"/>
            <w:gridSpan w:val="2"/>
            <w:tcBorders>
              <w:top w:val="single" w:sz="2" w:space="0" w:color="auto"/>
              <w:left w:val="single" w:sz="2" w:space="0" w:color="auto"/>
              <w:bottom w:val="single" w:sz="2" w:space="0" w:color="auto"/>
              <w:right w:val="single" w:sz="2" w:space="0" w:color="auto"/>
            </w:tcBorders>
            <w:vAlign w:val="center"/>
          </w:tcPr>
          <w:p w14:paraId="652544C9">
            <w:pPr>
              <w:spacing w:line="360" w:lineRule="auto"/>
              <w:jc w:val="center"/>
              <w:rPr>
                <w:rFonts w:ascii="宋体" w:hAnsi="宋体"/>
              </w:rPr>
            </w:pPr>
            <w:r>
              <w:rPr>
                <w:rFonts w:ascii="宋体" w:hAnsi="宋体" w:hint="eastAsia"/>
              </w:rPr>
              <w:t>2.2.2(2)</w:t>
            </w:r>
          </w:p>
        </w:tc>
        <w:tc>
          <w:tcPr>
            <w:tcW w:w="1842" w:type="dxa"/>
            <w:tcBorders>
              <w:top w:val="single" w:sz="2" w:space="0" w:color="auto"/>
              <w:left w:val="single" w:sz="2" w:space="0" w:color="auto"/>
              <w:bottom w:val="single" w:sz="2" w:space="0" w:color="auto"/>
              <w:right w:val="single" w:sz="2" w:space="0" w:color="auto"/>
            </w:tcBorders>
            <w:vAlign w:val="center"/>
          </w:tcPr>
          <w:p w14:paraId="78146FE1">
            <w:pPr>
              <w:spacing w:line="360" w:lineRule="auto"/>
              <w:jc w:val="center"/>
              <w:rPr>
                <w:rFonts w:ascii="宋体" w:hAnsi="宋体"/>
              </w:rPr>
            </w:pPr>
            <w:r>
              <w:rPr>
                <w:rFonts w:ascii="宋体" w:hAnsi="宋体" w:hint="eastAsia"/>
              </w:rPr>
              <w:t>评标基准价</w:t>
            </w:r>
          </w:p>
          <w:p w14:paraId="3D2E31B1">
            <w:pPr>
              <w:spacing w:line="360" w:lineRule="auto"/>
              <w:jc w:val="center"/>
              <w:rPr>
                <w:rFonts w:ascii="宋体" w:hAnsi="宋体"/>
              </w:rPr>
            </w:pPr>
            <w:r>
              <w:rPr>
                <w:rFonts w:ascii="宋体" w:hAnsi="宋体" w:hint="eastAsia"/>
              </w:rPr>
              <w:t>计算方法</w:t>
            </w:r>
          </w:p>
        </w:tc>
        <w:tc>
          <w:tcPr>
            <w:tcW w:w="5241" w:type="dxa"/>
            <w:tcBorders>
              <w:top w:val="single" w:sz="2" w:space="0" w:color="auto"/>
              <w:left w:val="single" w:sz="2" w:space="0" w:color="auto"/>
              <w:bottom w:val="single" w:sz="2" w:space="0" w:color="auto"/>
              <w:right w:val="single" w:sz="2" w:space="0" w:color="auto"/>
            </w:tcBorders>
            <w:vAlign w:val="center"/>
          </w:tcPr>
          <w:p w14:paraId="522D8F03">
            <w:pPr>
              <w:spacing w:line="360" w:lineRule="auto"/>
              <w:rPr>
                <w:rFonts w:ascii="宋体" w:hAnsi="宋体"/>
                <w:lang w:eastAsia="zh-CN"/>
              </w:rPr>
            </w:pPr>
            <w:r>
              <w:rPr>
                <w:rFonts w:ascii="宋体" w:hAnsi="宋体" w:hint="eastAsia"/>
                <w:lang w:eastAsia="zh-CN"/>
              </w:rPr>
              <w:t>基准价＝招标控制价相应价格×k1×k2 + 各有效投标的评审价的算术平均值×k3</w:t>
            </w:r>
          </w:p>
          <w:p w14:paraId="6FB5FA1D">
            <w:pPr>
              <w:spacing w:line="360" w:lineRule="auto"/>
              <w:rPr>
                <w:rFonts w:ascii="宋体" w:hAnsi="宋体"/>
                <w:lang w:eastAsia="zh-CN"/>
              </w:rPr>
            </w:pPr>
            <w:r>
              <w:rPr>
                <w:rFonts w:ascii="宋体" w:hAnsi="宋体" w:hint="eastAsia"/>
                <w:lang w:eastAsia="zh-CN"/>
              </w:rPr>
              <w:t>k1：指在计算基准价时招标控制价相应价格的下浮比例，由招标人在开标会上现场从0.95、0.94、0.93、0.92、0.91、0.90六个数据中随机抽取一个数据并作为基准价计算的依据；</w:t>
            </w:r>
          </w:p>
          <w:p w14:paraId="701777A6">
            <w:pPr>
              <w:spacing w:line="360" w:lineRule="auto"/>
              <w:rPr>
                <w:rFonts w:ascii="宋体" w:hAnsi="宋体"/>
                <w:lang w:eastAsia="zh-CN"/>
              </w:rPr>
            </w:pPr>
            <w:r>
              <w:rPr>
                <w:rFonts w:ascii="宋体" w:hAnsi="宋体" w:hint="eastAsia"/>
                <w:lang w:eastAsia="zh-CN"/>
              </w:rPr>
              <w:t>k2：指招标控制价相应价格在基准价中所占权重；</w:t>
            </w:r>
          </w:p>
          <w:p w14:paraId="41171BE4">
            <w:pPr>
              <w:spacing w:line="360" w:lineRule="auto"/>
              <w:rPr>
                <w:rFonts w:ascii="宋体" w:hAnsi="宋体"/>
                <w:lang w:eastAsia="zh-CN"/>
              </w:rPr>
            </w:pPr>
            <w:r>
              <w:rPr>
                <w:rFonts w:ascii="宋体" w:hAnsi="宋体" w:hint="eastAsia"/>
                <w:lang w:eastAsia="zh-CN"/>
              </w:rPr>
              <w:t>k3：指各有效投标的评审价的算术平均值在基准价中所占权重。</w:t>
            </w:r>
          </w:p>
          <w:p w14:paraId="3E258CC8">
            <w:pPr>
              <w:spacing w:line="360" w:lineRule="auto"/>
              <w:rPr>
                <w:rFonts w:ascii="宋体" w:hAnsi="宋体"/>
              </w:rPr>
            </w:pPr>
            <w:r>
              <w:rPr>
                <w:rFonts w:ascii="宋体" w:hAnsi="宋体" w:hint="eastAsia"/>
              </w:rPr>
              <w:t>k2+k3＝1，且k3不得小于0.4。</w:t>
            </w:r>
          </w:p>
          <w:p w14:paraId="68E50CAB">
            <w:pPr>
              <w:spacing w:line="360" w:lineRule="auto"/>
              <w:rPr>
                <w:rFonts w:ascii="宋体" w:hAnsi="宋体"/>
                <w:lang w:eastAsia="zh-CN"/>
              </w:rPr>
            </w:pPr>
            <w:r>
              <w:rPr>
                <w:rFonts w:ascii="宋体" w:hAnsi="宋体" w:hint="eastAsia"/>
                <w:lang w:eastAsia="zh-CN"/>
              </w:rPr>
              <w:t>k2和k3的设置不得少于3组(如K2=0.5、K3=0.5,K2=0.4、K3=0.6,K2=0.3、K3=0.7)，K2和K3设置的组数及权重为：</w:t>
            </w:r>
            <w:r>
              <w:rPr>
                <w:rFonts w:ascii="宋体" w:hAnsi="宋体" w:hint="eastAsia"/>
                <w:color w:val="00B0F0"/>
                <w:u w:val="single"/>
                <w:lang w:eastAsia="zh-CN"/>
              </w:rPr>
              <w:t xml:space="preserve">  第一组： K2=0.5、K3=0.5；第二组：K2=0.4、K3=0.6；第三组：K2=0.3、K3=0.7   </w:t>
            </w:r>
            <w:r>
              <w:rPr>
                <w:rFonts w:ascii="宋体" w:hAnsi="宋体" w:hint="eastAsia"/>
                <w:lang w:eastAsia="zh-CN"/>
              </w:rPr>
              <w:t>，由招标人在开标会上现场随机抽取确定。</w:t>
            </w:r>
          </w:p>
          <w:p w14:paraId="63D18C18">
            <w:pPr>
              <w:spacing w:line="360" w:lineRule="auto"/>
              <w:rPr>
                <w:rFonts w:ascii="宋体" w:hAnsi="宋体"/>
                <w:lang w:eastAsia="zh-CN"/>
              </w:rPr>
            </w:pPr>
            <w:r>
              <w:rPr>
                <w:rFonts w:ascii="宋体" w:hAnsi="宋体" w:hint="eastAsia"/>
                <w:lang w:eastAsia="zh-CN"/>
              </w:rPr>
              <w:t>注：K2和K3取定时保留1位小数。</w:t>
            </w:r>
          </w:p>
        </w:tc>
      </w:tr>
      <w:tr w14:paraId="1F71A717">
        <w:tblPrEx>
          <w:tblW w:w="9210" w:type="dxa"/>
          <w:jc w:val="center"/>
          <w:tblLayout w:type="fixed"/>
          <w:tblCellMar>
            <w:top w:w="0" w:type="dxa"/>
            <w:left w:w="108" w:type="dxa"/>
            <w:bottom w:w="0" w:type="dxa"/>
            <w:right w:w="108" w:type="dxa"/>
          </w:tblCellMar>
        </w:tblPrEx>
        <w:trPr>
          <w:trHeight w:val="476"/>
          <w:jc w:val="center"/>
        </w:trPr>
        <w:tc>
          <w:tcPr>
            <w:tcW w:w="1276" w:type="dxa"/>
            <w:vMerge w:val="restart"/>
            <w:tcBorders>
              <w:top w:val="single" w:sz="2" w:space="0" w:color="auto"/>
              <w:left w:val="single" w:sz="2" w:space="0" w:color="auto"/>
              <w:bottom w:val="single" w:sz="2" w:space="0" w:color="auto"/>
              <w:right w:val="single" w:sz="2" w:space="0" w:color="auto"/>
            </w:tcBorders>
            <w:vAlign w:val="center"/>
          </w:tcPr>
          <w:p w14:paraId="4B0E7C16">
            <w:pPr>
              <w:spacing w:line="360" w:lineRule="auto"/>
              <w:rPr>
                <w:rFonts w:ascii="宋体" w:hAnsi="宋体"/>
              </w:rPr>
            </w:pPr>
            <w:r>
              <w:rPr>
                <w:rFonts w:ascii="宋体" w:hAnsi="宋体" w:hint="eastAsia"/>
              </w:rPr>
              <w:t>2.2.2(3)</w:t>
            </w:r>
          </w:p>
        </w:tc>
        <w:tc>
          <w:tcPr>
            <w:tcW w:w="851" w:type="dxa"/>
            <w:vMerge w:val="restart"/>
            <w:tcBorders>
              <w:top w:val="single" w:sz="2" w:space="0" w:color="auto"/>
              <w:left w:val="single" w:sz="2" w:space="0" w:color="auto"/>
              <w:bottom w:val="single" w:sz="2" w:space="0" w:color="auto"/>
              <w:right w:val="single" w:sz="2" w:space="0" w:color="auto"/>
            </w:tcBorders>
            <w:vAlign w:val="center"/>
          </w:tcPr>
          <w:p w14:paraId="7A01B2E1">
            <w:pPr>
              <w:spacing w:line="360" w:lineRule="auto"/>
              <w:jc w:val="center"/>
              <w:rPr>
                <w:rFonts w:ascii="宋体" w:hAnsi="宋体"/>
              </w:rPr>
            </w:pPr>
            <w:r>
              <w:rPr>
                <w:rFonts w:ascii="宋体" w:hAnsi="宋体" w:hint="eastAsia"/>
              </w:rPr>
              <w:t>投标报价评审参数</w:t>
            </w:r>
          </w:p>
        </w:tc>
        <w:tc>
          <w:tcPr>
            <w:tcW w:w="1842" w:type="dxa"/>
            <w:tcBorders>
              <w:top w:val="single" w:sz="2" w:space="0" w:color="auto"/>
              <w:left w:val="single" w:sz="2" w:space="0" w:color="auto"/>
              <w:bottom w:val="single" w:sz="2" w:space="0" w:color="auto"/>
              <w:right w:val="single" w:sz="2" w:space="0" w:color="auto"/>
            </w:tcBorders>
            <w:vAlign w:val="center"/>
          </w:tcPr>
          <w:p w14:paraId="5B683E9E">
            <w:pPr>
              <w:spacing w:line="360" w:lineRule="auto"/>
              <w:jc w:val="center"/>
              <w:rPr>
                <w:rFonts w:ascii="宋体" w:hAnsi="宋体"/>
                <w:lang w:eastAsia="zh-CN"/>
              </w:rPr>
            </w:pPr>
            <w:r>
              <w:rPr>
                <w:rFonts w:ascii="宋体" w:hAnsi="宋体" w:hint="eastAsia"/>
                <w:lang w:eastAsia="zh-CN"/>
              </w:rPr>
              <w:t>单价遗漏项总价最高百分比</w:t>
            </w:r>
          </w:p>
        </w:tc>
        <w:tc>
          <w:tcPr>
            <w:tcW w:w="5241" w:type="dxa"/>
            <w:tcBorders>
              <w:top w:val="single" w:sz="2" w:space="0" w:color="auto"/>
              <w:left w:val="single" w:sz="2" w:space="0" w:color="auto"/>
              <w:bottom w:val="single" w:sz="2" w:space="0" w:color="auto"/>
              <w:right w:val="single" w:sz="2" w:space="0" w:color="auto"/>
            </w:tcBorders>
            <w:vAlign w:val="center"/>
          </w:tcPr>
          <w:p w14:paraId="1B986B20">
            <w:pPr>
              <w:spacing w:line="360" w:lineRule="auto"/>
              <w:jc w:val="center"/>
              <w:rPr>
                <w:rFonts w:ascii="宋体" w:hAnsi="宋体"/>
              </w:rPr>
            </w:pPr>
            <w:r>
              <w:rPr>
                <w:rFonts w:ascii="宋体" w:hAnsi="宋体" w:hint="eastAsia"/>
              </w:rPr>
              <w:t>（</w:t>
            </w:r>
            <w:r>
              <w:rPr>
                <w:rFonts w:ascii="宋体" w:hAnsi="宋体" w:hint="eastAsia"/>
                <w:color w:val="00B0F0"/>
                <w:u w:val="single"/>
              </w:rPr>
              <w:t xml:space="preserve">   1   </w:t>
            </w:r>
            <w:r>
              <w:rPr>
                <w:rFonts w:ascii="宋体" w:hAnsi="宋体" w:hint="eastAsia"/>
              </w:rPr>
              <w:t>）%</w:t>
            </w:r>
          </w:p>
        </w:tc>
      </w:tr>
      <w:tr w14:paraId="6DC8D6D0">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69868368">
            <w:pPr>
              <w:rPr>
                <w:rFonts w:ascii="宋体" w:eastAsia="宋体" w:hAnsi="宋体"/>
                <w:kern w:val="2"/>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30E72C0E">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02502D28">
            <w:pPr>
              <w:spacing w:line="360" w:lineRule="auto"/>
              <w:jc w:val="center"/>
              <w:rPr>
                <w:rFonts w:ascii="宋体" w:hAnsi="宋体"/>
                <w:lang w:eastAsia="zh-CN"/>
              </w:rPr>
            </w:pPr>
            <w:r>
              <w:rPr>
                <w:rFonts w:ascii="宋体" w:hAnsi="宋体" w:hint="eastAsia"/>
                <w:lang w:eastAsia="zh-CN"/>
              </w:rPr>
              <w:t>第一类分部分项为不平衡报价百分比</w:t>
            </w:r>
          </w:p>
        </w:tc>
        <w:tc>
          <w:tcPr>
            <w:tcW w:w="5241" w:type="dxa"/>
            <w:tcBorders>
              <w:top w:val="single" w:sz="2" w:space="0" w:color="auto"/>
              <w:left w:val="single" w:sz="2" w:space="0" w:color="auto"/>
              <w:bottom w:val="single" w:sz="2" w:space="0" w:color="auto"/>
              <w:right w:val="single" w:sz="2" w:space="0" w:color="auto"/>
            </w:tcBorders>
            <w:vAlign w:val="center"/>
          </w:tcPr>
          <w:p w14:paraId="4989A8E7">
            <w:pPr>
              <w:spacing w:line="360" w:lineRule="auto"/>
              <w:jc w:val="center"/>
              <w:rPr>
                <w:rFonts w:ascii="宋体" w:hAnsi="宋体"/>
              </w:rPr>
            </w:pPr>
            <w:r>
              <w:rPr>
                <w:rFonts w:ascii="宋体" w:hAnsi="宋体" w:hint="eastAsia"/>
              </w:rPr>
              <w:t>（</w:t>
            </w:r>
            <w:r>
              <w:rPr>
                <w:rFonts w:ascii="宋体" w:hAnsi="宋体" w:hint="eastAsia"/>
                <w:color w:val="00B0F0"/>
                <w:u w:val="single"/>
              </w:rPr>
              <w:t xml:space="preserve">    25   </w:t>
            </w:r>
            <w:r>
              <w:rPr>
                <w:rFonts w:ascii="宋体" w:hAnsi="宋体" w:hint="eastAsia"/>
              </w:rPr>
              <w:t>）%</w:t>
            </w:r>
          </w:p>
        </w:tc>
      </w:tr>
      <w:tr w14:paraId="24D76BA8">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57953481">
            <w:pPr>
              <w:rPr>
                <w:rFonts w:ascii="宋体" w:eastAsia="宋体" w:hAnsi="宋体"/>
                <w:kern w:val="2"/>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3F6E356C">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706AC88D">
            <w:pPr>
              <w:spacing w:line="360" w:lineRule="auto"/>
              <w:jc w:val="center"/>
              <w:rPr>
                <w:rFonts w:ascii="宋体" w:hAnsi="宋体"/>
                <w:lang w:eastAsia="zh-CN"/>
              </w:rPr>
            </w:pPr>
            <w:r>
              <w:rPr>
                <w:rFonts w:ascii="宋体" w:hAnsi="宋体" w:hint="eastAsia"/>
                <w:lang w:eastAsia="zh-CN"/>
              </w:rPr>
              <w:t>第二类分部分项为不平衡报价百分比</w:t>
            </w:r>
          </w:p>
        </w:tc>
        <w:tc>
          <w:tcPr>
            <w:tcW w:w="5241" w:type="dxa"/>
            <w:tcBorders>
              <w:top w:val="single" w:sz="2" w:space="0" w:color="auto"/>
              <w:left w:val="single" w:sz="2" w:space="0" w:color="auto"/>
              <w:bottom w:val="single" w:sz="2" w:space="0" w:color="auto"/>
              <w:right w:val="single" w:sz="2" w:space="0" w:color="auto"/>
            </w:tcBorders>
            <w:vAlign w:val="center"/>
          </w:tcPr>
          <w:p w14:paraId="43872274">
            <w:pPr>
              <w:spacing w:line="360" w:lineRule="auto"/>
              <w:jc w:val="center"/>
              <w:rPr>
                <w:rFonts w:ascii="宋体" w:hAnsi="宋体"/>
              </w:rPr>
            </w:pPr>
            <w:r>
              <w:rPr>
                <w:rFonts w:ascii="宋体" w:hAnsi="宋体" w:hint="eastAsia"/>
              </w:rPr>
              <w:t>（</w:t>
            </w:r>
            <w:r>
              <w:rPr>
                <w:rFonts w:ascii="宋体" w:hAnsi="宋体" w:hint="eastAsia"/>
                <w:color w:val="00B0F0"/>
                <w:u w:val="single"/>
              </w:rPr>
              <w:t xml:space="preserve">   30    </w:t>
            </w:r>
            <w:r>
              <w:rPr>
                <w:rFonts w:ascii="宋体" w:hAnsi="宋体" w:hint="eastAsia"/>
              </w:rPr>
              <w:t>）%</w:t>
            </w:r>
          </w:p>
        </w:tc>
      </w:tr>
      <w:tr w14:paraId="41DA62AD">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0CFF59F4">
            <w:pPr>
              <w:rPr>
                <w:rFonts w:ascii="宋体" w:eastAsia="宋体" w:hAnsi="宋体"/>
                <w:kern w:val="2"/>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4695A958">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764DDDB5">
            <w:pPr>
              <w:spacing w:line="360" w:lineRule="auto"/>
              <w:jc w:val="center"/>
              <w:rPr>
                <w:rFonts w:ascii="宋体" w:hAnsi="宋体"/>
                <w:lang w:eastAsia="zh-CN"/>
              </w:rPr>
            </w:pPr>
            <w:r>
              <w:rPr>
                <w:rFonts w:ascii="宋体" w:hAnsi="宋体" w:hint="eastAsia"/>
                <w:lang w:eastAsia="zh-CN"/>
              </w:rPr>
              <w:t>措施项目为不平衡报价百分比</w:t>
            </w:r>
          </w:p>
        </w:tc>
        <w:tc>
          <w:tcPr>
            <w:tcW w:w="5241" w:type="dxa"/>
            <w:tcBorders>
              <w:top w:val="single" w:sz="2" w:space="0" w:color="auto"/>
              <w:left w:val="single" w:sz="2" w:space="0" w:color="auto"/>
              <w:bottom w:val="single" w:sz="2" w:space="0" w:color="auto"/>
              <w:right w:val="single" w:sz="2" w:space="0" w:color="auto"/>
            </w:tcBorders>
            <w:vAlign w:val="center"/>
          </w:tcPr>
          <w:p w14:paraId="50A87A6B">
            <w:pPr>
              <w:spacing w:line="360" w:lineRule="auto"/>
              <w:jc w:val="center"/>
              <w:rPr>
                <w:rFonts w:ascii="宋体" w:hAnsi="宋体"/>
              </w:rPr>
            </w:pPr>
            <w:r>
              <w:rPr>
                <w:rFonts w:ascii="宋体" w:hAnsi="宋体" w:hint="eastAsia"/>
              </w:rPr>
              <w:t>（</w:t>
            </w:r>
            <w:r>
              <w:rPr>
                <w:rFonts w:ascii="宋体" w:hAnsi="宋体" w:hint="eastAsia"/>
                <w:color w:val="00B0F0"/>
                <w:u w:val="single"/>
              </w:rPr>
              <w:t xml:space="preserve">   35   </w:t>
            </w:r>
            <w:r>
              <w:rPr>
                <w:rFonts w:ascii="宋体" w:hAnsi="宋体" w:hint="eastAsia"/>
              </w:rPr>
              <w:t>）%</w:t>
            </w:r>
          </w:p>
        </w:tc>
      </w:tr>
      <w:tr w14:paraId="0C2C1379">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1C70A9CE">
            <w:pPr>
              <w:rPr>
                <w:rFonts w:ascii="宋体" w:eastAsia="宋体" w:hAnsi="宋体"/>
                <w:kern w:val="2"/>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03194F9C">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3654F9F9">
            <w:pPr>
              <w:spacing w:line="360" w:lineRule="auto"/>
              <w:jc w:val="center"/>
              <w:rPr>
                <w:rFonts w:ascii="宋体" w:hAnsi="宋体"/>
                <w:lang w:eastAsia="zh-CN"/>
              </w:rPr>
            </w:pPr>
            <w:r>
              <w:rPr>
                <w:rFonts w:ascii="宋体" w:hAnsi="宋体" w:hint="eastAsia"/>
                <w:lang w:eastAsia="zh-CN"/>
              </w:rPr>
              <w:t>不平衡报价总价最高百分比</w:t>
            </w:r>
          </w:p>
        </w:tc>
        <w:tc>
          <w:tcPr>
            <w:tcW w:w="5241" w:type="dxa"/>
            <w:tcBorders>
              <w:top w:val="single" w:sz="2" w:space="0" w:color="auto"/>
              <w:left w:val="single" w:sz="2" w:space="0" w:color="auto"/>
              <w:bottom w:val="single" w:sz="2" w:space="0" w:color="auto"/>
              <w:right w:val="single" w:sz="2" w:space="0" w:color="auto"/>
            </w:tcBorders>
            <w:vAlign w:val="center"/>
          </w:tcPr>
          <w:p w14:paraId="425BE95C">
            <w:pPr>
              <w:spacing w:line="360" w:lineRule="auto"/>
              <w:jc w:val="center"/>
              <w:rPr>
                <w:rFonts w:ascii="宋体" w:hAnsi="宋体"/>
              </w:rPr>
            </w:pPr>
            <w:r>
              <w:rPr>
                <w:rFonts w:ascii="宋体" w:hAnsi="宋体" w:hint="eastAsia"/>
              </w:rPr>
              <w:t>（</w:t>
            </w:r>
            <w:r>
              <w:rPr>
                <w:rFonts w:ascii="宋体" w:hAnsi="宋体" w:hint="eastAsia"/>
                <w:color w:val="00B0F0"/>
                <w:u w:val="single"/>
              </w:rPr>
              <w:t xml:space="preserve">  10     </w:t>
            </w:r>
            <w:r>
              <w:rPr>
                <w:rFonts w:ascii="宋体" w:hAnsi="宋体" w:hint="eastAsia"/>
              </w:rPr>
              <w:t>）%</w:t>
            </w:r>
          </w:p>
        </w:tc>
      </w:tr>
      <w:tr w14:paraId="706CB8F9">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3FA91F31">
            <w:pPr>
              <w:rPr>
                <w:rFonts w:ascii="宋体" w:eastAsia="宋体" w:hAnsi="宋体"/>
                <w:kern w:val="2"/>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37812C2F">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784700CF">
            <w:pPr>
              <w:spacing w:line="360" w:lineRule="auto"/>
              <w:jc w:val="center"/>
              <w:rPr>
                <w:rFonts w:ascii="宋体" w:hAnsi="宋体"/>
                <w:lang w:eastAsia="zh-CN"/>
              </w:rPr>
            </w:pPr>
            <w:r>
              <w:rPr>
                <w:rFonts w:ascii="宋体" w:hAnsi="宋体" w:hint="eastAsia"/>
                <w:lang w:eastAsia="zh-CN"/>
              </w:rPr>
              <w:t>总承包服务费计取方式</w:t>
            </w:r>
          </w:p>
        </w:tc>
        <w:tc>
          <w:tcPr>
            <w:tcW w:w="5241" w:type="dxa"/>
            <w:tcBorders>
              <w:top w:val="single" w:sz="2" w:space="0" w:color="auto"/>
              <w:left w:val="single" w:sz="2" w:space="0" w:color="auto"/>
              <w:bottom w:val="single" w:sz="2" w:space="0" w:color="auto"/>
              <w:right w:val="single" w:sz="2" w:space="0" w:color="auto"/>
            </w:tcBorders>
            <w:vAlign w:val="center"/>
          </w:tcPr>
          <w:p w14:paraId="6C5EA92F">
            <w:pPr>
              <w:spacing w:line="360" w:lineRule="auto"/>
              <w:rPr>
                <w:rFonts w:ascii="宋体" w:hAnsi="宋体"/>
                <w:u w:val="single"/>
                <w:lang w:eastAsia="zh-CN"/>
              </w:rPr>
            </w:pPr>
            <w:r>
              <w:rPr>
                <w:rFonts w:ascii="宋体" w:hAnsi="宋体" w:hint="eastAsia"/>
                <w:color w:val="00B0F0"/>
                <w:u w:val="single"/>
                <w:lang w:eastAsia="zh-CN"/>
              </w:rPr>
              <w:t xml:space="preserve">  按招标人给定方式计取  </w:t>
            </w:r>
          </w:p>
        </w:tc>
      </w:tr>
      <w:tr w14:paraId="2138D5A5">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2C47C9F7">
            <w:pPr>
              <w:rPr>
                <w:rFonts w:ascii="宋体" w:eastAsia="宋体" w:hAnsi="宋体"/>
                <w:kern w:val="2"/>
                <w:lang w:eastAsia="zh-CN"/>
              </w:rPr>
            </w:pPr>
          </w:p>
        </w:tc>
        <w:tc>
          <w:tcPr>
            <w:tcW w:w="7934" w:type="dxa"/>
            <w:gridSpan w:val="3"/>
            <w:tcBorders>
              <w:top w:val="single" w:sz="2" w:space="0" w:color="auto"/>
              <w:left w:val="single" w:sz="2" w:space="0" w:color="auto"/>
              <w:bottom w:val="single" w:sz="2" w:space="0" w:color="auto"/>
              <w:right w:val="single" w:sz="2" w:space="0" w:color="auto"/>
            </w:tcBorders>
            <w:vAlign w:val="center"/>
          </w:tcPr>
          <w:p w14:paraId="04046D53">
            <w:pPr>
              <w:spacing w:line="360" w:lineRule="auto"/>
              <w:rPr>
                <w:rFonts w:ascii="宋体" w:hAnsi="宋体"/>
                <w:lang w:eastAsia="zh-CN"/>
              </w:rPr>
            </w:pPr>
          </w:p>
        </w:tc>
      </w:tr>
      <w:tr w14:paraId="2D7CEEAD">
        <w:tblPrEx>
          <w:tblW w:w="9210" w:type="dxa"/>
          <w:jc w:val="center"/>
          <w:tblLayout w:type="fixed"/>
          <w:tblCellMar>
            <w:top w:w="0" w:type="dxa"/>
            <w:left w:w="108" w:type="dxa"/>
            <w:bottom w:w="0" w:type="dxa"/>
            <w:right w:w="108" w:type="dxa"/>
          </w:tblCellMar>
        </w:tblPrEx>
        <w:trPr>
          <w:trHeight w:val="476"/>
          <w:jc w:val="center"/>
        </w:trPr>
        <w:tc>
          <w:tcPr>
            <w:tcW w:w="1276" w:type="dxa"/>
            <w:tcBorders>
              <w:top w:val="single" w:sz="2" w:space="0" w:color="auto"/>
              <w:left w:val="single" w:sz="2" w:space="0" w:color="auto"/>
              <w:bottom w:val="single" w:sz="2" w:space="0" w:color="auto"/>
              <w:right w:val="single" w:sz="2" w:space="0" w:color="auto"/>
            </w:tcBorders>
            <w:vAlign w:val="center"/>
          </w:tcPr>
          <w:p w14:paraId="0D2343F5">
            <w:pPr>
              <w:spacing w:line="360" w:lineRule="auto"/>
              <w:jc w:val="center"/>
              <w:rPr>
                <w:rFonts w:ascii="宋体" w:hAnsi="宋体"/>
              </w:rPr>
            </w:pPr>
            <w:r>
              <w:rPr>
                <w:rFonts w:ascii="宋体" w:hAnsi="宋体" w:hint="eastAsia"/>
              </w:rPr>
              <w:t>2.2.3</w:t>
            </w:r>
          </w:p>
        </w:tc>
        <w:tc>
          <w:tcPr>
            <w:tcW w:w="2693" w:type="dxa"/>
            <w:gridSpan w:val="2"/>
            <w:tcBorders>
              <w:top w:val="single" w:sz="2" w:space="0" w:color="auto"/>
              <w:left w:val="single" w:sz="2" w:space="0" w:color="auto"/>
              <w:bottom w:val="single" w:sz="2" w:space="0" w:color="auto"/>
              <w:right w:val="single" w:sz="2" w:space="0" w:color="auto"/>
            </w:tcBorders>
            <w:vAlign w:val="center"/>
          </w:tcPr>
          <w:p w14:paraId="370F6D56">
            <w:pPr>
              <w:spacing w:line="360" w:lineRule="auto"/>
              <w:jc w:val="center"/>
              <w:rPr>
                <w:rFonts w:ascii="宋体" w:hAnsi="宋体"/>
                <w:lang w:eastAsia="zh-CN"/>
              </w:rPr>
            </w:pPr>
            <w:r>
              <w:rPr>
                <w:rFonts w:ascii="宋体" w:hAnsi="宋体" w:hint="eastAsia"/>
                <w:lang w:eastAsia="zh-CN"/>
              </w:rPr>
              <w:t>投标报价的偏差率</w:t>
            </w:r>
          </w:p>
          <w:p w14:paraId="20C504C5">
            <w:pPr>
              <w:spacing w:line="360" w:lineRule="auto"/>
              <w:jc w:val="center"/>
              <w:rPr>
                <w:rFonts w:ascii="宋体" w:hAnsi="宋体"/>
                <w:lang w:eastAsia="zh-CN"/>
              </w:rPr>
            </w:pPr>
            <w:r>
              <w:rPr>
                <w:rFonts w:ascii="宋体" w:hAnsi="宋体" w:hint="eastAsia"/>
                <w:lang w:eastAsia="zh-CN"/>
              </w:rPr>
              <w:t>计算公式</w:t>
            </w:r>
          </w:p>
        </w:tc>
        <w:tc>
          <w:tcPr>
            <w:tcW w:w="5241" w:type="dxa"/>
            <w:tcBorders>
              <w:top w:val="single" w:sz="2" w:space="0" w:color="auto"/>
              <w:left w:val="single" w:sz="2" w:space="0" w:color="auto"/>
              <w:bottom w:val="single" w:sz="2" w:space="0" w:color="auto"/>
              <w:right w:val="single" w:sz="2" w:space="0" w:color="auto"/>
            </w:tcBorders>
            <w:vAlign w:val="center"/>
          </w:tcPr>
          <w:p w14:paraId="2545DC1A">
            <w:pPr>
              <w:spacing w:line="360" w:lineRule="auto"/>
              <w:rPr>
                <w:rFonts w:ascii="宋体" w:eastAsia="宋体" w:hAnsi="宋体"/>
                <w:kern w:val="2"/>
                <w:lang w:eastAsia="zh-CN"/>
              </w:rPr>
            </w:pPr>
            <w:r>
              <w:rPr>
                <w:rFonts w:ascii="宋体" w:eastAsia="宋体" w:hAnsi="宋体" w:hint="eastAsia"/>
                <w:kern w:val="2"/>
                <w:lang w:eastAsia="zh-CN"/>
              </w:rPr>
              <w:t>偏差率=100% ×︱（投标评审价 -评标基准价）︱/评标基准价</w:t>
            </w:r>
          </w:p>
        </w:tc>
      </w:tr>
      <w:tr w14:paraId="71C3C22B">
        <w:tblPrEx>
          <w:tblW w:w="9210" w:type="dxa"/>
          <w:jc w:val="center"/>
          <w:tblLayout w:type="fixed"/>
          <w:tblCellMar>
            <w:top w:w="0" w:type="dxa"/>
            <w:left w:w="108" w:type="dxa"/>
            <w:bottom w:w="0" w:type="dxa"/>
            <w:right w:w="108" w:type="dxa"/>
          </w:tblCellMar>
        </w:tblPrEx>
        <w:trPr>
          <w:trHeight w:val="584"/>
          <w:jc w:val="center"/>
        </w:trPr>
        <w:tc>
          <w:tcPr>
            <w:tcW w:w="2127" w:type="dxa"/>
            <w:gridSpan w:val="2"/>
            <w:tcBorders>
              <w:top w:val="single" w:sz="2" w:space="0" w:color="auto"/>
              <w:left w:val="single" w:sz="2" w:space="0" w:color="auto"/>
              <w:bottom w:val="single" w:sz="2" w:space="0" w:color="auto"/>
              <w:right w:val="single" w:sz="2" w:space="0" w:color="auto"/>
            </w:tcBorders>
            <w:vAlign w:val="center"/>
          </w:tcPr>
          <w:p w14:paraId="659D1032">
            <w:pPr>
              <w:spacing w:line="360" w:lineRule="auto"/>
              <w:jc w:val="center"/>
              <w:rPr>
                <w:rFonts w:ascii="宋体" w:hAnsi="宋体"/>
                <w:b/>
              </w:rPr>
            </w:pPr>
            <w:r>
              <w:rPr>
                <w:rFonts w:ascii="宋体" w:hAnsi="宋体" w:hint="eastAsia"/>
                <w:b/>
              </w:rPr>
              <w:t>条款号</w:t>
            </w:r>
          </w:p>
        </w:tc>
        <w:tc>
          <w:tcPr>
            <w:tcW w:w="1842" w:type="dxa"/>
            <w:tcBorders>
              <w:top w:val="single" w:sz="2" w:space="0" w:color="auto"/>
              <w:left w:val="single" w:sz="2" w:space="0" w:color="auto"/>
              <w:bottom w:val="single" w:sz="2" w:space="0" w:color="auto"/>
              <w:right w:val="single" w:sz="2" w:space="0" w:color="auto"/>
            </w:tcBorders>
            <w:vAlign w:val="center"/>
          </w:tcPr>
          <w:p w14:paraId="42C283B0">
            <w:pPr>
              <w:spacing w:line="360" w:lineRule="auto"/>
              <w:jc w:val="center"/>
              <w:rPr>
                <w:rFonts w:ascii="宋体" w:hAnsi="宋体"/>
                <w:b/>
              </w:rPr>
            </w:pPr>
            <w:r>
              <w:rPr>
                <w:rFonts w:ascii="宋体" w:hAnsi="宋体" w:hint="eastAsia"/>
                <w:b/>
              </w:rPr>
              <w:t>评分因素</w:t>
            </w:r>
          </w:p>
        </w:tc>
        <w:tc>
          <w:tcPr>
            <w:tcW w:w="5241" w:type="dxa"/>
            <w:tcBorders>
              <w:top w:val="single" w:sz="2" w:space="0" w:color="auto"/>
              <w:left w:val="single" w:sz="2" w:space="0" w:color="auto"/>
              <w:bottom w:val="single" w:sz="2" w:space="0" w:color="auto"/>
              <w:right w:val="single" w:sz="2" w:space="0" w:color="auto"/>
            </w:tcBorders>
            <w:vAlign w:val="center"/>
          </w:tcPr>
          <w:p w14:paraId="0C35B5D1">
            <w:pPr>
              <w:spacing w:line="360" w:lineRule="auto"/>
              <w:jc w:val="center"/>
              <w:rPr>
                <w:rFonts w:ascii="宋体" w:hAnsi="宋体"/>
                <w:b/>
              </w:rPr>
            </w:pPr>
            <w:r>
              <w:rPr>
                <w:rFonts w:ascii="宋体" w:hAnsi="宋体" w:hint="eastAsia"/>
                <w:b/>
              </w:rPr>
              <w:t>评分标准</w:t>
            </w:r>
          </w:p>
        </w:tc>
      </w:tr>
      <w:tr w14:paraId="74A4D959">
        <w:tblPrEx>
          <w:tblW w:w="9210" w:type="dxa"/>
          <w:jc w:val="center"/>
          <w:tblLayout w:type="fixed"/>
          <w:tblCellMar>
            <w:top w:w="0" w:type="dxa"/>
            <w:left w:w="108" w:type="dxa"/>
            <w:bottom w:w="0" w:type="dxa"/>
            <w:right w:w="108" w:type="dxa"/>
          </w:tblCellMar>
        </w:tblPrEx>
        <w:trPr>
          <w:trHeight w:val="476"/>
          <w:jc w:val="center"/>
        </w:trPr>
        <w:tc>
          <w:tcPr>
            <w:tcW w:w="1276" w:type="dxa"/>
            <w:vMerge w:val="restart"/>
            <w:tcBorders>
              <w:top w:val="single" w:sz="2" w:space="0" w:color="auto"/>
              <w:left w:val="single" w:sz="2" w:space="0" w:color="auto"/>
              <w:bottom w:val="single" w:sz="2" w:space="0" w:color="auto"/>
              <w:right w:val="single" w:sz="2" w:space="0" w:color="auto"/>
            </w:tcBorders>
            <w:vAlign w:val="center"/>
          </w:tcPr>
          <w:p w14:paraId="4705F814">
            <w:pPr>
              <w:spacing w:line="360" w:lineRule="auto"/>
              <w:jc w:val="center"/>
              <w:rPr>
                <w:rFonts w:ascii="宋体" w:hAnsi="宋体"/>
              </w:rPr>
            </w:pPr>
            <w:r>
              <w:rPr>
                <w:rFonts w:ascii="宋体" w:hAnsi="宋体" w:hint="eastAsia"/>
              </w:rPr>
              <w:t>2.2.4(1)</w:t>
            </w:r>
          </w:p>
        </w:tc>
        <w:tc>
          <w:tcPr>
            <w:tcW w:w="851" w:type="dxa"/>
            <w:vMerge w:val="restart"/>
            <w:tcBorders>
              <w:top w:val="single" w:sz="2" w:space="0" w:color="auto"/>
              <w:left w:val="single" w:sz="2" w:space="0" w:color="auto"/>
              <w:bottom w:val="single" w:sz="2" w:space="0" w:color="auto"/>
              <w:right w:val="single" w:sz="2" w:space="0" w:color="auto"/>
            </w:tcBorders>
            <w:vAlign w:val="center"/>
          </w:tcPr>
          <w:p w14:paraId="1387E0F2">
            <w:pPr>
              <w:spacing w:line="360" w:lineRule="auto"/>
              <w:jc w:val="center"/>
              <w:rPr>
                <w:rFonts w:ascii="宋体" w:hAnsi="宋体"/>
                <w:lang w:eastAsia="zh-CN"/>
              </w:rPr>
            </w:pPr>
            <w:r>
              <w:rPr>
                <w:rFonts w:ascii="宋体" w:hAnsi="宋体" w:hint="eastAsia"/>
                <w:lang w:eastAsia="zh-CN"/>
              </w:rPr>
              <w:t>施工 组织 设计 评分 标准</w:t>
            </w:r>
          </w:p>
        </w:tc>
        <w:tc>
          <w:tcPr>
            <w:tcW w:w="1842" w:type="dxa"/>
            <w:tcBorders>
              <w:top w:val="single" w:sz="2" w:space="0" w:color="auto"/>
              <w:left w:val="single" w:sz="2" w:space="0" w:color="auto"/>
              <w:bottom w:val="single" w:sz="2" w:space="0" w:color="auto"/>
              <w:right w:val="single" w:sz="2" w:space="0" w:color="auto"/>
            </w:tcBorders>
            <w:vAlign w:val="center"/>
          </w:tcPr>
          <w:p w14:paraId="1A50E41E">
            <w:pPr>
              <w:spacing w:line="360" w:lineRule="auto"/>
              <w:jc w:val="center"/>
              <w:rPr>
                <w:rFonts w:ascii="宋体" w:hAnsi="宋体"/>
                <w:lang w:eastAsia="zh-CN"/>
              </w:rPr>
            </w:pPr>
            <w:r>
              <w:rPr>
                <w:rFonts w:ascii="宋体" w:hAnsi="宋体" w:hint="eastAsia"/>
                <w:lang w:eastAsia="zh-CN"/>
              </w:rPr>
              <w:t>内容完整性和编制水平</w:t>
            </w:r>
          </w:p>
        </w:tc>
        <w:tc>
          <w:tcPr>
            <w:tcW w:w="5241" w:type="dxa"/>
            <w:tcBorders>
              <w:top w:val="single" w:sz="2" w:space="0" w:color="auto"/>
              <w:left w:val="single" w:sz="2" w:space="0" w:color="auto"/>
              <w:bottom w:val="single" w:sz="2" w:space="0" w:color="auto"/>
              <w:right w:val="single" w:sz="2" w:space="0" w:color="auto"/>
            </w:tcBorders>
            <w:vAlign w:val="center"/>
          </w:tcPr>
          <w:p w14:paraId="398CDA67">
            <w:pPr>
              <w:spacing w:line="360" w:lineRule="auto"/>
              <w:rPr>
                <w:rFonts w:ascii="宋体" w:hAnsi="宋体"/>
                <w:lang w:eastAsia="zh-CN"/>
              </w:rPr>
            </w:pPr>
            <w:r>
              <w:rPr>
                <w:rFonts w:ascii="宋体" w:hAnsi="宋体" w:hint="eastAsia"/>
                <w:color w:val="00B0F0"/>
                <w:lang w:eastAsia="zh-CN"/>
              </w:rPr>
              <w:t xml:space="preserve"> 对投标人提供的施工组织设计内容是否完整、编制水平进行评审，优得3-2分，良得 1.9-1分，差得0.9-0.5 分，无得0分。 </w:t>
            </w:r>
            <w:r>
              <w:rPr>
                <w:rFonts w:ascii="宋体" w:hAnsi="宋体" w:hint="eastAsia"/>
                <w:lang w:eastAsia="zh-CN"/>
              </w:rPr>
              <w:t xml:space="preserve"> </w:t>
            </w:r>
          </w:p>
          <w:p w14:paraId="340522C2">
            <w:pPr>
              <w:spacing w:line="360" w:lineRule="auto"/>
              <w:rPr>
                <w:rFonts w:ascii="宋体" w:hAnsi="宋体"/>
                <w:lang w:eastAsia="zh-CN"/>
              </w:rPr>
            </w:pPr>
          </w:p>
        </w:tc>
      </w:tr>
      <w:tr w14:paraId="0F8D890E">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1093AAF2">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0238BDE3">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267D6294">
            <w:pPr>
              <w:spacing w:line="360" w:lineRule="auto"/>
              <w:jc w:val="center"/>
              <w:rPr>
                <w:rFonts w:ascii="宋体" w:hAnsi="宋体"/>
              </w:rPr>
            </w:pPr>
            <w:r>
              <w:rPr>
                <w:rFonts w:ascii="宋体" w:hAnsi="宋体" w:hint="eastAsia"/>
              </w:rPr>
              <w:t>施工方案与技术措施</w:t>
            </w:r>
          </w:p>
        </w:tc>
        <w:tc>
          <w:tcPr>
            <w:tcW w:w="5241" w:type="dxa"/>
            <w:tcBorders>
              <w:top w:val="single" w:sz="2" w:space="0" w:color="auto"/>
              <w:left w:val="single" w:sz="2" w:space="0" w:color="auto"/>
              <w:bottom w:val="single" w:sz="2" w:space="0" w:color="auto"/>
              <w:right w:val="single" w:sz="2" w:space="0" w:color="auto"/>
            </w:tcBorders>
            <w:vAlign w:val="center"/>
          </w:tcPr>
          <w:p w14:paraId="48CF2459">
            <w:pPr>
              <w:spacing w:line="360" w:lineRule="auto"/>
              <w:rPr>
                <w:rFonts w:ascii="宋体" w:hAnsi="宋体"/>
              </w:rPr>
            </w:pPr>
            <w:r>
              <w:rPr>
                <w:rFonts w:ascii="宋体" w:hAnsi="宋体" w:hint="eastAsia"/>
                <w:color w:val="00B0F0"/>
              </w:rPr>
              <w:t xml:space="preserve"> 根据工程特点，对投标人提供的施工方案与技术措施方案（包含但不限于：①施工部署；②针对本项目施工前的准备工作计划；③施工组织管理机构；④工程重难点分析；⑤重点分部分项施工方案）是否全面、合理、具有针对性等进行评审，优得5-4分，良得 3.9-2分，差得1.9-1分，无得0分。</w:t>
            </w:r>
            <w:r>
              <w:rPr>
                <w:rFonts w:ascii="宋体" w:hAnsi="宋体" w:hint="eastAsia"/>
              </w:rPr>
              <w:t xml:space="preserve"> </w:t>
            </w:r>
          </w:p>
          <w:p w14:paraId="34CC170A">
            <w:pPr>
              <w:spacing w:line="360" w:lineRule="auto"/>
              <w:rPr>
                <w:rFonts w:ascii="宋体" w:hAnsi="宋体"/>
              </w:rPr>
            </w:pPr>
          </w:p>
        </w:tc>
      </w:tr>
      <w:tr w14:paraId="6FCA15B7">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523ACB73">
            <w:pPr>
              <w:rPr>
                <w:rFonts w:ascii="宋体" w:eastAsia="宋体" w:hAnsi="宋体"/>
                <w:kern w:val="2"/>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09C5C1FE">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1BE0A575">
            <w:pPr>
              <w:spacing w:line="360" w:lineRule="auto"/>
              <w:jc w:val="center"/>
              <w:rPr>
                <w:rFonts w:ascii="宋体" w:hAnsi="宋体"/>
              </w:rPr>
            </w:pPr>
            <w:r>
              <w:rPr>
                <w:rFonts w:ascii="宋体" w:hAnsi="宋体" w:hint="eastAsia"/>
              </w:rPr>
              <w:t>质量管理体系与措施</w:t>
            </w:r>
          </w:p>
        </w:tc>
        <w:tc>
          <w:tcPr>
            <w:tcW w:w="5241" w:type="dxa"/>
            <w:tcBorders>
              <w:top w:val="single" w:sz="2" w:space="0" w:color="auto"/>
              <w:left w:val="single" w:sz="2" w:space="0" w:color="auto"/>
              <w:bottom w:val="single" w:sz="2" w:space="0" w:color="auto"/>
              <w:right w:val="single" w:sz="2" w:space="0" w:color="auto"/>
            </w:tcBorders>
            <w:vAlign w:val="center"/>
          </w:tcPr>
          <w:p w14:paraId="1285EC66">
            <w:pPr>
              <w:spacing w:line="360" w:lineRule="auto"/>
              <w:rPr>
                <w:rFonts w:ascii="宋体" w:hAnsi="宋体"/>
              </w:rPr>
            </w:pPr>
            <w:r>
              <w:rPr>
                <w:rFonts w:ascii="宋体" w:hAnsi="宋体" w:hint="eastAsia"/>
                <w:color w:val="00B0F0"/>
              </w:rPr>
              <w:t xml:space="preserve">  根据工程特点，对投标人提供的质量管理体系与措施方案（包含但不限于：①确保工程质量的技术组织措施、引用的规范标准；②质量保证体系；③质量目标及质量控制的保证措施；④质量管理制度；⑤检查制度等内容）是否全面、合理、具有针对性等进行评审，优得4-3分，良得 2.9-1分，差得0.9-0.5 分，无得0分。 </w:t>
            </w:r>
            <w:r>
              <w:rPr>
                <w:rFonts w:ascii="宋体" w:hAnsi="宋体" w:hint="eastAsia"/>
              </w:rPr>
              <w:t xml:space="preserve"> </w:t>
            </w:r>
          </w:p>
          <w:p w14:paraId="384254CF">
            <w:pPr>
              <w:spacing w:line="360" w:lineRule="auto"/>
              <w:rPr>
                <w:rFonts w:ascii="宋体" w:hAnsi="宋体"/>
              </w:rPr>
            </w:pPr>
          </w:p>
        </w:tc>
      </w:tr>
      <w:tr w14:paraId="356432D9">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66078DA4">
            <w:pPr>
              <w:rPr>
                <w:rFonts w:ascii="宋体" w:eastAsia="宋体" w:hAnsi="宋体"/>
                <w:kern w:val="2"/>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3BF0D2FA">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5909F651">
            <w:pPr>
              <w:spacing w:line="360" w:lineRule="auto"/>
              <w:jc w:val="center"/>
              <w:rPr>
                <w:rFonts w:ascii="宋体" w:hAnsi="宋体"/>
              </w:rPr>
            </w:pPr>
            <w:r>
              <w:rPr>
                <w:rFonts w:ascii="宋体" w:hAnsi="宋体" w:hint="eastAsia"/>
              </w:rPr>
              <w:t>安全管理体系与措施</w:t>
            </w:r>
          </w:p>
        </w:tc>
        <w:tc>
          <w:tcPr>
            <w:tcW w:w="5241" w:type="dxa"/>
            <w:tcBorders>
              <w:top w:val="single" w:sz="2" w:space="0" w:color="auto"/>
              <w:left w:val="single" w:sz="2" w:space="0" w:color="auto"/>
              <w:bottom w:val="single" w:sz="2" w:space="0" w:color="auto"/>
              <w:right w:val="single" w:sz="2" w:space="0" w:color="auto"/>
            </w:tcBorders>
            <w:vAlign w:val="center"/>
          </w:tcPr>
          <w:p w14:paraId="4D279F2E">
            <w:pPr>
              <w:spacing w:line="360" w:lineRule="auto"/>
              <w:rPr>
                <w:rFonts w:ascii="宋体" w:hAnsi="宋体"/>
              </w:rPr>
            </w:pPr>
            <w:r>
              <w:rPr>
                <w:rFonts w:ascii="宋体" w:hAnsi="宋体" w:hint="eastAsia"/>
                <w:color w:val="00B0F0"/>
              </w:rPr>
              <w:t xml:space="preserve">  根据工程特点，对投标人提供的安全管理体系与措施方案（包含但不限于：①安全生产管理目标；②安全管理体系；③安全综合保证措施；④安全的各项保证措施；⑤安全应急救援预案）是否全面、合理、具有针对性等进行评审，优得4-3分，良得 2.9-1分，差得0.9-0.5 分，无得0分。 </w:t>
            </w:r>
            <w:r>
              <w:rPr>
                <w:rFonts w:ascii="宋体" w:hAnsi="宋体" w:hint="eastAsia"/>
              </w:rPr>
              <w:t xml:space="preserve"> </w:t>
            </w:r>
          </w:p>
          <w:p w14:paraId="255CFAA3">
            <w:pPr>
              <w:spacing w:line="360" w:lineRule="auto"/>
              <w:rPr>
                <w:rFonts w:ascii="宋体" w:hAnsi="宋体"/>
              </w:rPr>
            </w:pPr>
          </w:p>
        </w:tc>
      </w:tr>
      <w:tr w14:paraId="2415B6D8">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5E93D10F">
            <w:pPr>
              <w:rPr>
                <w:rFonts w:ascii="宋体" w:eastAsia="宋体" w:hAnsi="宋体"/>
                <w:kern w:val="2"/>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1D47C193">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78CB2F9D">
            <w:pPr>
              <w:spacing w:line="360" w:lineRule="auto"/>
              <w:jc w:val="center"/>
              <w:rPr>
                <w:rFonts w:ascii="宋体" w:hAnsi="宋体"/>
                <w:lang w:eastAsia="zh-CN"/>
              </w:rPr>
            </w:pPr>
            <w:r>
              <w:rPr>
                <w:rFonts w:ascii="宋体" w:hAnsi="宋体" w:hint="eastAsia"/>
                <w:lang w:eastAsia="zh-CN"/>
              </w:rPr>
              <w:t>环境保护管理体系与措施</w:t>
            </w:r>
          </w:p>
        </w:tc>
        <w:tc>
          <w:tcPr>
            <w:tcW w:w="5241" w:type="dxa"/>
            <w:tcBorders>
              <w:top w:val="single" w:sz="2" w:space="0" w:color="auto"/>
              <w:left w:val="single" w:sz="2" w:space="0" w:color="auto"/>
              <w:bottom w:val="single" w:sz="2" w:space="0" w:color="auto"/>
              <w:right w:val="single" w:sz="2" w:space="0" w:color="auto"/>
            </w:tcBorders>
            <w:vAlign w:val="center"/>
          </w:tcPr>
          <w:p w14:paraId="0C1761F5">
            <w:pPr>
              <w:spacing w:line="360" w:lineRule="auto"/>
              <w:rPr>
                <w:rFonts w:ascii="宋体" w:hAnsi="宋体"/>
                <w:lang w:eastAsia="zh-CN"/>
              </w:rPr>
            </w:pPr>
            <w:r>
              <w:rPr>
                <w:rFonts w:ascii="宋体" w:hAnsi="宋体" w:hint="eastAsia"/>
                <w:color w:val="00B0F0"/>
                <w:lang w:eastAsia="zh-CN"/>
              </w:rPr>
              <w:t xml:space="preserve">  根据工程特点，对投标人提供的环境保护管理体系与措施方案（包括但不限于：①卫生保护措施和污染物处理及排放措施；②环境保护管理体系及现场文明施工措施）是否全面、合理、具有针对性等进行评审，优得4-3分，良得 2.9-1分，差得0.9-0.5 分，无得0分。   </w:t>
            </w:r>
            <w:r>
              <w:rPr>
                <w:rFonts w:ascii="宋体" w:hAnsi="宋体" w:hint="eastAsia"/>
                <w:lang w:eastAsia="zh-CN"/>
              </w:rPr>
              <w:t xml:space="preserve"> </w:t>
            </w:r>
          </w:p>
          <w:p w14:paraId="55BE0C9C">
            <w:pPr>
              <w:spacing w:line="360" w:lineRule="auto"/>
              <w:rPr>
                <w:rFonts w:ascii="宋体" w:hAnsi="宋体"/>
                <w:lang w:eastAsia="zh-CN"/>
              </w:rPr>
            </w:pPr>
          </w:p>
        </w:tc>
      </w:tr>
      <w:tr w14:paraId="674EED62">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28A112B8">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4DFDC87E">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6B72D4B3">
            <w:pPr>
              <w:spacing w:line="360" w:lineRule="auto"/>
              <w:jc w:val="center"/>
              <w:rPr>
                <w:rFonts w:ascii="宋体" w:hAnsi="宋体"/>
              </w:rPr>
            </w:pPr>
            <w:r>
              <w:rPr>
                <w:rFonts w:ascii="宋体" w:hAnsi="宋体" w:hint="eastAsia"/>
              </w:rPr>
              <w:t>工程进度计划与措施</w:t>
            </w:r>
          </w:p>
        </w:tc>
        <w:tc>
          <w:tcPr>
            <w:tcW w:w="5241" w:type="dxa"/>
            <w:tcBorders>
              <w:top w:val="single" w:sz="2" w:space="0" w:color="auto"/>
              <w:left w:val="single" w:sz="2" w:space="0" w:color="auto"/>
              <w:bottom w:val="single" w:sz="2" w:space="0" w:color="auto"/>
              <w:right w:val="single" w:sz="2" w:space="0" w:color="auto"/>
            </w:tcBorders>
            <w:vAlign w:val="center"/>
          </w:tcPr>
          <w:p w14:paraId="62DD57D2">
            <w:pPr>
              <w:spacing w:line="360" w:lineRule="auto"/>
              <w:rPr>
                <w:rFonts w:ascii="宋体" w:hAnsi="宋体"/>
              </w:rPr>
            </w:pPr>
            <w:r>
              <w:rPr>
                <w:rFonts w:ascii="宋体" w:hAnsi="宋体" w:hint="eastAsia"/>
                <w:color w:val="00B0F0"/>
              </w:rPr>
              <w:t xml:space="preserve">  根据工程特点，对投标人提供的工程进度计划与措施方案（包括且不限于：①工程进度计划；②施工进度网络图和工期保证措施）是否全面、合理、具有针对性等进行评审，优得4-3分，良得 2.9-1分，差得0.9-0.5 分，无得0分。 </w:t>
            </w:r>
            <w:r>
              <w:rPr>
                <w:rFonts w:ascii="宋体" w:hAnsi="宋体" w:hint="eastAsia"/>
              </w:rPr>
              <w:t xml:space="preserve"> </w:t>
            </w:r>
          </w:p>
          <w:p w14:paraId="1D0B9E6D">
            <w:pPr>
              <w:spacing w:line="360" w:lineRule="auto"/>
              <w:rPr>
                <w:rFonts w:ascii="宋体" w:hAnsi="宋体"/>
              </w:rPr>
            </w:pPr>
          </w:p>
        </w:tc>
      </w:tr>
      <w:tr w14:paraId="01A38AE7">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62F197DE">
            <w:pPr>
              <w:rPr>
                <w:rFonts w:ascii="宋体" w:eastAsia="宋体" w:hAnsi="宋体"/>
                <w:kern w:val="2"/>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1A11FF2C">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57555477">
            <w:pPr>
              <w:spacing w:line="360" w:lineRule="auto"/>
              <w:jc w:val="center"/>
              <w:rPr>
                <w:rFonts w:ascii="宋体" w:hAnsi="宋体"/>
              </w:rPr>
            </w:pPr>
            <w:r>
              <w:rPr>
                <w:rFonts w:ascii="宋体" w:hAnsi="宋体" w:hint="eastAsia"/>
              </w:rPr>
              <w:t>资源配备计划</w:t>
            </w:r>
          </w:p>
        </w:tc>
        <w:tc>
          <w:tcPr>
            <w:tcW w:w="5241" w:type="dxa"/>
            <w:tcBorders>
              <w:top w:val="single" w:sz="2" w:space="0" w:color="auto"/>
              <w:left w:val="single" w:sz="2" w:space="0" w:color="auto"/>
              <w:bottom w:val="single" w:sz="2" w:space="0" w:color="auto"/>
              <w:right w:val="single" w:sz="2" w:space="0" w:color="auto"/>
            </w:tcBorders>
            <w:vAlign w:val="center"/>
          </w:tcPr>
          <w:p w14:paraId="573D942F">
            <w:pPr>
              <w:spacing w:line="360" w:lineRule="auto"/>
              <w:rPr>
                <w:rFonts w:ascii="宋体" w:hAnsi="宋体"/>
              </w:rPr>
            </w:pPr>
            <w:r>
              <w:rPr>
                <w:rFonts w:ascii="宋体" w:hAnsi="宋体" w:hint="eastAsia"/>
                <w:color w:val="00B0F0"/>
              </w:rPr>
              <w:t xml:space="preserve"> 根据工程特点，对投标人提供的资源配备计划方案（包含但不限于：①人员配置安排；②主要材料安排；③主要施工机具；④设备配置安排）是否全面、合理、具有针对性等进行评审，优得4-3分，良得 2.9-1分，差得0.9-0.5 分，无得0分。  </w:t>
            </w:r>
            <w:r>
              <w:rPr>
                <w:rFonts w:ascii="宋体" w:hAnsi="宋体" w:hint="eastAsia"/>
              </w:rPr>
              <w:t xml:space="preserve"> </w:t>
            </w:r>
          </w:p>
          <w:p w14:paraId="0613EC87">
            <w:pPr>
              <w:spacing w:line="360" w:lineRule="auto"/>
              <w:rPr>
                <w:rFonts w:ascii="宋体" w:hAnsi="宋体"/>
              </w:rPr>
            </w:pPr>
          </w:p>
        </w:tc>
      </w:tr>
      <w:tr w14:paraId="22AA963D">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3CD8ABC6">
            <w:pPr>
              <w:rPr>
                <w:rFonts w:ascii="宋体" w:eastAsia="宋体" w:hAnsi="宋体"/>
                <w:kern w:val="2"/>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2D058A15">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48F13BA2">
            <w:pPr>
              <w:spacing w:line="360" w:lineRule="auto"/>
              <w:jc w:val="center"/>
              <w:rPr>
                <w:rFonts w:ascii="宋体" w:hAnsi="宋体"/>
                <w:lang w:eastAsia="zh-CN"/>
              </w:rPr>
            </w:pPr>
            <w:r>
              <w:rPr>
                <w:rFonts w:ascii="宋体" w:hAnsi="宋体" w:hint="eastAsia"/>
                <w:lang w:eastAsia="zh-CN"/>
              </w:rPr>
              <w:t>建筑垃圾减排和资源化利用计划与措施</w:t>
            </w:r>
          </w:p>
        </w:tc>
        <w:tc>
          <w:tcPr>
            <w:tcW w:w="5241" w:type="dxa"/>
            <w:tcBorders>
              <w:top w:val="single" w:sz="2" w:space="0" w:color="auto"/>
              <w:left w:val="single" w:sz="2" w:space="0" w:color="auto"/>
              <w:bottom w:val="single" w:sz="2" w:space="0" w:color="auto"/>
              <w:right w:val="single" w:sz="2" w:space="0" w:color="auto"/>
            </w:tcBorders>
            <w:vAlign w:val="center"/>
          </w:tcPr>
          <w:p w14:paraId="5C0E519B">
            <w:pPr>
              <w:spacing w:line="360" w:lineRule="auto"/>
              <w:rPr>
                <w:rFonts w:ascii="宋体" w:hAnsi="宋体"/>
                <w:lang w:eastAsia="zh-CN"/>
              </w:rPr>
            </w:pPr>
            <w:r>
              <w:rPr>
                <w:rFonts w:ascii="宋体" w:hAnsi="宋体" w:hint="eastAsia"/>
                <w:color w:val="00B0F0"/>
                <w:lang w:eastAsia="zh-CN"/>
              </w:rPr>
              <w:t xml:space="preserve"> 根据工程特点，对投标人提供的建筑垃圾减排和资源化利用计划与措施方案是否全面、合理、具有针对性等进行评审，优得3-2分，良得 1.9-1分，差得0.9-0.5 分，无得0分。 </w:t>
            </w:r>
            <w:r>
              <w:rPr>
                <w:rFonts w:ascii="宋体" w:hAnsi="宋体" w:hint="eastAsia"/>
                <w:lang w:eastAsia="zh-CN"/>
              </w:rPr>
              <w:t xml:space="preserve"> </w:t>
            </w:r>
          </w:p>
          <w:p w14:paraId="67C9CE9D">
            <w:pPr>
              <w:spacing w:line="360" w:lineRule="auto"/>
              <w:rPr>
                <w:rFonts w:ascii="宋体" w:hAnsi="宋体"/>
                <w:color w:val="00B0F0"/>
                <w:lang w:eastAsia="zh-CN"/>
              </w:rPr>
            </w:pPr>
          </w:p>
        </w:tc>
      </w:tr>
      <w:tr w14:paraId="17D6C412">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5D3C8E1A">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4ACCA161">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9BB8126">
            <w:pPr>
              <w:spacing w:line="360" w:lineRule="auto"/>
              <w:jc w:val="center"/>
              <w:rPr>
                <w:rFonts w:ascii="宋体" w:hAnsi="宋体"/>
                <w:lang w:eastAsia="zh-CN"/>
              </w:rPr>
            </w:pPr>
            <w:r>
              <w:rPr>
                <w:rFonts w:ascii="宋体" w:hAnsi="宋体" w:hint="eastAsia"/>
                <w:lang w:eastAsia="zh-CN"/>
              </w:rPr>
              <w:t>绿色建材应用计划与措施</w:t>
            </w:r>
          </w:p>
        </w:tc>
        <w:tc>
          <w:tcPr>
            <w:tcW w:w="5241" w:type="dxa"/>
            <w:tcBorders>
              <w:top w:val="single" w:sz="2" w:space="0" w:color="auto"/>
              <w:left w:val="single" w:sz="2" w:space="0" w:color="auto"/>
              <w:bottom w:val="single" w:sz="2" w:space="0" w:color="auto"/>
              <w:right w:val="single" w:sz="2" w:space="0" w:color="auto"/>
            </w:tcBorders>
            <w:vAlign w:val="center"/>
          </w:tcPr>
          <w:p w14:paraId="3D1DDCD4">
            <w:pPr>
              <w:spacing w:line="360" w:lineRule="auto"/>
              <w:rPr>
                <w:rFonts w:ascii="宋体" w:hAnsi="宋体"/>
                <w:color w:val="00B0F0"/>
                <w:lang w:eastAsia="zh-CN"/>
              </w:rPr>
            </w:pPr>
            <w:r>
              <w:rPr>
                <w:rFonts w:ascii="宋体" w:hAnsi="宋体" w:hint="eastAsia"/>
                <w:color w:val="00B0F0"/>
                <w:lang w:eastAsia="zh-CN"/>
              </w:rPr>
              <w:t xml:space="preserve">  根据工程特点，对投标人提供的绿色建材应用计划与措施方案是否全面、合理、具有针对性等进行评审，优得3-2分，良得 1.9-1分，差得0.9-0.5 分，无得0分。   </w:t>
            </w:r>
            <w:r>
              <w:rPr>
                <w:rFonts w:ascii="宋体" w:hAnsi="宋体" w:hint="eastAsia"/>
                <w:color w:val="00B0F0"/>
                <w:lang w:eastAsia="zh-CN"/>
              </w:rPr>
              <w:t xml:space="preserve"> </w:t>
            </w:r>
          </w:p>
        </w:tc>
      </w:tr>
      <w:tr w14:paraId="2CE72EF5">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604D39F4">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466763EF">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F53CFC9">
            <w:pPr>
              <w:spacing w:line="360" w:lineRule="auto"/>
              <w:jc w:val="center"/>
              <w:rPr>
                <w:rFonts w:ascii="宋体" w:hAnsi="宋体"/>
              </w:rPr>
            </w:pPr>
            <w:r>
              <w:rPr>
                <w:rFonts w:ascii="宋体" w:hAnsi="宋体" w:hint="eastAsia"/>
              </w:rPr>
              <w:t>……</w:t>
            </w:r>
          </w:p>
        </w:tc>
        <w:tc>
          <w:tcPr>
            <w:tcW w:w="5241" w:type="dxa"/>
            <w:tcBorders>
              <w:top w:val="single" w:sz="2" w:space="0" w:color="auto"/>
              <w:left w:val="single" w:sz="2" w:space="0" w:color="auto"/>
              <w:bottom w:val="single" w:sz="2" w:space="0" w:color="auto"/>
              <w:right w:val="single" w:sz="2" w:space="0" w:color="auto"/>
            </w:tcBorders>
            <w:vAlign w:val="center"/>
          </w:tcPr>
          <w:p w14:paraId="2B7B7EEC">
            <w:pPr>
              <w:spacing w:line="360" w:lineRule="auto"/>
              <w:jc w:val="center"/>
              <w:rPr>
                <w:rFonts w:ascii="宋体" w:hAnsi="宋体"/>
              </w:rPr>
            </w:pPr>
            <w:r>
              <w:rPr>
                <w:rFonts w:ascii="宋体" w:hAnsi="宋体" w:hint="eastAsia"/>
              </w:rPr>
              <w:t>……</w:t>
            </w:r>
          </w:p>
        </w:tc>
      </w:tr>
      <w:tr w14:paraId="0AC0F382">
        <w:tblPrEx>
          <w:tblW w:w="9210" w:type="dxa"/>
          <w:jc w:val="center"/>
          <w:tblLayout w:type="fixed"/>
          <w:tblCellMar>
            <w:top w:w="0" w:type="dxa"/>
            <w:left w:w="108" w:type="dxa"/>
            <w:bottom w:w="0" w:type="dxa"/>
            <w:right w:w="108" w:type="dxa"/>
          </w:tblCellMar>
        </w:tblPrEx>
        <w:trPr>
          <w:trHeight w:val="476"/>
          <w:jc w:val="center"/>
        </w:trPr>
        <w:tc>
          <w:tcPr>
            <w:tcW w:w="9210" w:type="dxa"/>
            <w:gridSpan w:val="4"/>
            <w:tcBorders>
              <w:top w:val="single" w:sz="2" w:space="0" w:color="auto"/>
              <w:left w:val="single" w:sz="2" w:space="0" w:color="auto"/>
              <w:bottom w:val="single" w:sz="2" w:space="0" w:color="auto"/>
              <w:right w:val="single" w:sz="2" w:space="0" w:color="auto"/>
            </w:tcBorders>
            <w:vAlign w:val="center"/>
          </w:tcPr>
          <w:p w14:paraId="1EC63DDA">
            <w:pPr>
              <w:spacing w:line="360" w:lineRule="auto"/>
              <w:jc w:val="left"/>
              <w:rPr>
                <w:rFonts w:ascii="宋体" w:hAnsi="宋体" w:hint="eastAsia"/>
              </w:rPr>
            </w:pPr>
            <w:r>
              <w:rPr>
                <w:rFonts w:ascii="宋体" w:hAnsi="宋体" w:hint="eastAsia"/>
              </w:rPr>
              <w:t>其他说明：</w:t>
            </w:r>
          </w:p>
          <w:p w14:paraId="2B0E81B0">
            <w:pPr>
              <w:spacing w:line="360" w:lineRule="auto"/>
              <w:jc w:val="left"/>
              <w:rPr>
                <w:rFonts w:ascii="宋体" w:hAnsi="宋体" w:hint="eastAsia"/>
              </w:rPr>
            </w:pPr>
            <w:r>
              <w:rPr>
                <w:rFonts w:ascii="宋体" w:hAnsi="宋体" w:hint="eastAsia"/>
              </w:rPr>
              <w:t>1.</w:t>
            </w:r>
            <w:r>
              <w:rPr>
                <w:rFonts w:ascii="宋体" w:hAnsi="宋体" w:hint="eastAsia"/>
                <w:lang w:val="en-US" w:eastAsia="zh-CN"/>
              </w:rPr>
              <w:t>施工组织设计</w:t>
            </w:r>
            <w:r>
              <w:rPr>
                <w:rFonts w:ascii="宋体" w:hAnsi="宋体" w:hint="eastAsia"/>
              </w:rPr>
              <w:t>部分评审，每一项评分因素采用所有评标委员会成员评分去掉一个最高分和一个最低分后算术平均为投标人该项得分。</w:t>
            </w:r>
          </w:p>
          <w:p w14:paraId="78C71097">
            <w:pPr>
              <w:spacing w:line="360" w:lineRule="auto"/>
              <w:jc w:val="left"/>
              <w:rPr>
                <w:rFonts w:ascii="宋体" w:hAnsi="宋体" w:hint="eastAsia"/>
              </w:rPr>
            </w:pPr>
            <w:r>
              <w:rPr>
                <w:rFonts w:ascii="宋体" w:hAnsi="宋体" w:hint="eastAsia"/>
              </w:rPr>
              <w:t>2.每一项评分因素投标文件未一一对应单独响应的，或有一评分因素投标文件响应缺失或得0分的或无实质性响应内容的，或整个</w:t>
            </w:r>
            <w:r>
              <w:rPr>
                <w:rFonts w:ascii="宋体" w:hAnsi="宋体" w:hint="eastAsia"/>
                <w:lang w:val="en-US" w:eastAsia="zh-CN"/>
              </w:rPr>
              <w:t>施工组织设计</w:t>
            </w:r>
            <w:r>
              <w:rPr>
                <w:rFonts w:ascii="宋体" w:hAnsi="宋体" w:hint="eastAsia"/>
              </w:rPr>
              <w:t>得分低于该部分满分的60%，视为该投标文件存在遗漏或重大偏离，作否决投标处理(某一评分因素招标人无要求或满分为0分的情况除外)。</w:t>
            </w:r>
          </w:p>
          <w:p w14:paraId="1A782721">
            <w:pPr>
              <w:spacing w:line="360" w:lineRule="auto"/>
              <w:jc w:val="left"/>
              <w:rPr>
                <w:rFonts w:ascii="宋体" w:hAnsi="宋体" w:hint="eastAsia"/>
              </w:rPr>
            </w:pPr>
            <w:r>
              <w:rPr>
                <w:rFonts w:ascii="宋体" w:hAnsi="宋体" w:hint="eastAsia"/>
              </w:rPr>
              <w:t>3.投标文件不符合投标人须知前附表10.1</w:t>
            </w:r>
            <w:r>
              <w:rPr>
                <w:rFonts w:ascii="宋体" w:hAnsi="宋体" w:hint="eastAsia"/>
                <w:lang w:val="en-US" w:eastAsia="zh-CN"/>
              </w:rPr>
              <w:t>5</w:t>
            </w:r>
            <w:r>
              <w:rPr>
                <w:rFonts w:ascii="宋体" w:hAnsi="宋体" w:hint="eastAsia"/>
              </w:rPr>
              <w:t>条要求的，投标文件作否决投标处理。</w:t>
            </w:r>
          </w:p>
        </w:tc>
      </w:tr>
      <w:tr w14:paraId="3E05EC68">
        <w:tblPrEx>
          <w:tblW w:w="9210" w:type="dxa"/>
          <w:jc w:val="center"/>
          <w:tblLayout w:type="fixed"/>
          <w:tblCellMar>
            <w:top w:w="0" w:type="dxa"/>
            <w:left w:w="108" w:type="dxa"/>
            <w:bottom w:w="0" w:type="dxa"/>
            <w:right w:w="108" w:type="dxa"/>
          </w:tblCellMar>
        </w:tblPrEx>
        <w:trPr>
          <w:trHeight w:val="476"/>
          <w:jc w:val="center"/>
        </w:trPr>
        <w:tc>
          <w:tcPr>
            <w:tcW w:w="1276" w:type="dxa"/>
            <w:vMerge w:val="restart"/>
            <w:tcBorders>
              <w:top w:val="single" w:sz="2" w:space="0" w:color="auto"/>
              <w:left w:val="single" w:sz="2" w:space="0" w:color="auto"/>
              <w:bottom w:val="single" w:sz="2" w:space="0" w:color="auto"/>
              <w:right w:val="single" w:sz="2" w:space="0" w:color="auto"/>
            </w:tcBorders>
            <w:vAlign w:val="center"/>
          </w:tcPr>
          <w:p w14:paraId="68AC0B6F">
            <w:pPr>
              <w:spacing w:line="360" w:lineRule="auto"/>
              <w:jc w:val="center"/>
              <w:rPr>
                <w:rFonts w:ascii="宋体" w:hAnsi="宋体"/>
              </w:rPr>
            </w:pPr>
            <w:r>
              <w:rPr>
                <w:rFonts w:ascii="宋体" w:hAnsi="宋体" w:hint="eastAsia"/>
              </w:rPr>
              <w:t>2.2.4(2)</w:t>
            </w:r>
          </w:p>
        </w:tc>
        <w:tc>
          <w:tcPr>
            <w:tcW w:w="851" w:type="dxa"/>
            <w:vMerge w:val="restart"/>
            <w:tcBorders>
              <w:top w:val="single" w:sz="2" w:space="0" w:color="auto"/>
              <w:left w:val="single" w:sz="2" w:space="0" w:color="auto"/>
              <w:bottom w:val="single" w:sz="2" w:space="0" w:color="auto"/>
              <w:right w:val="single" w:sz="2" w:space="0" w:color="auto"/>
            </w:tcBorders>
            <w:vAlign w:val="center"/>
          </w:tcPr>
          <w:p w14:paraId="562637A6">
            <w:pPr>
              <w:spacing w:line="360" w:lineRule="auto"/>
              <w:jc w:val="center"/>
              <w:rPr>
                <w:rFonts w:ascii="宋体" w:hAnsi="宋体"/>
                <w:lang w:eastAsia="zh-CN"/>
              </w:rPr>
            </w:pPr>
            <w:r>
              <w:rPr>
                <w:rFonts w:ascii="宋体" w:hAnsi="宋体" w:hint="eastAsia"/>
                <w:lang w:eastAsia="zh-CN"/>
              </w:rPr>
              <w:t>项目 管理 机构 评分 标准</w:t>
            </w:r>
          </w:p>
        </w:tc>
        <w:tc>
          <w:tcPr>
            <w:tcW w:w="1842" w:type="dxa"/>
            <w:tcBorders>
              <w:top w:val="single" w:sz="2" w:space="0" w:color="auto"/>
              <w:left w:val="single" w:sz="2" w:space="0" w:color="auto"/>
              <w:bottom w:val="single" w:sz="2" w:space="0" w:color="auto"/>
              <w:right w:val="single" w:sz="2" w:space="0" w:color="auto"/>
            </w:tcBorders>
            <w:vAlign w:val="center"/>
          </w:tcPr>
          <w:p w14:paraId="51238A54">
            <w:pPr>
              <w:spacing w:line="360" w:lineRule="auto"/>
              <w:jc w:val="center"/>
              <w:rPr>
                <w:rFonts w:ascii="宋体" w:hAnsi="宋体"/>
                <w:lang w:eastAsia="zh-CN"/>
              </w:rPr>
            </w:pPr>
            <w:r>
              <w:rPr>
                <w:rFonts w:ascii="宋体" w:hAnsi="宋体" w:hint="eastAsia"/>
                <w:lang w:eastAsia="zh-CN"/>
              </w:rPr>
              <w:t>项目经理任职资格与业绩</w:t>
            </w:r>
          </w:p>
        </w:tc>
        <w:tc>
          <w:tcPr>
            <w:tcW w:w="5241" w:type="dxa"/>
            <w:tcBorders>
              <w:top w:val="single" w:sz="2" w:space="0" w:color="auto"/>
              <w:left w:val="single" w:sz="2" w:space="0" w:color="auto"/>
              <w:bottom w:val="single" w:sz="2" w:space="0" w:color="auto"/>
              <w:right w:val="single" w:sz="2" w:space="0" w:color="auto"/>
            </w:tcBorders>
            <w:vAlign w:val="center"/>
          </w:tcPr>
          <w:p w14:paraId="3A318AEB">
            <w:pPr>
              <w:spacing w:line="360" w:lineRule="auto"/>
              <w:rPr>
                <w:rFonts w:ascii="宋体" w:hAnsi="宋体"/>
                <w:lang w:eastAsia="zh-CN"/>
              </w:rPr>
            </w:pPr>
            <w:r>
              <w:rPr>
                <w:rFonts w:ascii="宋体" w:hAnsi="宋体" w:hint="eastAsia"/>
                <w:color w:val="00B0F0"/>
                <w:lang w:eastAsia="zh-CN"/>
              </w:rPr>
              <w:t xml:space="preserve">  具有建筑工程专业二级及以上(注册专业)（级别）建造师，具有省级及以上住房城乡建设主管部门颁发的安全生产考核合格证（B证）得3；本项满分3分。 </w:t>
            </w:r>
            <w:r>
              <w:rPr>
                <w:rFonts w:ascii="宋体" w:hAnsi="宋体" w:hint="eastAsia"/>
                <w:lang w:eastAsia="zh-CN"/>
              </w:rPr>
              <w:t xml:space="preserve"> </w:t>
            </w:r>
          </w:p>
          <w:p w14:paraId="285070E4">
            <w:pPr>
              <w:spacing w:line="360" w:lineRule="auto"/>
              <w:rPr>
                <w:rFonts w:ascii="宋体" w:hAnsi="宋体"/>
                <w:lang w:eastAsia="zh-CN"/>
              </w:rPr>
            </w:pPr>
          </w:p>
        </w:tc>
      </w:tr>
      <w:tr w14:paraId="11E1B5D6">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4CA41C12">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34204D2A">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21E96817">
            <w:pPr>
              <w:spacing w:line="360" w:lineRule="auto"/>
              <w:jc w:val="center"/>
              <w:rPr>
                <w:rFonts w:ascii="宋体" w:hAnsi="宋体"/>
                <w:lang w:eastAsia="zh-CN"/>
              </w:rPr>
            </w:pPr>
            <w:r>
              <w:rPr>
                <w:rFonts w:ascii="宋体" w:hAnsi="宋体" w:hint="eastAsia"/>
                <w:lang w:eastAsia="zh-CN"/>
              </w:rPr>
              <w:t>技术负责人任职资格与业绩</w:t>
            </w:r>
          </w:p>
        </w:tc>
        <w:tc>
          <w:tcPr>
            <w:tcW w:w="5241" w:type="dxa"/>
            <w:tcBorders>
              <w:top w:val="single" w:sz="2" w:space="0" w:color="auto"/>
              <w:left w:val="single" w:sz="2" w:space="0" w:color="auto"/>
              <w:bottom w:val="single" w:sz="2" w:space="0" w:color="auto"/>
              <w:right w:val="single" w:sz="2" w:space="0" w:color="auto"/>
            </w:tcBorders>
            <w:vAlign w:val="center"/>
          </w:tcPr>
          <w:p w14:paraId="64E105CC">
            <w:pPr>
              <w:spacing w:line="360" w:lineRule="auto"/>
              <w:rPr>
                <w:rFonts w:ascii="宋体" w:hAnsi="宋体"/>
                <w:lang w:eastAsia="zh-CN"/>
              </w:rPr>
            </w:pPr>
            <w:r>
              <w:rPr>
                <w:rFonts w:ascii="宋体" w:hAnsi="宋体" w:hint="eastAsia"/>
                <w:color w:val="00B0F0"/>
                <w:lang w:eastAsia="zh-CN"/>
              </w:rPr>
              <w:t xml:space="preserve">  具有工程类中级及以上职称或者与项目经理要求相同的专业和等级的建造师得3分；本项满分3分。 </w:t>
            </w:r>
            <w:r>
              <w:rPr>
                <w:rFonts w:ascii="宋体" w:hAnsi="宋体" w:hint="eastAsia"/>
                <w:lang w:eastAsia="zh-CN"/>
              </w:rPr>
              <w:t xml:space="preserve"> </w:t>
            </w:r>
          </w:p>
          <w:p w14:paraId="216145EB">
            <w:pPr>
              <w:spacing w:line="360" w:lineRule="auto"/>
              <w:rPr>
                <w:rFonts w:ascii="宋体" w:hAnsi="宋体"/>
                <w:lang w:eastAsia="zh-CN"/>
              </w:rPr>
            </w:pPr>
          </w:p>
        </w:tc>
      </w:tr>
      <w:tr w14:paraId="68D7CD67">
        <w:tblPrEx>
          <w:tblW w:w="9210" w:type="dxa"/>
          <w:jc w:val="center"/>
          <w:tblLayout w:type="fixed"/>
          <w:tblCellMar>
            <w:top w:w="0" w:type="dxa"/>
            <w:left w:w="108" w:type="dxa"/>
            <w:bottom w:w="0" w:type="dxa"/>
            <w:right w:w="108" w:type="dxa"/>
          </w:tblCellMar>
        </w:tblPrEx>
        <w:trPr>
          <w:trHeight w:val="476"/>
          <w:jc w:val="center"/>
        </w:trPr>
        <w:tc>
          <w:tcPr>
            <w:tcW w:w="1276" w:type="dxa"/>
            <w:vMerge/>
            <w:tcBorders>
              <w:top w:val="single" w:sz="2" w:space="0" w:color="auto"/>
              <w:left w:val="single" w:sz="2" w:space="0" w:color="auto"/>
              <w:bottom w:val="single" w:sz="2" w:space="0" w:color="auto"/>
              <w:right w:val="single" w:sz="2" w:space="0" w:color="auto"/>
            </w:tcBorders>
            <w:vAlign w:val="center"/>
          </w:tcPr>
          <w:p w14:paraId="496083C9">
            <w:pPr>
              <w:rPr>
                <w:rFonts w:ascii="宋体" w:eastAsia="宋体" w:hAnsi="宋体"/>
                <w:kern w:val="2"/>
                <w:lang w:eastAsia="zh-CN"/>
              </w:rPr>
            </w:pPr>
          </w:p>
        </w:tc>
        <w:tc>
          <w:tcPr>
            <w:tcW w:w="851" w:type="dxa"/>
            <w:vMerge/>
            <w:tcBorders>
              <w:top w:val="single" w:sz="2" w:space="0" w:color="auto"/>
              <w:left w:val="single" w:sz="2" w:space="0" w:color="auto"/>
              <w:bottom w:val="single" w:sz="2" w:space="0" w:color="auto"/>
              <w:right w:val="single" w:sz="2" w:space="0" w:color="auto"/>
            </w:tcBorders>
            <w:vAlign w:val="center"/>
          </w:tcPr>
          <w:p w14:paraId="26DC224C">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21E5A0F2">
            <w:pPr>
              <w:spacing w:line="360" w:lineRule="auto"/>
              <w:jc w:val="center"/>
              <w:rPr>
                <w:rFonts w:ascii="宋体" w:hAnsi="宋体"/>
              </w:rPr>
            </w:pPr>
            <w:r>
              <w:rPr>
                <w:rFonts w:ascii="宋体" w:hAnsi="宋体" w:hint="eastAsia"/>
              </w:rPr>
              <w:t>……</w:t>
            </w:r>
          </w:p>
        </w:tc>
        <w:tc>
          <w:tcPr>
            <w:tcW w:w="5241" w:type="dxa"/>
            <w:tcBorders>
              <w:top w:val="single" w:sz="2" w:space="0" w:color="auto"/>
              <w:left w:val="single" w:sz="2" w:space="0" w:color="auto"/>
              <w:bottom w:val="single" w:sz="2" w:space="0" w:color="auto"/>
              <w:right w:val="single" w:sz="2" w:space="0" w:color="auto"/>
            </w:tcBorders>
            <w:vAlign w:val="center"/>
          </w:tcPr>
          <w:p w14:paraId="3215A8A6">
            <w:pPr>
              <w:spacing w:line="360" w:lineRule="auto"/>
              <w:jc w:val="center"/>
              <w:rPr>
                <w:rFonts w:ascii="宋体" w:hAnsi="宋体"/>
              </w:rPr>
            </w:pPr>
            <w:r>
              <w:rPr>
                <w:rFonts w:ascii="宋体" w:hAnsi="宋体" w:hint="eastAsia"/>
              </w:rPr>
              <w:t>……</w:t>
            </w:r>
          </w:p>
        </w:tc>
      </w:tr>
      <w:tr w14:paraId="1E1D9B53">
        <w:tblPrEx>
          <w:tblW w:w="9210" w:type="dxa"/>
          <w:jc w:val="center"/>
          <w:tblLayout w:type="fixed"/>
          <w:tblCellMar>
            <w:top w:w="0" w:type="dxa"/>
            <w:left w:w="108" w:type="dxa"/>
            <w:bottom w:w="0" w:type="dxa"/>
            <w:right w:w="108" w:type="dxa"/>
          </w:tblCellMar>
        </w:tblPrEx>
        <w:trPr>
          <w:trHeight w:val="476"/>
          <w:jc w:val="center"/>
        </w:trPr>
        <w:tc>
          <w:tcPr>
            <w:tcW w:w="1276" w:type="dxa"/>
            <w:tcBorders>
              <w:top w:val="single" w:sz="2" w:space="0" w:color="auto"/>
              <w:left w:val="single" w:sz="2" w:space="0" w:color="auto"/>
              <w:bottom w:val="single" w:sz="2" w:space="0" w:color="auto"/>
              <w:right w:val="single" w:sz="2" w:space="0" w:color="auto"/>
            </w:tcBorders>
            <w:vAlign w:val="center"/>
          </w:tcPr>
          <w:p w14:paraId="1C6B5B4A">
            <w:pPr>
              <w:spacing w:line="360" w:lineRule="auto"/>
              <w:jc w:val="center"/>
              <w:rPr>
                <w:rFonts w:ascii="宋体" w:hAnsi="宋体"/>
              </w:rPr>
            </w:pPr>
            <w:r>
              <w:rPr>
                <w:rFonts w:ascii="宋体" w:hAnsi="宋体" w:hint="eastAsia"/>
              </w:rPr>
              <w:t>2.2.4(3)</w:t>
            </w:r>
          </w:p>
        </w:tc>
        <w:tc>
          <w:tcPr>
            <w:tcW w:w="851" w:type="dxa"/>
            <w:tcBorders>
              <w:top w:val="single" w:sz="2" w:space="0" w:color="auto"/>
              <w:left w:val="single" w:sz="2" w:space="0" w:color="auto"/>
              <w:bottom w:val="single" w:sz="2" w:space="0" w:color="auto"/>
              <w:right w:val="single" w:sz="2" w:space="0" w:color="auto"/>
            </w:tcBorders>
            <w:vAlign w:val="center"/>
          </w:tcPr>
          <w:p w14:paraId="1434D9BA">
            <w:pPr>
              <w:spacing w:line="360" w:lineRule="auto"/>
              <w:jc w:val="center"/>
              <w:rPr>
                <w:rFonts w:ascii="宋体" w:hAnsi="宋体"/>
              </w:rPr>
            </w:pPr>
            <w:r>
              <w:rPr>
                <w:rFonts w:ascii="宋体" w:hAnsi="宋体" w:hint="eastAsia"/>
              </w:rPr>
              <w:t>投标 报价 评分 标准</w:t>
            </w:r>
          </w:p>
        </w:tc>
        <w:tc>
          <w:tcPr>
            <w:tcW w:w="1842" w:type="dxa"/>
            <w:tcBorders>
              <w:top w:val="single" w:sz="2" w:space="0" w:color="auto"/>
              <w:left w:val="single" w:sz="2" w:space="0" w:color="auto"/>
              <w:bottom w:val="single" w:sz="2" w:space="0" w:color="auto"/>
              <w:right w:val="single" w:sz="2" w:space="0" w:color="auto"/>
            </w:tcBorders>
            <w:vAlign w:val="center"/>
          </w:tcPr>
          <w:p w14:paraId="4FA31B6F">
            <w:pPr>
              <w:spacing w:line="360" w:lineRule="auto"/>
              <w:jc w:val="center"/>
              <w:rPr>
                <w:rFonts w:ascii="宋体" w:hAnsi="宋体"/>
              </w:rPr>
            </w:pPr>
            <w:r>
              <w:rPr>
                <w:rFonts w:ascii="宋体" w:hAnsi="宋体" w:hint="eastAsia"/>
              </w:rPr>
              <w:t>偏差率</w:t>
            </w:r>
          </w:p>
        </w:tc>
        <w:tc>
          <w:tcPr>
            <w:tcW w:w="5241" w:type="dxa"/>
            <w:tcBorders>
              <w:top w:val="single" w:sz="2" w:space="0" w:color="auto"/>
              <w:left w:val="single" w:sz="2" w:space="0" w:color="auto"/>
              <w:bottom w:val="single" w:sz="2" w:space="0" w:color="auto"/>
              <w:right w:val="single" w:sz="2" w:space="0" w:color="auto"/>
            </w:tcBorders>
            <w:vAlign w:val="center"/>
          </w:tcPr>
          <w:p w14:paraId="298E3014">
            <w:pPr>
              <w:spacing w:line="360" w:lineRule="auto"/>
              <w:rPr>
                <w:rFonts w:ascii="宋体" w:hAnsi="宋体" w:hint="eastAsia"/>
                <w:lang w:eastAsia="zh-CN"/>
              </w:rPr>
            </w:pPr>
            <w:r>
              <w:rPr>
                <w:rFonts w:ascii="宋体" w:hAnsi="宋体" w:hint="eastAsia"/>
                <w:lang w:eastAsia="zh-CN"/>
              </w:rPr>
              <w:t>以基准价为准，有效投标的评审价等于基准价的得满分，有效投标的评审价低于基准价的，每低1%扣0.5分，有效投标的评审价高于基准价的，每高1%扣1分，中间值用插入法进行计算，小数点后保留两位。</w:t>
            </w:r>
          </w:p>
          <w:p w14:paraId="52C170F1">
            <w:pPr>
              <w:spacing w:line="360" w:lineRule="auto"/>
              <w:rPr>
                <w:rFonts w:ascii="宋体" w:hAnsi="宋体" w:hint="eastAsia"/>
                <w:lang w:eastAsia="zh-CN"/>
              </w:rPr>
            </w:pPr>
            <w:r>
              <w:rPr>
                <w:rFonts w:ascii="宋体" w:eastAsia="宋体" w:hAnsi="宋体" w:cs="宋体" w:hint="eastAsia"/>
                <w:sz w:val="24"/>
                <w:szCs w:val="24"/>
                <w:highlight w:val="none"/>
                <w:u w:val="single"/>
                <w:lang w:val="en-US" w:eastAsia="zh-CN"/>
              </w:rPr>
              <w:t xml:space="preserve">       /         </w:t>
            </w:r>
            <w:r>
              <w:rPr>
                <w:rFonts w:ascii="宋体" w:eastAsia="宋体" w:hAnsi="宋体" w:cs="宋体" w:hint="eastAsia"/>
                <w:sz w:val="24"/>
                <w:szCs w:val="24"/>
                <w:highlight w:val="none"/>
                <w:lang w:val="en-US" w:eastAsia="zh-CN"/>
              </w:rPr>
              <w:t>。 (招标人可根据《四川省人民政府办公厅关于深化改革创新促进招标投标市场规范健康发展的意见》（川办规〔2025〕8号）第（二十）条和《政府采购促进中小企业发展管理办法》（ 财库〔2020〕46号） 第九条规定，增加相应评分奖励内容。）</w:t>
            </w:r>
          </w:p>
        </w:tc>
      </w:tr>
      <w:tr w14:paraId="7A815480">
        <w:tblPrEx>
          <w:tblW w:w="9210" w:type="dxa"/>
          <w:jc w:val="center"/>
          <w:tblLayout w:type="fixed"/>
          <w:tblCellMar>
            <w:top w:w="0" w:type="dxa"/>
            <w:left w:w="108" w:type="dxa"/>
            <w:bottom w:w="0" w:type="dxa"/>
            <w:right w:w="108" w:type="dxa"/>
          </w:tblCellMar>
        </w:tblPrEx>
        <w:trPr>
          <w:trHeight w:val="476"/>
          <w:jc w:val="center"/>
        </w:trPr>
        <w:tc>
          <w:tcPr>
            <w:tcW w:w="1276" w:type="dxa"/>
            <w:tcBorders>
              <w:top w:val="single" w:sz="2" w:space="0" w:color="auto"/>
              <w:left w:val="single" w:sz="2" w:space="0" w:color="auto"/>
              <w:bottom w:val="single" w:sz="2" w:space="0" w:color="auto"/>
              <w:right w:val="single" w:sz="2" w:space="0" w:color="auto"/>
            </w:tcBorders>
            <w:vAlign w:val="center"/>
          </w:tcPr>
          <w:p w14:paraId="42165C79">
            <w:pPr>
              <w:spacing w:line="360" w:lineRule="auto"/>
              <w:jc w:val="center"/>
              <w:rPr>
                <w:rFonts w:ascii="宋体" w:hAnsi="宋体"/>
              </w:rPr>
            </w:pPr>
            <w:r>
              <w:rPr>
                <w:rFonts w:ascii="宋体" w:hAnsi="宋体" w:hint="eastAsia"/>
              </w:rPr>
              <w:t>2.2.4(4)</w:t>
            </w:r>
          </w:p>
        </w:tc>
        <w:tc>
          <w:tcPr>
            <w:tcW w:w="851" w:type="dxa"/>
            <w:tcBorders>
              <w:top w:val="single" w:sz="2" w:space="0" w:color="auto"/>
              <w:left w:val="single" w:sz="2" w:space="0" w:color="auto"/>
              <w:bottom w:val="single" w:sz="2" w:space="0" w:color="auto"/>
              <w:right w:val="single" w:sz="2" w:space="0" w:color="auto"/>
            </w:tcBorders>
            <w:vAlign w:val="center"/>
          </w:tcPr>
          <w:p w14:paraId="62BA3A70">
            <w:pPr>
              <w:spacing w:line="360" w:lineRule="auto"/>
              <w:jc w:val="center"/>
              <w:rPr>
                <w:rFonts w:ascii="宋体" w:hAnsi="宋体"/>
              </w:rPr>
            </w:pPr>
            <w:r>
              <w:rPr>
                <w:rFonts w:ascii="宋体" w:hAnsi="宋体" w:hint="eastAsia"/>
              </w:rPr>
              <w:t>其他 因素 评分 标准</w:t>
            </w:r>
          </w:p>
        </w:tc>
        <w:tc>
          <w:tcPr>
            <w:tcW w:w="1842" w:type="dxa"/>
            <w:tcBorders>
              <w:top w:val="single" w:sz="2" w:space="0" w:color="auto"/>
              <w:left w:val="single" w:sz="2" w:space="0" w:color="auto"/>
              <w:bottom w:val="single" w:sz="2" w:space="0" w:color="auto"/>
              <w:right w:val="single" w:sz="2" w:space="0" w:color="auto"/>
            </w:tcBorders>
            <w:vAlign w:val="center"/>
          </w:tcPr>
          <w:p w14:paraId="4FEEAFCC">
            <w:pPr>
              <w:spacing w:line="360" w:lineRule="auto"/>
              <w:jc w:val="center"/>
              <w:rPr>
                <w:rFonts w:ascii="宋体" w:hAnsi="宋体"/>
              </w:rPr>
            </w:pPr>
            <w:r>
              <w:rPr>
                <w:rFonts w:ascii="宋体" w:hAnsi="宋体" w:hint="eastAsia"/>
                <w:color w:val="00B0F0"/>
              </w:rPr>
              <w:t>…/ …</w:t>
            </w:r>
          </w:p>
        </w:tc>
        <w:tc>
          <w:tcPr>
            <w:tcW w:w="5241" w:type="dxa"/>
            <w:tcBorders>
              <w:top w:val="single" w:sz="2" w:space="0" w:color="auto"/>
              <w:left w:val="single" w:sz="2" w:space="0" w:color="auto"/>
              <w:bottom w:val="single" w:sz="2" w:space="0" w:color="auto"/>
              <w:right w:val="single" w:sz="2" w:space="0" w:color="auto"/>
            </w:tcBorders>
            <w:vAlign w:val="center"/>
          </w:tcPr>
          <w:p w14:paraId="5303230C">
            <w:pPr>
              <w:spacing w:line="360" w:lineRule="auto"/>
              <w:jc w:val="center"/>
              <w:rPr>
                <w:rFonts w:ascii="宋体" w:hAnsi="宋体"/>
              </w:rPr>
            </w:pPr>
            <w:r>
              <w:rPr>
                <w:rFonts w:ascii="宋体" w:hAnsi="宋体" w:hint="eastAsia"/>
                <w:color w:val="00B0F0"/>
              </w:rPr>
              <w:t>…/ …</w:t>
            </w:r>
          </w:p>
        </w:tc>
      </w:tr>
      <w:tr w14:paraId="795C260E">
        <w:tblPrEx>
          <w:tblW w:w="9210" w:type="dxa"/>
          <w:jc w:val="center"/>
          <w:tblLayout w:type="fixed"/>
          <w:tblCellMar>
            <w:top w:w="0" w:type="dxa"/>
            <w:left w:w="108" w:type="dxa"/>
            <w:bottom w:w="0" w:type="dxa"/>
            <w:right w:w="108" w:type="dxa"/>
          </w:tblCellMar>
        </w:tblPrEx>
        <w:trPr>
          <w:trHeight w:val="591"/>
          <w:jc w:val="center"/>
        </w:trPr>
        <w:tc>
          <w:tcPr>
            <w:tcW w:w="3969" w:type="dxa"/>
            <w:gridSpan w:val="3"/>
            <w:tcBorders>
              <w:top w:val="single" w:sz="2" w:space="0" w:color="auto"/>
              <w:left w:val="single" w:sz="2" w:space="0" w:color="auto"/>
              <w:bottom w:val="single" w:sz="2" w:space="0" w:color="auto"/>
              <w:right w:val="single" w:sz="2" w:space="0" w:color="auto"/>
            </w:tcBorders>
            <w:vAlign w:val="center"/>
          </w:tcPr>
          <w:p w14:paraId="39F77ADE">
            <w:pPr>
              <w:spacing w:line="360" w:lineRule="auto"/>
              <w:jc w:val="center"/>
              <w:rPr>
                <w:rFonts w:ascii="宋体" w:hAnsi="宋体"/>
                <w:b/>
              </w:rPr>
            </w:pPr>
            <w:r>
              <w:rPr>
                <w:rFonts w:ascii="宋体" w:hAnsi="宋体" w:hint="eastAsia"/>
                <w:b/>
              </w:rPr>
              <w:t>条款号</w:t>
            </w:r>
          </w:p>
        </w:tc>
        <w:tc>
          <w:tcPr>
            <w:tcW w:w="5241" w:type="dxa"/>
            <w:tcBorders>
              <w:top w:val="single" w:sz="2" w:space="0" w:color="auto"/>
              <w:left w:val="single" w:sz="2" w:space="0" w:color="auto"/>
              <w:bottom w:val="single" w:sz="2" w:space="0" w:color="auto"/>
              <w:right w:val="single" w:sz="2" w:space="0" w:color="auto"/>
            </w:tcBorders>
            <w:vAlign w:val="center"/>
          </w:tcPr>
          <w:p w14:paraId="4E4F69FD">
            <w:pPr>
              <w:spacing w:line="360" w:lineRule="auto"/>
              <w:jc w:val="center"/>
              <w:rPr>
                <w:rFonts w:ascii="宋体" w:hAnsi="宋体"/>
                <w:b/>
              </w:rPr>
            </w:pPr>
            <w:r>
              <w:rPr>
                <w:rFonts w:ascii="宋体" w:hAnsi="宋体" w:hint="eastAsia"/>
                <w:b/>
              </w:rPr>
              <w:t>编列内容</w:t>
            </w:r>
          </w:p>
        </w:tc>
      </w:tr>
      <w:tr w14:paraId="04485A43">
        <w:tblPrEx>
          <w:tblW w:w="9210" w:type="dxa"/>
          <w:jc w:val="center"/>
          <w:tblLayout w:type="fixed"/>
          <w:tblCellMar>
            <w:top w:w="0" w:type="dxa"/>
            <w:left w:w="108" w:type="dxa"/>
            <w:bottom w:w="0" w:type="dxa"/>
            <w:right w:w="108" w:type="dxa"/>
          </w:tblCellMar>
        </w:tblPrEx>
        <w:trPr>
          <w:trHeight w:val="476"/>
          <w:jc w:val="center"/>
        </w:trPr>
        <w:tc>
          <w:tcPr>
            <w:tcW w:w="1276" w:type="dxa"/>
            <w:tcBorders>
              <w:top w:val="single" w:sz="2" w:space="0" w:color="auto"/>
              <w:left w:val="single" w:sz="2" w:space="0" w:color="auto"/>
              <w:bottom w:val="single" w:sz="2" w:space="0" w:color="auto"/>
              <w:right w:val="single" w:sz="2" w:space="0" w:color="auto"/>
            </w:tcBorders>
            <w:vAlign w:val="center"/>
          </w:tcPr>
          <w:p w14:paraId="1C2F5187">
            <w:pPr>
              <w:spacing w:line="360" w:lineRule="auto"/>
              <w:jc w:val="center"/>
              <w:rPr>
                <w:rFonts w:ascii="宋体" w:hAnsi="宋体"/>
              </w:rPr>
            </w:pPr>
            <w:r>
              <w:rPr>
                <w:rFonts w:ascii="宋体" w:hAnsi="宋体" w:hint="eastAsia"/>
              </w:rPr>
              <w:t>3</w:t>
            </w:r>
          </w:p>
        </w:tc>
        <w:tc>
          <w:tcPr>
            <w:tcW w:w="2693" w:type="dxa"/>
            <w:gridSpan w:val="2"/>
            <w:tcBorders>
              <w:top w:val="single" w:sz="2" w:space="0" w:color="auto"/>
              <w:left w:val="single" w:sz="2" w:space="0" w:color="auto"/>
              <w:bottom w:val="single" w:sz="2" w:space="0" w:color="auto"/>
              <w:right w:val="single" w:sz="2" w:space="0" w:color="auto"/>
            </w:tcBorders>
            <w:vAlign w:val="center"/>
          </w:tcPr>
          <w:p w14:paraId="3870D762">
            <w:pPr>
              <w:spacing w:line="360" w:lineRule="auto"/>
              <w:jc w:val="center"/>
              <w:rPr>
                <w:rFonts w:ascii="宋体" w:hAnsi="宋体"/>
              </w:rPr>
            </w:pPr>
            <w:r>
              <w:rPr>
                <w:rFonts w:ascii="宋体" w:hAnsi="宋体" w:hint="eastAsia"/>
              </w:rPr>
              <w:t>评标程序</w:t>
            </w:r>
          </w:p>
        </w:tc>
        <w:tc>
          <w:tcPr>
            <w:tcW w:w="5241" w:type="dxa"/>
            <w:tcBorders>
              <w:top w:val="single" w:sz="2" w:space="0" w:color="auto"/>
              <w:left w:val="single" w:sz="2" w:space="0" w:color="auto"/>
              <w:bottom w:val="single" w:sz="2" w:space="0" w:color="auto"/>
              <w:right w:val="single" w:sz="2" w:space="0" w:color="auto"/>
            </w:tcBorders>
            <w:vAlign w:val="center"/>
          </w:tcPr>
          <w:p w14:paraId="68695F67">
            <w:pPr>
              <w:spacing w:line="360" w:lineRule="auto"/>
              <w:rPr>
                <w:rFonts w:ascii="宋体" w:hAnsi="宋体"/>
                <w:lang w:eastAsia="zh-CN"/>
              </w:rPr>
            </w:pPr>
            <w:r>
              <w:rPr>
                <w:rFonts w:ascii="宋体" w:hAnsi="宋体" w:hint="eastAsia"/>
                <w:lang w:eastAsia="zh-CN"/>
              </w:rPr>
              <w:t>详见本章附件A：评标详细程序</w:t>
            </w:r>
          </w:p>
        </w:tc>
      </w:tr>
      <w:tr w14:paraId="5FD6683A">
        <w:tblPrEx>
          <w:tblW w:w="9210" w:type="dxa"/>
          <w:jc w:val="center"/>
          <w:tblLayout w:type="fixed"/>
          <w:tblCellMar>
            <w:top w:w="0" w:type="dxa"/>
            <w:left w:w="108" w:type="dxa"/>
            <w:bottom w:w="0" w:type="dxa"/>
            <w:right w:w="108" w:type="dxa"/>
          </w:tblCellMar>
        </w:tblPrEx>
        <w:trPr>
          <w:trHeight w:val="476"/>
          <w:jc w:val="center"/>
        </w:trPr>
        <w:tc>
          <w:tcPr>
            <w:tcW w:w="1276" w:type="dxa"/>
            <w:tcBorders>
              <w:top w:val="single" w:sz="2" w:space="0" w:color="auto"/>
              <w:left w:val="single" w:sz="2" w:space="0" w:color="auto"/>
              <w:bottom w:val="single" w:sz="2" w:space="0" w:color="auto"/>
              <w:right w:val="single" w:sz="2" w:space="0" w:color="auto"/>
            </w:tcBorders>
            <w:vAlign w:val="center"/>
          </w:tcPr>
          <w:p w14:paraId="16BC20A3">
            <w:pPr>
              <w:spacing w:line="360" w:lineRule="auto"/>
              <w:jc w:val="center"/>
              <w:rPr>
                <w:rFonts w:ascii="宋体" w:hAnsi="宋体"/>
              </w:rPr>
            </w:pPr>
            <w:r>
              <w:rPr>
                <w:rFonts w:ascii="宋体" w:hAnsi="宋体" w:hint="eastAsia"/>
              </w:rPr>
              <w:t>3.2.4</w:t>
            </w:r>
          </w:p>
        </w:tc>
        <w:tc>
          <w:tcPr>
            <w:tcW w:w="2693" w:type="dxa"/>
            <w:gridSpan w:val="2"/>
            <w:tcBorders>
              <w:top w:val="single" w:sz="2" w:space="0" w:color="auto"/>
              <w:left w:val="single" w:sz="2" w:space="0" w:color="auto"/>
              <w:bottom w:val="single" w:sz="2" w:space="0" w:color="auto"/>
              <w:right w:val="single" w:sz="2" w:space="0" w:color="auto"/>
            </w:tcBorders>
            <w:vAlign w:val="center"/>
          </w:tcPr>
          <w:p w14:paraId="24EFFB29">
            <w:pPr>
              <w:spacing w:line="360" w:lineRule="auto"/>
              <w:jc w:val="center"/>
              <w:rPr>
                <w:rFonts w:ascii="宋体" w:hAnsi="宋体"/>
                <w:lang w:eastAsia="zh-CN"/>
              </w:rPr>
            </w:pPr>
            <w:r>
              <w:rPr>
                <w:rFonts w:ascii="宋体" w:hAnsi="宋体" w:hint="eastAsia"/>
                <w:lang w:eastAsia="zh-CN"/>
              </w:rPr>
              <w:t>判断投标报价</w:t>
            </w:r>
          </w:p>
          <w:p w14:paraId="4089F38D">
            <w:pPr>
              <w:spacing w:line="360" w:lineRule="auto"/>
              <w:jc w:val="center"/>
              <w:rPr>
                <w:rFonts w:ascii="宋体" w:hAnsi="宋体"/>
                <w:lang w:eastAsia="zh-CN"/>
              </w:rPr>
            </w:pPr>
            <w:r>
              <w:rPr>
                <w:rFonts w:ascii="宋体" w:hAnsi="宋体" w:hint="eastAsia"/>
                <w:lang w:eastAsia="zh-CN"/>
              </w:rPr>
              <w:t>是否低于其成本</w:t>
            </w:r>
          </w:p>
        </w:tc>
        <w:tc>
          <w:tcPr>
            <w:tcW w:w="5241" w:type="dxa"/>
            <w:tcBorders>
              <w:top w:val="single" w:sz="2" w:space="0" w:color="auto"/>
              <w:left w:val="single" w:sz="2" w:space="0" w:color="auto"/>
              <w:bottom w:val="single" w:sz="2" w:space="0" w:color="auto"/>
              <w:right w:val="single" w:sz="2" w:space="0" w:color="auto"/>
            </w:tcBorders>
            <w:vAlign w:val="center"/>
          </w:tcPr>
          <w:p w14:paraId="10D8D1F4">
            <w:pPr>
              <w:spacing w:line="360" w:lineRule="auto"/>
              <w:rPr>
                <w:rFonts w:ascii="宋体" w:hAnsi="宋体"/>
                <w:lang w:eastAsia="zh-CN"/>
              </w:rPr>
            </w:pPr>
            <w:r>
              <w:rPr>
                <w:rFonts w:ascii="宋体" w:hAnsi="宋体" w:hint="eastAsia"/>
                <w:lang w:eastAsia="zh-CN"/>
              </w:rPr>
              <w:t>详见本章附件B：投标人成本评审办法</w:t>
            </w:r>
          </w:p>
        </w:tc>
      </w:tr>
      <w:tr w14:paraId="3902FDEE">
        <w:tblPrEx>
          <w:tblW w:w="9210" w:type="dxa"/>
          <w:jc w:val="center"/>
          <w:tblLayout w:type="fixed"/>
          <w:tblCellMar>
            <w:top w:w="0" w:type="dxa"/>
            <w:left w:w="108" w:type="dxa"/>
            <w:bottom w:w="0" w:type="dxa"/>
            <w:right w:w="108" w:type="dxa"/>
          </w:tblCellMar>
        </w:tblPrEx>
        <w:trPr>
          <w:trHeight w:val="476"/>
          <w:jc w:val="center"/>
        </w:trPr>
        <w:tc>
          <w:tcPr>
            <w:tcW w:w="1276" w:type="dxa"/>
            <w:tcBorders>
              <w:top w:val="single" w:sz="2" w:space="0" w:color="auto"/>
              <w:left w:val="single" w:sz="2" w:space="0" w:color="auto"/>
              <w:bottom w:val="single" w:sz="2" w:space="0" w:color="auto"/>
              <w:right w:val="single" w:sz="2" w:space="0" w:color="auto"/>
            </w:tcBorders>
            <w:vAlign w:val="center"/>
          </w:tcPr>
          <w:p w14:paraId="31EFA6A5">
            <w:pPr>
              <w:spacing w:line="360" w:lineRule="auto"/>
              <w:jc w:val="center"/>
              <w:rPr>
                <w:rFonts w:ascii="宋体" w:hAnsi="宋体"/>
              </w:rPr>
            </w:pPr>
            <w:r>
              <w:rPr>
                <w:rFonts w:ascii="宋体" w:hAnsi="宋体" w:hint="eastAsia"/>
              </w:rPr>
              <w:t>补1</w:t>
            </w:r>
          </w:p>
        </w:tc>
        <w:tc>
          <w:tcPr>
            <w:tcW w:w="2693" w:type="dxa"/>
            <w:gridSpan w:val="2"/>
            <w:tcBorders>
              <w:top w:val="single" w:sz="2" w:space="0" w:color="auto"/>
              <w:left w:val="single" w:sz="2" w:space="0" w:color="auto"/>
              <w:bottom w:val="single" w:sz="2" w:space="0" w:color="auto"/>
              <w:right w:val="single" w:sz="2" w:space="0" w:color="auto"/>
            </w:tcBorders>
            <w:vAlign w:val="center"/>
          </w:tcPr>
          <w:p w14:paraId="79A21B15">
            <w:pPr>
              <w:spacing w:line="360" w:lineRule="auto"/>
              <w:jc w:val="center"/>
              <w:rPr>
                <w:rFonts w:ascii="宋体" w:hAnsi="宋体"/>
              </w:rPr>
            </w:pPr>
            <w:r>
              <w:rPr>
                <w:rFonts w:ascii="宋体" w:hAnsi="宋体" w:hint="eastAsia"/>
              </w:rPr>
              <w:t>备选投标方案的评审</w:t>
            </w:r>
          </w:p>
        </w:tc>
        <w:tc>
          <w:tcPr>
            <w:tcW w:w="5241" w:type="dxa"/>
            <w:tcBorders>
              <w:top w:val="single" w:sz="2" w:space="0" w:color="auto"/>
              <w:left w:val="single" w:sz="2" w:space="0" w:color="auto"/>
              <w:bottom w:val="single" w:sz="2" w:space="0" w:color="auto"/>
              <w:right w:val="single" w:sz="2" w:space="0" w:color="auto"/>
            </w:tcBorders>
            <w:vAlign w:val="center"/>
          </w:tcPr>
          <w:p w14:paraId="5D563CD5">
            <w:pPr>
              <w:spacing w:line="360" w:lineRule="auto"/>
              <w:rPr>
                <w:rFonts w:ascii="宋体" w:hAnsi="宋体"/>
                <w:lang w:eastAsia="zh-CN"/>
              </w:rPr>
            </w:pPr>
            <w:r>
              <w:rPr>
                <w:rFonts w:ascii="宋体" w:hAnsi="宋体" w:hint="eastAsia"/>
                <w:lang w:eastAsia="zh-CN"/>
              </w:rPr>
              <w:t>详见本章附件C：备选投标方案的评审和比较办法</w:t>
            </w:r>
          </w:p>
        </w:tc>
      </w:tr>
      <w:tr w14:paraId="083B0C64">
        <w:tblPrEx>
          <w:tblW w:w="9210" w:type="dxa"/>
          <w:jc w:val="center"/>
          <w:tblLayout w:type="fixed"/>
          <w:tblCellMar>
            <w:top w:w="0" w:type="dxa"/>
            <w:left w:w="108" w:type="dxa"/>
            <w:bottom w:w="0" w:type="dxa"/>
            <w:right w:w="108" w:type="dxa"/>
          </w:tblCellMar>
        </w:tblPrEx>
        <w:trPr>
          <w:trHeight w:val="476"/>
          <w:jc w:val="center"/>
        </w:trPr>
        <w:tc>
          <w:tcPr>
            <w:tcW w:w="1276" w:type="dxa"/>
            <w:tcBorders>
              <w:top w:val="single" w:sz="2" w:space="0" w:color="auto"/>
              <w:left w:val="single" w:sz="2" w:space="0" w:color="auto"/>
              <w:bottom w:val="single" w:sz="2" w:space="0" w:color="auto"/>
              <w:right w:val="single" w:sz="2" w:space="0" w:color="auto"/>
            </w:tcBorders>
            <w:vAlign w:val="center"/>
          </w:tcPr>
          <w:p w14:paraId="4CE66546">
            <w:pPr>
              <w:spacing w:line="360" w:lineRule="auto"/>
              <w:jc w:val="center"/>
              <w:rPr>
                <w:rFonts w:ascii="宋体" w:hAnsi="宋体"/>
              </w:rPr>
            </w:pPr>
            <w:r>
              <w:rPr>
                <w:rFonts w:ascii="宋体" w:hAnsi="宋体" w:hint="eastAsia"/>
              </w:rPr>
              <w:t>说明</w:t>
            </w:r>
          </w:p>
        </w:tc>
        <w:tc>
          <w:tcPr>
            <w:tcW w:w="7934" w:type="dxa"/>
            <w:gridSpan w:val="3"/>
            <w:tcBorders>
              <w:top w:val="single" w:sz="2" w:space="0" w:color="auto"/>
              <w:left w:val="single" w:sz="2" w:space="0" w:color="auto"/>
              <w:bottom w:val="single" w:sz="2" w:space="0" w:color="auto"/>
              <w:right w:val="single" w:sz="2" w:space="0" w:color="auto"/>
            </w:tcBorders>
            <w:vAlign w:val="center"/>
          </w:tcPr>
          <w:p w14:paraId="1730D43B">
            <w:pPr>
              <w:spacing w:line="360" w:lineRule="auto"/>
              <w:rPr>
                <w:rFonts w:ascii="宋体" w:hAnsi="宋体"/>
                <w:lang w:eastAsia="zh-CN"/>
              </w:rPr>
            </w:pPr>
            <w:r>
              <w:rPr>
                <w:rFonts w:ascii="宋体" w:hAnsi="宋体" w:hint="eastAsia"/>
                <w:lang w:eastAsia="zh-CN"/>
              </w:rPr>
              <w:t>条款号3及相应内容，不得与《省进一步要求》相抵触（本条为示范性内容，提倡招标人直接引用，但招标人如果允许递交备选投标方案的，应引用“补1：备选投标方案的评审”）</w:t>
            </w:r>
          </w:p>
        </w:tc>
      </w:tr>
    </w:tbl>
    <w:p w14:paraId="7D54A7DC">
      <w:pPr>
        <w:spacing w:line="360" w:lineRule="auto"/>
        <w:rPr>
          <w:rFonts w:ascii="宋体" w:hAnsi="宋体"/>
          <w:kern w:val="2"/>
          <w:szCs w:val="22"/>
          <w:lang w:eastAsia="zh-CN"/>
        </w:rPr>
      </w:pPr>
      <w:r>
        <w:rPr>
          <w:rFonts w:ascii="宋体" w:hAnsi="宋体" w:hint="eastAsia"/>
          <w:lang w:eastAsia="zh-CN"/>
        </w:rPr>
        <w:t>注：</w:t>
      </w:r>
    </w:p>
    <w:p w14:paraId="31F61482">
      <w:pPr>
        <w:spacing w:line="360" w:lineRule="auto"/>
        <w:rPr>
          <w:rFonts w:ascii="宋体" w:hAnsi="宋体"/>
          <w:lang w:eastAsia="zh-CN"/>
        </w:rPr>
      </w:pPr>
      <w:r>
        <w:rPr>
          <w:rFonts w:ascii="宋体" w:hAnsi="宋体" w:hint="eastAsia"/>
          <w:lang w:eastAsia="zh-CN"/>
        </w:rPr>
        <w:t>（1）招标人应科学合理地设定评标办法，以保证足够的竞争性。</w:t>
      </w:r>
    </w:p>
    <w:p w14:paraId="25199FFE">
      <w:pPr>
        <w:spacing w:line="360" w:lineRule="auto"/>
        <w:ind w:left="206" w:leftChars="86"/>
        <w:rPr>
          <w:rFonts w:ascii="宋体" w:hAnsi="宋体"/>
          <w:lang w:eastAsia="zh-CN"/>
        </w:rPr>
      </w:pPr>
      <w:r>
        <w:rPr>
          <w:rFonts w:ascii="宋体" w:hAnsi="宋体" w:hint="eastAsia"/>
          <w:lang w:eastAsia="zh-CN"/>
        </w:rPr>
        <w:t>（2）不得设定特定行政区域或者特定行业的奖项作为加分条件，不得设定与招标项目的具体特点不相适应的奖项作为加分条件，不得设定全国评比达标表彰工作协调小组办公室按照《评比达标表彰活动管理办法》公布的目录以外的奖项作为加分条件；招标项目的技术指标达到相应奖项申报条件的，方可设置相应奖项作为加分条件；</w:t>
      </w:r>
      <w:r>
        <w:rPr>
          <w:rFonts w:ascii="宋体" w:hAnsi="宋体" w:hint="eastAsia"/>
          <w:sz w:val="24"/>
          <w:highlight w:val="none"/>
        </w:rPr>
        <w:t>设定奖项年限为近3年</w:t>
      </w:r>
      <w:r>
        <w:rPr>
          <w:rFonts w:ascii="宋体" w:hAnsi="宋体" w:hint="eastAsia"/>
          <w:sz w:val="24"/>
          <w:highlight w:val="none"/>
          <w:lang w:eastAsia="zh-CN"/>
        </w:rPr>
        <w:t>（</w:t>
      </w:r>
      <w:r>
        <w:rPr>
          <w:rFonts w:ascii="宋体" w:hAnsi="宋体" w:hint="eastAsia"/>
          <w:sz w:val="24"/>
          <w:highlight w:val="none"/>
          <w:lang w:val="en-US" w:eastAsia="zh-CN"/>
        </w:rPr>
        <w:t>或4年，或5年</w:t>
      </w:r>
      <w:r>
        <w:rPr>
          <w:rFonts w:ascii="宋体" w:hAnsi="宋体" w:hint="eastAsia"/>
          <w:sz w:val="24"/>
          <w:highlight w:val="none"/>
          <w:lang w:eastAsia="zh-CN"/>
        </w:rPr>
        <w:t>）</w:t>
      </w:r>
      <w:r>
        <w:rPr>
          <w:rFonts w:ascii="宋体" w:hAnsi="宋体" w:hint="eastAsia"/>
          <w:sz w:val="24"/>
          <w:highlight w:val="none"/>
        </w:rPr>
        <w:t>的，个数不得超过1个，设定奖项年限为近</w:t>
      </w:r>
      <w:r>
        <w:rPr>
          <w:rFonts w:ascii="宋体" w:hAnsi="宋体" w:hint="eastAsia"/>
          <w:sz w:val="24"/>
          <w:highlight w:val="none"/>
          <w:lang w:val="en-US" w:eastAsia="zh-CN"/>
        </w:rPr>
        <w:t>6</w:t>
      </w:r>
      <w:r>
        <w:rPr>
          <w:rFonts w:ascii="宋体" w:hAnsi="宋体" w:hint="eastAsia"/>
          <w:sz w:val="24"/>
          <w:highlight w:val="none"/>
        </w:rPr>
        <w:t>年及以上的，个数不得超过2个；评标办法中各类奖项加分总分值不得超过3分。</w:t>
      </w:r>
    </w:p>
    <w:p w14:paraId="5A9AF7EC">
      <w:pPr>
        <w:spacing w:line="360" w:lineRule="auto"/>
        <w:rPr>
          <w:rFonts w:ascii="宋体" w:hAnsi="宋体"/>
          <w:lang w:eastAsia="zh-CN"/>
        </w:rPr>
      </w:pPr>
      <w:r>
        <w:rPr>
          <w:rFonts w:ascii="宋体" w:hAnsi="宋体" w:hint="eastAsia"/>
          <w:lang w:eastAsia="zh-CN"/>
        </w:rPr>
        <w:t>（3）不得设定特定行政区域或者特定行业的业绩作为加分条件；不得设定与招标项目的具体特点不相适应的业绩作为加分条件；设定的业绩每类别个数不得超过3个（含资格条件个数）。</w:t>
      </w:r>
    </w:p>
    <w:p w14:paraId="61757C55">
      <w:pPr>
        <w:spacing w:line="360" w:lineRule="auto"/>
        <w:rPr>
          <w:rFonts w:ascii="宋体" w:hAnsi="宋体"/>
          <w:lang w:eastAsia="zh-CN"/>
        </w:rPr>
      </w:pPr>
      <w:r>
        <w:rPr>
          <w:rFonts w:ascii="宋体" w:hAnsi="宋体" w:hint="eastAsia"/>
          <w:lang w:eastAsia="zh-CN"/>
        </w:rPr>
        <w:t>（4）按照《国务院办公厅关于加快推进社会信用体系建设构建以信用为基础的新型监管机制的指导意见》（国办发〔2019〕35号）精神，不得设定不属于国家有关部门或其授权的行业协会商会开展的信用评价作为加分条件。</w:t>
      </w:r>
    </w:p>
    <w:p w14:paraId="47701C74">
      <w:pPr>
        <w:spacing w:line="360" w:lineRule="auto"/>
        <w:rPr>
          <w:rFonts w:ascii="宋体" w:hAnsi="宋体"/>
          <w:lang w:eastAsia="zh-CN"/>
        </w:rPr>
      </w:pPr>
      <w:r>
        <w:rPr>
          <w:rFonts w:ascii="宋体" w:hAnsi="宋体" w:hint="eastAsia"/>
          <w:lang w:eastAsia="zh-CN"/>
        </w:rPr>
        <w:t xml:space="preserve">    （5）不得将施工员、质量员、安全员等现场管理人员岗位证书设定为加分条件，也不得将其他未列入国家职业资格目录的人员资格设定为加分条件。</w:t>
      </w:r>
    </w:p>
    <w:p w14:paraId="563E7604">
      <w:pPr>
        <w:spacing w:line="360" w:lineRule="auto"/>
        <w:rPr>
          <w:rFonts w:ascii="宋体" w:hAnsi="宋体"/>
          <w:lang w:eastAsia="zh-CN"/>
        </w:rPr>
      </w:pPr>
      <w:r>
        <w:rPr>
          <w:lang w:eastAsia="zh-CN"/>
        </w:rPr>
        <w:t xml:space="preserve">    </w:t>
      </w:r>
      <w:r>
        <w:rPr>
          <w:rFonts w:ascii="宋体" w:hAnsi="宋体" w:hint="eastAsia"/>
          <w:lang w:eastAsia="zh-CN"/>
        </w:rPr>
        <w:t>（6）评标委员会在评标过程中，如要求投标人澄清或说明的，评标委员会要求投标人在线澄清或说明的时间距投标人收到评标委员会通知的时间不得少于 60分钟。</w:t>
      </w:r>
    </w:p>
    <w:p w14:paraId="463CF62E">
      <w:pPr>
        <w:spacing w:line="360" w:lineRule="auto"/>
        <w:rPr>
          <w:rFonts w:ascii="宋体" w:hAnsi="宋体"/>
          <w:lang w:eastAsia="zh-CN"/>
        </w:rPr>
      </w:pPr>
      <w:r>
        <w:rPr>
          <w:lang w:eastAsia="zh-CN"/>
        </w:rPr>
        <w:t xml:space="preserve">    </w:t>
      </w:r>
      <w:r>
        <w:rPr>
          <w:rFonts w:ascii="宋体" w:hAnsi="宋体" w:hint="eastAsia"/>
          <w:lang w:eastAsia="zh-CN"/>
        </w:rPr>
        <w:t>评标委员会认为投标人的澄清或说明不够明确，应再次要求投标人对不明确的内容进行澄清或说明，评标委员会要求投标人再次在线澄清或说明的时间距投标人收到评标委员会通知的时间不得少于 30 分钟。</w:t>
      </w:r>
    </w:p>
    <w:p w14:paraId="51010EE9">
      <w:pPr>
        <w:spacing w:line="360" w:lineRule="auto"/>
        <w:rPr>
          <w:rFonts w:ascii="宋体" w:hAnsi="宋体"/>
          <w:lang w:eastAsia="zh-CN"/>
        </w:rPr>
      </w:pPr>
      <w:r>
        <w:rPr>
          <w:lang w:eastAsia="zh-CN"/>
        </w:rPr>
        <w:t xml:space="preserve">    </w:t>
      </w:r>
      <w:r>
        <w:rPr>
          <w:rFonts w:ascii="宋体" w:hAnsi="宋体" w:hint="eastAsia"/>
          <w:lang w:eastAsia="zh-CN"/>
        </w:rPr>
        <w:t>投标人未在规定时间内作出澄清或说明的，或者评标委员会认为该投标人的两次澄清或说明都不符合评标委员会要求的，作否决投标处理。</w:t>
      </w:r>
    </w:p>
    <w:p w14:paraId="488CED5C">
      <w:pPr>
        <w:spacing w:line="360" w:lineRule="auto"/>
        <w:rPr>
          <w:rFonts w:ascii="宋体" w:hAnsi="宋体" w:hint="eastAsia"/>
          <w:lang w:eastAsia="zh-CN"/>
        </w:rPr>
      </w:pPr>
      <w:r>
        <w:rPr>
          <w:lang w:eastAsia="zh-CN"/>
        </w:rPr>
        <w:t xml:space="preserve">    </w:t>
      </w:r>
      <w:r>
        <w:rPr>
          <w:rFonts w:ascii="宋体" w:hAnsi="宋体" w:hint="eastAsia"/>
          <w:lang w:eastAsia="zh-CN"/>
        </w:rPr>
        <w:t>（7）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w:t>
      </w:r>
    </w:p>
    <w:p w14:paraId="23D7EBB5">
      <w:pPr>
        <w:spacing w:line="360" w:lineRule="auto"/>
        <w:rPr>
          <w:rFonts w:ascii="宋体" w:eastAsia="宋体" w:hAnsi="宋体" w:cs="宋体" w:hint="eastAsia"/>
          <w:sz w:val="24"/>
          <w:highlight w:val="none"/>
          <w:lang w:val="en-US" w:eastAsia="zh-CN"/>
        </w:rPr>
      </w:pPr>
      <w:r>
        <w:rPr>
          <w:rFonts w:ascii="宋体" w:eastAsia="宋体" w:hAnsi="宋体" w:cs="宋体" w:hint="eastAsia"/>
          <w:sz w:val="24"/>
          <w:highlight w:val="none"/>
          <w:lang w:val="en-US" w:eastAsia="zh-CN"/>
        </w:rPr>
        <w:t>（8）投标文件暗标部分均不得出现可能泄露投标人单位及个人信息的文字、图片、图表等有关表述或者任何标记，否则</w:t>
      </w:r>
      <w:r>
        <w:rPr>
          <w:rFonts w:ascii="宋体" w:hAnsi="宋体" w:hint="eastAsia"/>
          <w:sz w:val="24"/>
          <w:szCs w:val="24"/>
        </w:rPr>
        <w:t>评标委员会对其投标文件作否决投标处理</w:t>
      </w:r>
      <w:r>
        <w:rPr>
          <w:rFonts w:ascii="宋体" w:eastAsia="宋体" w:hAnsi="宋体" w:cs="宋体" w:hint="eastAsia"/>
          <w:sz w:val="24"/>
          <w:highlight w:val="none"/>
          <w:lang w:val="en-US" w:eastAsia="zh-CN"/>
        </w:rPr>
        <w:t>。</w:t>
      </w:r>
    </w:p>
    <w:p w14:paraId="4297B71C">
      <w:pPr>
        <w:spacing w:line="360" w:lineRule="auto"/>
        <w:ind w:firstLine="480" w:firstLineChars="200"/>
        <w:rPr>
          <w:rFonts w:ascii="宋体" w:eastAsia="宋体" w:hAnsi="宋体" w:cs="宋体" w:hint="eastAsia"/>
          <w:sz w:val="24"/>
          <w:highlight w:val="none"/>
          <w:lang w:val="en-US" w:eastAsia="zh-CN"/>
        </w:rPr>
      </w:pPr>
      <w:r>
        <w:rPr>
          <w:rFonts w:ascii="宋体" w:eastAsia="宋体" w:hAnsi="宋体" w:cs="宋体" w:hint="eastAsia"/>
          <w:sz w:val="24"/>
          <w:highlight w:val="none"/>
          <w:lang w:val="en-US" w:eastAsia="zh-CN"/>
        </w:rPr>
        <w:t>在评审暗标部分时，需要向投标人发出澄清的，投标人的澄清回复内容不得出现可能泄露投标人单位及个人信息的文字、图片、图表等有关表述或者任何标记，否则</w:t>
      </w:r>
      <w:r>
        <w:rPr>
          <w:rFonts w:ascii="宋体" w:hAnsi="宋体" w:hint="eastAsia"/>
          <w:sz w:val="24"/>
          <w:szCs w:val="24"/>
        </w:rPr>
        <w:t>评标委员会对其投标文件作否决投标处理</w:t>
      </w:r>
      <w:r>
        <w:rPr>
          <w:rFonts w:ascii="宋体" w:eastAsia="宋体" w:hAnsi="宋体" w:cs="宋体" w:hint="eastAsia"/>
          <w:sz w:val="24"/>
          <w:highlight w:val="none"/>
          <w:lang w:val="en-US" w:eastAsia="zh-CN"/>
        </w:rPr>
        <w:t>。</w:t>
      </w:r>
    </w:p>
    <w:p w14:paraId="30DEFAD8">
      <w:pPr>
        <w:spacing w:line="360" w:lineRule="auto"/>
        <w:rPr>
          <w:rFonts w:ascii="宋体" w:hAnsi="宋体" w:hint="eastAsia"/>
          <w:sz w:val="24"/>
          <w:highlight w:val="none"/>
        </w:rPr>
      </w:pPr>
      <w:r>
        <w:rPr>
          <w:rFonts w:ascii="宋体" w:eastAsia="宋体" w:hAnsi="宋体" w:cs="宋体" w:hint="eastAsia"/>
          <w:sz w:val="24"/>
          <w:highlight w:val="none"/>
          <w:lang w:val="en-US" w:eastAsia="zh-CN"/>
        </w:rPr>
        <w:tab/>
      </w:r>
    </w:p>
    <w:p w14:paraId="7CA7C2BA">
      <w:pPr>
        <w:spacing w:line="360" w:lineRule="auto"/>
        <w:rPr>
          <w:rFonts w:ascii="宋体" w:hAnsi="宋体" w:hint="default"/>
          <w:lang w:val="en-US" w:eastAsia="zh-CN"/>
        </w:rPr>
      </w:pPr>
    </w:p>
    <w:p w14:paraId="4687FB1A">
      <w:pPr>
        <w:spacing w:line="360" w:lineRule="auto"/>
        <w:ind w:firstLine="240"/>
        <w:rPr>
          <w:rFonts w:ascii="宋体" w:hAnsi="宋体" w:hint="eastAsia"/>
          <w:lang w:eastAsia="zh-CN"/>
        </w:rPr>
      </w:pPr>
      <w:r>
        <w:rPr>
          <w:rFonts w:ascii="宋体" w:hAnsi="宋体" w:hint="eastAsia"/>
          <w:lang w:eastAsia="zh-CN"/>
        </w:rPr>
        <w:t>在评标结束后发现投标人串通投标或弄虚作假或有其他违法行为，查证属实的，取消其中标资格。</w:t>
      </w:r>
    </w:p>
    <w:p w14:paraId="32494D91">
      <w:pPr>
        <w:spacing w:line="360" w:lineRule="auto"/>
        <w:ind w:firstLine="240"/>
        <w:rPr>
          <w:rFonts w:ascii="宋体" w:hAnsi="宋体" w:hint="eastAsia"/>
          <w:lang w:eastAsia="zh-CN"/>
        </w:rPr>
      </w:pPr>
    </w:p>
    <w:p w14:paraId="7EADA484">
      <w:pPr>
        <w:spacing w:line="360" w:lineRule="auto"/>
        <w:rPr>
          <w:rFonts w:ascii="Calibri" w:hAnsi="Calibri"/>
          <w:sz w:val="21"/>
          <w:lang w:eastAsia="zh-CN"/>
        </w:rPr>
      </w:pPr>
      <w:r>
        <w:rPr>
          <w:lang w:eastAsia="zh-CN"/>
        </w:rPr>
        <w:t xml:space="preserve">   </w:t>
      </w:r>
    </w:p>
    <w:p w14:paraId="4B9738EA">
      <w:pPr>
        <w:rPr>
          <w:lang w:eastAsia="zh-CN"/>
        </w:rPr>
      </w:pPr>
      <w:r>
        <w:rPr>
          <w:lang w:eastAsia="zh-CN"/>
        </w:rPr>
        <w:br w:type="page"/>
      </w:r>
    </w:p>
    <w:p w14:paraId="59D52413">
      <w:pPr>
        <w:spacing w:line="360" w:lineRule="auto"/>
        <w:rPr>
          <w:rFonts w:ascii="宋体" w:hAnsi="宋体"/>
          <w:lang w:eastAsia="zh-CN"/>
        </w:rPr>
      </w:pPr>
    </w:p>
    <w:p w14:paraId="0C99899F">
      <w:pPr>
        <w:pStyle w:val="Heading3"/>
        <w:rPr>
          <w:rFonts w:ascii="宋体" w:hAnsi="宋体"/>
          <w:sz w:val="24"/>
          <w:szCs w:val="24"/>
        </w:rPr>
      </w:pPr>
      <w:bookmarkStart w:id="70" w:name="_Toc256000060"/>
      <w:r>
        <w:rPr>
          <w:rFonts w:ascii="宋体" w:hAnsi="宋体" w:hint="eastAsia"/>
          <w:sz w:val="24"/>
          <w:szCs w:val="24"/>
        </w:rPr>
        <w:t>1.评标方法</w:t>
      </w:r>
      <w:bookmarkEnd w:id="70"/>
    </w:p>
    <w:p w14:paraId="38EA0AEF">
      <w:pPr>
        <w:numPr>
          <w:ilvl w:val="0"/>
          <w:numId w:val="0"/>
        </w:numPr>
        <w:spacing w:line="360" w:lineRule="auto"/>
        <w:ind w:firstLine="480" w:firstLineChars="200"/>
        <w:rPr>
          <w:rFonts w:ascii="宋体" w:eastAsia="宋体" w:hAnsi="宋体" w:cs="宋体" w:hint="eastAsia"/>
          <w:sz w:val="24"/>
          <w:szCs w:val="24"/>
          <w:highlight w:val="none"/>
          <w:lang w:val="en-US" w:eastAsia="zh-CN"/>
        </w:rPr>
      </w:pPr>
      <w:r>
        <w:rPr>
          <w:rFonts w:ascii="宋体" w:eastAsia="宋体" w:hAnsi="宋体" w:cs="宋体" w:hint="eastAsia"/>
          <w:sz w:val="24"/>
          <w:szCs w:val="24"/>
          <w:highlight w:val="none"/>
          <w:lang w:val="en-US" w:eastAsia="zh-CN"/>
        </w:rPr>
        <w:t>本次评标采用综合评估法。评标委员会对满足招标文件实质性要求的投标文件，按照本章第2.2款规定的评分标准进行打分，并按得分由高到低顺序推荐3个中标候选人，但投标报价低于其成本的除外。当有效投标为2人时，可推荐2人，不足2人时，评标委员会不推荐中标候选人，本次招标失败。综合评分相等时，以投标报价低的优先；投标报价也相等的，由评标委员会自行确定。</w:t>
      </w:r>
    </w:p>
    <w:p w14:paraId="3552776C">
      <w:pPr>
        <w:numPr>
          <w:ilvl w:val="0"/>
          <w:numId w:val="0"/>
        </w:numPr>
        <w:spacing w:line="360" w:lineRule="auto"/>
        <w:ind w:firstLine="480" w:firstLineChars="200"/>
        <w:rPr>
          <w:rFonts w:ascii="宋体" w:hAnsi="宋体"/>
          <w:sz w:val="24"/>
          <w:szCs w:val="24"/>
          <w:highlight w:val="none"/>
        </w:rPr>
      </w:pPr>
      <w:r>
        <w:rPr>
          <w:rFonts w:ascii="宋体" w:eastAsia="宋体" w:hAnsi="宋体" w:cs="宋体" w:hint="eastAsia"/>
          <w:sz w:val="24"/>
          <w:szCs w:val="24"/>
          <w:highlight w:val="none"/>
          <w:lang w:val="en-US" w:eastAsia="zh-CN"/>
        </w:rPr>
        <w:t>推荐的中标候选人不排序。评标委员会须对中标候选人逐一出具评审意见，相关评审意见应针对性阐述中标候选人投标文件的优点、不足、可能存在的风险等，不得泛泛而谈。</w:t>
      </w:r>
    </w:p>
    <w:p w14:paraId="698D8D62">
      <w:pPr>
        <w:spacing w:line="360" w:lineRule="auto"/>
        <w:rPr>
          <w:rFonts w:ascii="宋体" w:hAnsi="宋体"/>
          <w:lang w:eastAsia="zh-CN"/>
        </w:rPr>
      </w:pPr>
    </w:p>
    <w:p w14:paraId="57D3D777">
      <w:pPr>
        <w:pStyle w:val="Heading3"/>
        <w:rPr>
          <w:rFonts w:ascii="宋体" w:hAnsi="宋体"/>
          <w:sz w:val="24"/>
          <w:szCs w:val="24"/>
        </w:rPr>
      </w:pPr>
      <w:bookmarkStart w:id="71" w:name="_Toc256000061"/>
      <w:r>
        <w:rPr>
          <w:rFonts w:ascii="宋体" w:hAnsi="宋体" w:hint="eastAsia"/>
          <w:sz w:val="24"/>
          <w:szCs w:val="24"/>
        </w:rPr>
        <w:t>2.评审标准</w:t>
      </w:r>
      <w:bookmarkEnd w:id="71"/>
    </w:p>
    <w:p w14:paraId="55D80E71">
      <w:pPr>
        <w:pStyle w:val="Heading4"/>
        <w:spacing w:line="360" w:lineRule="auto"/>
        <w:rPr>
          <w:rFonts w:ascii="宋体" w:hAnsi="宋体"/>
          <w:sz w:val="24"/>
          <w:szCs w:val="24"/>
        </w:rPr>
      </w:pPr>
      <w:r>
        <w:rPr>
          <w:rFonts w:ascii="宋体" w:hAnsi="宋体" w:hint="eastAsia"/>
          <w:sz w:val="24"/>
          <w:szCs w:val="24"/>
        </w:rPr>
        <w:t>2.1初步评审标准</w:t>
      </w:r>
    </w:p>
    <w:p w14:paraId="6E60A96A">
      <w:pPr>
        <w:spacing w:line="360" w:lineRule="auto"/>
        <w:rPr>
          <w:rFonts w:ascii="宋体" w:hAnsi="宋体"/>
          <w:lang w:eastAsia="zh-CN"/>
        </w:rPr>
      </w:pPr>
      <w:r>
        <w:rPr>
          <w:rFonts w:ascii="宋体" w:hAnsi="宋体" w:hint="eastAsia"/>
          <w:lang w:eastAsia="zh-CN"/>
        </w:rPr>
        <w:t xml:space="preserve">    2.1.1形式评审标准：见评标办法前附表。</w:t>
      </w:r>
    </w:p>
    <w:p w14:paraId="47B8E9F9">
      <w:pPr>
        <w:spacing w:line="360" w:lineRule="auto"/>
        <w:rPr>
          <w:rFonts w:ascii="宋体" w:hAnsi="宋体"/>
          <w:lang w:eastAsia="zh-CN"/>
        </w:rPr>
      </w:pPr>
      <w:r>
        <w:rPr>
          <w:rFonts w:ascii="宋体" w:hAnsi="宋体" w:hint="eastAsia"/>
          <w:lang w:eastAsia="zh-CN"/>
        </w:rPr>
        <w:t xml:space="preserve">    2.1.2资格评审标准：见评标办法前附表（适用于未进行资格预审的）。</w:t>
      </w:r>
    </w:p>
    <w:p w14:paraId="5F2E08B9">
      <w:pPr>
        <w:spacing w:line="360" w:lineRule="auto"/>
        <w:rPr>
          <w:rFonts w:ascii="宋体" w:hAnsi="宋体"/>
          <w:lang w:eastAsia="zh-CN"/>
        </w:rPr>
      </w:pPr>
      <w:r>
        <w:rPr>
          <w:rFonts w:ascii="宋体" w:hAnsi="宋体" w:hint="eastAsia"/>
          <w:lang w:eastAsia="zh-CN"/>
        </w:rPr>
        <w:t xml:space="preserve">    2.1.2资格评审标准：见资格预审文件第三章“资格审查办法”详细审查标准（适用于已进行资格预审的）。</w:t>
      </w:r>
    </w:p>
    <w:p w14:paraId="0120D392">
      <w:pPr>
        <w:spacing w:line="360" w:lineRule="auto"/>
        <w:rPr>
          <w:rFonts w:ascii="宋体" w:hAnsi="宋体"/>
          <w:lang w:eastAsia="zh-CN"/>
        </w:rPr>
      </w:pPr>
      <w:r>
        <w:rPr>
          <w:rFonts w:ascii="宋体" w:hAnsi="宋体" w:hint="eastAsia"/>
          <w:lang w:eastAsia="zh-CN"/>
        </w:rPr>
        <w:t xml:space="preserve">    2.1.3响应性评审标准：见评标办法前附表。</w:t>
      </w:r>
    </w:p>
    <w:p w14:paraId="6C6B0767">
      <w:pPr>
        <w:pStyle w:val="Heading4"/>
        <w:spacing w:line="360" w:lineRule="auto"/>
        <w:rPr>
          <w:rFonts w:ascii="宋体" w:hAnsi="宋体"/>
          <w:sz w:val="24"/>
          <w:szCs w:val="24"/>
        </w:rPr>
      </w:pPr>
      <w:r>
        <w:rPr>
          <w:rFonts w:ascii="宋体" w:hAnsi="宋体" w:hint="eastAsia"/>
          <w:sz w:val="24"/>
          <w:szCs w:val="24"/>
        </w:rPr>
        <w:t>2.2分值构成与评分标准</w:t>
      </w:r>
    </w:p>
    <w:p w14:paraId="5E503E28">
      <w:pPr>
        <w:spacing w:line="360" w:lineRule="auto"/>
        <w:rPr>
          <w:rFonts w:ascii="宋体" w:hAnsi="宋体"/>
          <w:lang w:eastAsia="zh-CN"/>
        </w:rPr>
      </w:pPr>
      <w:r>
        <w:rPr>
          <w:rFonts w:ascii="宋体" w:hAnsi="宋体" w:hint="eastAsia"/>
          <w:lang w:eastAsia="zh-CN"/>
        </w:rPr>
        <w:t xml:space="preserve">    2.2.1分值构成</w:t>
      </w:r>
    </w:p>
    <w:p w14:paraId="6ACE56B9">
      <w:pPr>
        <w:spacing w:line="360" w:lineRule="auto"/>
        <w:rPr>
          <w:rFonts w:ascii="宋体" w:hAnsi="宋体"/>
          <w:lang w:eastAsia="zh-CN"/>
        </w:rPr>
      </w:pPr>
      <w:r>
        <w:rPr>
          <w:rFonts w:ascii="宋体" w:hAnsi="宋体" w:hint="eastAsia"/>
          <w:lang w:eastAsia="zh-CN"/>
        </w:rPr>
        <w:t xml:space="preserve">    （1）施工组织设计：见评标办法前附表；</w:t>
      </w:r>
    </w:p>
    <w:p w14:paraId="088667C7">
      <w:pPr>
        <w:spacing w:line="360" w:lineRule="auto"/>
        <w:rPr>
          <w:rFonts w:ascii="宋体" w:hAnsi="宋体"/>
          <w:lang w:eastAsia="zh-CN"/>
        </w:rPr>
      </w:pPr>
      <w:r>
        <w:rPr>
          <w:rFonts w:ascii="宋体" w:hAnsi="宋体" w:hint="eastAsia"/>
          <w:lang w:eastAsia="zh-CN"/>
        </w:rPr>
        <w:t xml:space="preserve">    （2）项目管理机构：见评标办法前附表；</w:t>
      </w:r>
    </w:p>
    <w:p w14:paraId="4BC041CA">
      <w:pPr>
        <w:spacing w:line="360" w:lineRule="auto"/>
        <w:rPr>
          <w:rFonts w:ascii="宋体" w:hAnsi="宋体"/>
          <w:lang w:eastAsia="zh-CN"/>
        </w:rPr>
      </w:pPr>
      <w:r>
        <w:rPr>
          <w:rFonts w:ascii="宋体" w:hAnsi="宋体" w:hint="eastAsia"/>
          <w:lang w:eastAsia="zh-CN"/>
        </w:rPr>
        <w:t xml:space="preserve">    （3）投标报价：见评标办法前附表；</w:t>
      </w:r>
    </w:p>
    <w:p w14:paraId="2E9FB633">
      <w:pPr>
        <w:spacing w:line="360" w:lineRule="auto"/>
        <w:rPr>
          <w:rFonts w:ascii="宋体" w:hAnsi="宋体"/>
          <w:lang w:eastAsia="zh-CN"/>
        </w:rPr>
      </w:pPr>
      <w:r>
        <w:rPr>
          <w:rFonts w:ascii="宋体" w:hAnsi="宋体" w:hint="eastAsia"/>
          <w:lang w:eastAsia="zh-CN"/>
        </w:rPr>
        <w:t xml:space="preserve">    （4）其他评分因素：见评标办法前附表。</w:t>
      </w:r>
    </w:p>
    <w:p w14:paraId="1A5210F7">
      <w:pPr>
        <w:spacing w:line="360" w:lineRule="auto"/>
        <w:rPr>
          <w:rFonts w:ascii="宋体" w:hAnsi="宋体"/>
          <w:lang w:eastAsia="zh-CN"/>
        </w:rPr>
      </w:pPr>
      <w:r>
        <w:rPr>
          <w:rFonts w:ascii="宋体" w:hAnsi="宋体" w:hint="eastAsia"/>
          <w:lang w:eastAsia="zh-CN"/>
        </w:rPr>
        <w:t xml:space="preserve">    2.2.2评标基准价计算</w:t>
      </w:r>
    </w:p>
    <w:p w14:paraId="3F386DE6">
      <w:pPr>
        <w:spacing w:line="360" w:lineRule="auto"/>
        <w:rPr>
          <w:rFonts w:ascii="宋体" w:hAnsi="宋体"/>
          <w:lang w:eastAsia="zh-CN"/>
        </w:rPr>
      </w:pPr>
      <w:r>
        <w:rPr>
          <w:rFonts w:ascii="宋体" w:hAnsi="宋体" w:hint="eastAsia"/>
          <w:lang w:eastAsia="zh-CN"/>
        </w:rPr>
        <w:t xml:space="preserve">    评标基准价计算方法：见评标办法前附表。</w:t>
      </w:r>
    </w:p>
    <w:p w14:paraId="3993BE73">
      <w:pPr>
        <w:spacing w:line="360" w:lineRule="auto"/>
        <w:rPr>
          <w:rFonts w:ascii="宋体" w:hAnsi="宋体"/>
          <w:lang w:eastAsia="zh-CN"/>
        </w:rPr>
      </w:pPr>
      <w:r>
        <w:rPr>
          <w:rFonts w:ascii="宋体" w:hAnsi="宋体" w:hint="eastAsia"/>
          <w:lang w:eastAsia="zh-CN"/>
        </w:rPr>
        <w:t xml:space="preserve">    2.2.3投标报价的偏差率计算</w:t>
      </w:r>
    </w:p>
    <w:p w14:paraId="2E4A24A2">
      <w:pPr>
        <w:spacing w:line="360" w:lineRule="auto"/>
        <w:rPr>
          <w:rFonts w:ascii="宋体" w:hAnsi="宋体"/>
          <w:lang w:eastAsia="zh-CN"/>
        </w:rPr>
      </w:pPr>
      <w:r>
        <w:rPr>
          <w:rFonts w:ascii="宋体" w:hAnsi="宋体" w:hint="eastAsia"/>
          <w:lang w:eastAsia="zh-CN"/>
        </w:rPr>
        <w:t xml:space="preserve">    投标报价的偏差率计算公式：见评标办法前附表。</w:t>
      </w:r>
    </w:p>
    <w:p w14:paraId="432F3CDB">
      <w:pPr>
        <w:spacing w:line="360" w:lineRule="auto"/>
        <w:rPr>
          <w:rFonts w:ascii="宋体" w:hAnsi="宋体"/>
          <w:lang w:eastAsia="zh-CN"/>
        </w:rPr>
      </w:pPr>
      <w:r>
        <w:rPr>
          <w:rFonts w:ascii="宋体" w:hAnsi="宋体" w:hint="eastAsia"/>
          <w:lang w:eastAsia="zh-CN"/>
        </w:rPr>
        <w:t xml:space="preserve">    2.2.4评分标准</w:t>
      </w:r>
    </w:p>
    <w:p w14:paraId="4F87E480">
      <w:pPr>
        <w:spacing w:line="360" w:lineRule="auto"/>
        <w:rPr>
          <w:rFonts w:ascii="宋体" w:hAnsi="宋体"/>
          <w:lang w:eastAsia="zh-CN"/>
        </w:rPr>
      </w:pPr>
      <w:r>
        <w:rPr>
          <w:rFonts w:ascii="宋体" w:hAnsi="宋体" w:hint="eastAsia"/>
          <w:lang w:eastAsia="zh-CN"/>
        </w:rPr>
        <w:t xml:space="preserve">    （1）施工组织设计评分标准：见评标办法前附表；</w:t>
      </w:r>
    </w:p>
    <w:p w14:paraId="4B03C992">
      <w:pPr>
        <w:spacing w:line="360" w:lineRule="auto"/>
        <w:rPr>
          <w:rFonts w:ascii="宋体" w:hAnsi="宋体"/>
          <w:lang w:eastAsia="zh-CN"/>
        </w:rPr>
      </w:pPr>
      <w:r>
        <w:rPr>
          <w:rFonts w:ascii="宋体" w:hAnsi="宋体" w:hint="eastAsia"/>
          <w:lang w:eastAsia="zh-CN"/>
        </w:rPr>
        <w:t xml:space="preserve">    （2）项目管理机构评分标准：见评标办法前附表；</w:t>
      </w:r>
    </w:p>
    <w:p w14:paraId="2C1E4050">
      <w:pPr>
        <w:spacing w:line="360" w:lineRule="auto"/>
        <w:rPr>
          <w:rFonts w:ascii="宋体" w:hAnsi="宋体"/>
          <w:lang w:eastAsia="zh-CN"/>
        </w:rPr>
      </w:pPr>
      <w:r>
        <w:rPr>
          <w:rFonts w:ascii="宋体" w:hAnsi="宋体" w:hint="eastAsia"/>
          <w:lang w:eastAsia="zh-CN"/>
        </w:rPr>
        <w:t xml:space="preserve">    （3）投标报价评分标准：见评标办法前附表；</w:t>
      </w:r>
    </w:p>
    <w:p w14:paraId="68B507CA">
      <w:pPr>
        <w:spacing w:line="360" w:lineRule="auto"/>
        <w:rPr>
          <w:rFonts w:ascii="宋体" w:hAnsi="宋体"/>
          <w:lang w:eastAsia="zh-CN"/>
        </w:rPr>
      </w:pPr>
      <w:r>
        <w:rPr>
          <w:rFonts w:ascii="宋体" w:hAnsi="宋体" w:hint="eastAsia"/>
          <w:lang w:eastAsia="zh-CN"/>
        </w:rPr>
        <w:t xml:space="preserve">    （4）其他因素评分标准：见评标办法前附表。</w:t>
      </w:r>
    </w:p>
    <w:p w14:paraId="396739BF">
      <w:pPr>
        <w:pStyle w:val="Heading3"/>
        <w:rPr>
          <w:rFonts w:ascii="宋体" w:hAnsi="宋体" w:hint="eastAsia"/>
          <w:sz w:val="24"/>
          <w:szCs w:val="24"/>
        </w:rPr>
      </w:pPr>
      <w:bookmarkStart w:id="72" w:name="_Toc256000062"/>
      <w:r>
        <w:rPr>
          <w:rFonts w:ascii="宋体" w:hAnsi="宋体" w:hint="eastAsia"/>
          <w:sz w:val="24"/>
          <w:szCs w:val="24"/>
        </w:rPr>
        <w:t>3.评标程序</w:t>
      </w:r>
      <w:bookmarkEnd w:id="72"/>
    </w:p>
    <w:p w14:paraId="06A30E42">
      <w:pPr>
        <w:spacing w:line="360" w:lineRule="auto"/>
        <w:ind w:firstLine="480" w:firstLineChars="200"/>
        <w:rPr>
          <w:rFonts w:ascii="宋体" w:hAnsi="宋体" w:hint="eastAsia"/>
          <w:lang w:eastAsia="zh-CN"/>
        </w:rPr>
      </w:pPr>
      <w:r>
        <w:rPr>
          <w:rFonts w:ascii="宋体" w:hAnsi="宋体" w:hint="eastAsia"/>
          <w:lang w:eastAsia="zh-CN"/>
        </w:rPr>
        <w:t>初步评审前，评标委员会须开展评标（清标）工作。</w:t>
      </w:r>
    </w:p>
    <w:p w14:paraId="15AA5D7B">
      <w:pPr>
        <w:spacing w:line="360" w:lineRule="auto"/>
        <w:ind w:firstLine="480" w:firstLineChars="200"/>
        <w:rPr>
          <w:rFonts w:ascii="宋体" w:hAnsi="宋体" w:hint="eastAsia"/>
          <w:lang w:eastAsia="zh-CN"/>
        </w:rPr>
      </w:pPr>
      <w:r>
        <w:rPr>
          <w:rFonts w:ascii="宋体" w:hAnsi="宋体" w:hint="eastAsia"/>
          <w:lang w:eastAsia="zh-CN"/>
        </w:rPr>
        <w:t>（</w:t>
      </w:r>
      <w:r>
        <w:rPr>
          <w:rFonts w:ascii="宋体" w:hAnsi="宋体" w:hint="eastAsia"/>
          <w:lang w:val="en-US" w:eastAsia="zh-CN"/>
        </w:rPr>
        <w:t>1</w:t>
      </w:r>
      <w:r>
        <w:rPr>
          <w:rFonts w:ascii="宋体" w:hAnsi="宋体" w:hint="eastAsia"/>
          <w:lang w:eastAsia="zh-CN"/>
        </w:rPr>
        <w:t>）发现不同投标人之间存在同一经办人（或同一账户）购买电子保函保单等异常情况之一的，由评标委员会根据计算机辅助评标系统预警提示信息，统一对出现异常情况的投标人作“废标”处理并记入评标报告，不再进入下一步评标环节。</w:t>
      </w:r>
    </w:p>
    <w:p w14:paraId="3CF0CB8E">
      <w:pPr>
        <w:spacing w:line="360" w:lineRule="auto"/>
        <w:ind w:firstLine="480" w:firstLineChars="200"/>
        <w:rPr>
          <w:rFonts w:ascii="宋体" w:hAnsi="宋体" w:hint="eastAsia"/>
          <w:lang w:eastAsia="zh-CN"/>
        </w:rPr>
      </w:pPr>
      <w:r>
        <w:rPr>
          <w:rFonts w:ascii="宋体" w:hAnsi="宋体" w:hint="eastAsia"/>
          <w:lang w:eastAsia="zh-CN"/>
        </w:rPr>
        <w:t>（</w:t>
      </w:r>
      <w:r>
        <w:rPr>
          <w:rFonts w:ascii="宋体" w:hAnsi="宋体" w:hint="eastAsia"/>
          <w:lang w:val="en-US" w:eastAsia="zh-CN"/>
        </w:rPr>
        <w:t>2</w:t>
      </w:r>
      <w:r>
        <w:rPr>
          <w:rFonts w:ascii="宋体" w:hAnsi="宋体" w:hint="eastAsia"/>
          <w:lang w:eastAsia="zh-CN"/>
        </w:rPr>
        <w:t>）不同投标人从同一投标单位或同一自然人的电子投标文件计算机网卡MAC地址、硬盘系列号、已标价工程量清单电子文档记录的计价权健加密锁锁号、投标过程中下载招标文件或上传电子投标文件（包括解密电子投标文件）IP地址信息，计算机辅助评标系统进行了预警。经公共资源交易部门工作人员、各行业主管部门现场监督人员、招标人代表、代理机构项目负责人确认后，现场提交该项目评标委员会。由评标委员会统一对出现异常情况的投标人作“废标”处理并记入评标报告，不再进入下一步评标环节。</w:t>
      </w:r>
    </w:p>
    <w:p w14:paraId="55B0DC28">
      <w:pPr>
        <w:spacing w:line="360" w:lineRule="auto"/>
        <w:ind w:firstLine="480" w:firstLineChars="200"/>
        <w:rPr>
          <w:rFonts w:ascii="宋体" w:hAnsi="宋体" w:hint="eastAsia"/>
          <w:lang w:eastAsia="zh-CN"/>
        </w:rPr>
      </w:pPr>
      <w:r>
        <w:rPr>
          <w:rFonts w:ascii="宋体" w:hAnsi="宋体" w:hint="eastAsia"/>
          <w:lang w:eastAsia="zh-CN"/>
        </w:rPr>
        <w:t>以上两种情况招标人均应在评标结束后及时将出现异常情况的投标人移送相关监管部门作后续调查处理。</w:t>
      </w:r>
    </w:p>
    <w:p w14:paraId="4A3AABAE">
      <w:pPr>
        <w:pStyle w:val="Heading4"/>
        <w:spacing w:line="360" w:lineRule="auto"/>
        <w:rPr>
          <w:rFonts w:ascii="宋体" w:hAnsi="宋体"/>
          <w:sz w:val="24"/>
          <w:szCs w:val="24"/>
        </w:rPr>
      </w:pPr>
      <w:r>
        <w:rPr>
          <w:rFonts w:ascii="宋体" w:hAnsi="宋体" w:hint="eastAsia"/>
          <w:sz w:val="24"/>
          <w:szCs w:val="24"/>
        </w:rPr>
        <w:t>3.1初步评审</w:t>
      </w:r>
    </w:p>
    <w:p w14:paraId="582403BB">
      <w:pPr>
        <w:spacing w:line="360" w:lineRule="auto"/>
        <w:rPr>
          <w:rFonts w:ascii="宋体" w:hAnsi="宋体"/>
          <w:lang w:eastAsia="zh-CN"/>
        </w:rPr>
      </w:pPr>
      <w:r>
        <w:rPr>
          <w:rFonts w:ascii="宋体" w:hAnsi="宋体" w:hint="eastAsia"/>
          <w:lang w:eastAsia="zh-CN"/>
        </w:rPr>
        <w:t xml:space="preserve">    3.1.1评标委员会依据本章第2.1款规定的标准对投标文件进行初步评审。有一项不符合评审标准的，作否决投标处理。（适用于未进行资格预审的）</w:t>
      </w:r>
    </w:p>
    <w:p w14:paraId="5B99C839">
      <w:pPr>
        <w:spacing w:line="360" w:lineRule="auto"/>
        <w:rPr>
          <w:rFonts w:ascii="宋体" w:hAnsi="宋体"/>
          <w:lang w:eastAsia="zh-CN"/>
        </w:rPr>
      </w:pPr>
      <w:r>
        <w:rPr>
          <w:rFonts w:ascii="宋体" w:hAnsi="宋体" w:hint="eastAsia"/>
          <w:lang w:eastAsia="zh-CN"/>
        </w:rPr>
        <w:t xml:space="preserve">    3.1.1评标委员会依据本章第2.1.1项、第2.1.3项规定的评审标准对投标文件进行初步评审。有一项不符合评审标准的，作否决投标处理。当投标人资格预审申请文件的内容发生重大变化时，评标委员会依据本章第2.1.2项规定的标准对其更新资料进行评审。（适用于已进行资格预审的）</w:t>
      </w:r>
    </w:p>
    <w:p w14:paraId="5B04A748">
      <w:pPr>
        <w:spacing w:line="360" w:lineRule="auto"/>
        <w:rPr>
          <w:rFonts w:ascii="宋体" w:hAnsi="宋体"/>
          <w:lang w:eastAsia="zh-CN"/>
        </w:rPr>
      </w:pPr>
      <w:r>
        <w:rPr>
          <w:rFonts w:ascii="宋体" w:hAnsi="宋体" w:hint="eastAsia"/>
          <w:lang w:eastAsia="zh-CN"/>
        </w:rPr>
        <w:t xml:space="preserve">    3.1.2投标人有以下情形之一的，其投标作否决投标处理：</w:t>
      </w:r>
    </w:p>
    <w:p w14:paraId="2BBD2690">
      <w:pPr>
        <w:spacing w:line="360" w:lineRule="auto"/>
        <w:rPr>
          <w:rFonts w:ascii="宋体" w:hAnsi="宋体"/>
          <w:lang w:eastAsia="zh-CN"/>
        </w:rPr>
      </w:pPr>
      <w:r>
        <w:rPr>
          <w:rFonts w:ascii="宋体" w:hAnsi="宋体" w:hint="eastAsia"/>
          <w:lang w:eastAsia="zh-CN"/>
        </w:rPr>
        <w:t xml:space="preserve">    （1）第二章“投标人须知”第1.4.3项规定的任何一种情形的；</w:t>
      </w:r>
    </w:p>
    <w:p w14:paraId="47E1F764">
      <w:pPr>
        <w:spacing w:line="360" w:lineRule="auto"/>
        <w:rPr>
          <w:rFonts w:ascii="宋体" w:hAnsi="宋体"/>
          <w:lang w:eastAsia="zh-CN"/>
        </w:rPr>
      </w:pPr>
      <w:r>
        <w:rPr>
          <w:rFonts w:ascii="宋体" w:hAnsi="宋体" w:hint="eastAsia"/>
          <w:lang w:eastAsia="zh-CN"/>
        </w:rPr>
        <w:t xml:space="preserve">    （2）串通投标或弄虚作假或有其他违法行为的；</w:t>
      </w:r>
    </w:p>
    <w:p w14:paraId="45C3ECA8">
      <w:pPr>
        <w:spacing w:line="360" w:lineRule="auto"/>
        <w:rPr>
          <w:rFonts w:ascii="宋体" w:hAnsi="宋体"/>
          <w:lang w:eastAsia="zh-CN"/>
        </w:rPr>
      </w:pPr>
      <w:r>
        <w:rPr>
          <w:rFonts w:ascii="宋体" w:hAnsi="宋体" w:hint="eastAsia"/>
          <w:lang w:eastAsia="zh-CN"/>
        </w:rPr>
        <w:t xml:space="preserve">    （3）不按评标委员会要求澄清、说明或补正的。</w:t>
      </w:r>
    </w:p>
    <w:p w14:paraId="6A912B4E">
      <w:pPr>
        <w:spacing w:line="360" w:lineRule="auto"/>
        <w:rPr>
          <w:rFonts w:ascii="宋体" w:hAnsi="宋体"/>
          <w:lang w:eastAsia="zh-CN"/>
        </w:rPr>
      </w:pPr>
      <w:r>
        <w:rPr>
          <w:rFonts w:ascii="宋体" w:hAnsi="宋体" w:hint="eastAsia"/>
          <w:lang w:eastAsia="zh-CN"/>
        </w:rPr>
        <w:t xml:space="preserve">    3.1.3投标报价有算术错误的，评标委员会按以下原则对投标报价进行修正，修正的价格经投标人书面确认后具有约束力。投标人不接受修正价格的，其投标作否决投标处理。</w:t>
      </w:r>
    </w:p>
    <w:p w14:paraId="45EC0D66">
      <w:pPr>
        <w:spacing w:line="360" w:lineRule="auto"/>
        <w:rPr>
          <w:rFonts w:ascii="宋体" w:hAnsi="宋体"/>
          <w:lang w:eastAsia="zh-CN"/>
        </w:rPr>
      </w:pPr>
      <w:r>
        <w:rPr>
          <w:rFonts w:ascii="宋体" w:hAnsi="宋体" w:hint="eastAsia"/>
          <w:lang w:eastAsia="zh-CN"/>
        </w:rPr>
        <w:t xml:space="preserve">    （1）投标文件中的大写金额与小写金额不一致的，以大写金额为准；</w:t>
      </w:r>
    </w:p>
    <w:p w14:paraId="0DC94F54">
      <w:pPr>
        <w:spacing w:line="360" w:lineRule="auto"/>
        <w:rPr>
          <w:rFonts w:ascii="宋体" w:hAnsi="宋体"/>
          <w:lang w:eastAsia="zh-CN"/>
        </w:rPr>
      </w:pPr>
      <w:r>
        <w:rPr>
          <w:rFonts w:ascii="宋体" w:hAnsi="宋体" w:hint="eastAsia"/>
          <w:lang w:eastAsia="zh-CN"/>
        </w:rPr>
        <w:t xml:space="preserve">    （2）总价金额与依据单价计算出的结果不一致的，以单价金额为准修正总价，但单价金额小数点有明显错误的除外。</w:t>
      </w:r>
    </w:p>
    <w:p w14:paraId="38536D95">
      <w:pPr>
        <w:pStyle w:val="Heading4"/>
        <w:spacing w:line="360" w:lineRule="auto"/>
        <w:rPr>
          <w:rFonts w:ascii="宋体" w:hAnsi="宋体"/>
          <w:sz w:val="24"/>
          <w:szCs w:val="24"/>
        </w:rPr>
      </w:pPr>
      <w:r>
        <w:rPr>
          <w:rFonts w:ascii="宋体" w:hAnsi="宋体" w:hint="eastAsia"/>
          <w:sz w:val="24"/>
          <w:szCs w:val="24"/>
        </w:rPr>
        <w:t>3.2详细评审</w:t>
      </w:r>
    </w:p>
    <w:p w14:paraId="7320DB93">
      <w:pPr>
        <w:spacing w:line="360" w:lineRule="auto"/>
        <w:rPr>
          <w:rFonts w:ascii="宋体" w:hAnsi="宋体"/>
          <w:lang w:eastAsia="zh-CN"/>
        </w:rPr>
      </w:pPr>
      <w:r>
        <w:rPr>
          <w:rFonts w:ascii="宋体" w:hAnsi="宋体" w:hint="eastAsia"/>
          <w:lang w:eastAsia="zh-CN"/>
        </w:rPr>
        <w:t xml:space="preserve">    3.2.1评标委员会按本章第2.2款规定的量化因素和分值进行打分，并计算出综合评估得分。</w:t>
      </w:r>
    </w:p>
    <w:p w14:paraId="14029FBF">
      <w:pPr>
        <w:spacing w:line="360" w:lineRule="auto"/>
        <w:rPr>
          <w:rFonts w:ascii="宋体" w:hAnsi="宋体"/>
          <w:lang w:eastAsia="zh-CN"/>
        </w:rPr>
      </w:pPr>
      <w:r>
        <w:rPr>
          <w:rFonts w:ascii="宋体" w:hAnsi="宋体" w:hint="eastAsia"/>
          <w:lang w:eastAsia="zh-CN"/>
        </w:rPr>
        <w:t xml:space="preserve">    （1）按本章第2.2.4（1）目规定的评审因素和分值对施工组织设计计算出得分A；</w:t>
      </w:r>
    </w:p>
    <w:p w14:paraId="5F72E3ED">
      <w:pPr>
        <w:spacing w:line="360" w:lineRule="auto"/>
        <w:rPr>
          <w:rFonts w:ascii="宋体" w:hAnsi="宋体"/>
          <w:lang w:eastAsia="zh-CN"/>
        </w:rPr>
      </w:pPr>
      <w:r>
        <w:rPr>
          <w:rFonts w:ascii="宋体" w:hAnsi="宋体" w:hint="eastAsia"/>
          <w:lang w:eastAsia="zh-CN"/>
        </w:rPr>
        <w:t xml:space="preserve">    （2）按本章第2.2.4（2）目规定的评审因素和分值对项目管理机构计算出得分B；</w:t>
      </w:r>
    </w:p>
    <w:p w14:paraId="5C5262DC">
      <w:pPr>
        <w:spacing w:line="360" w:lineRule="auto"/>
        <w:rPr>
          <w:rFonts w:ascii="宋体" w:hAnsi="宋体"/>
          <w:lang w:eastAsia="zh-CN"/>
        </w:rPr>
      </w:pPr>
      <w:r>
        <w:rPr>
          <w:rFonts w:ascii="宋体" w:hAnsi="宋体" w:hint="eastAsia"/>
          <w:lang w:eastAsia="zh-CN"/>
        </w:rPr>
        <w:t xml:space="preserve">    （3）按本章第2.2.4（3）目规定的评审因素和分值对投标报价计算出得分C；</w:t>
      </w:r>
    </w:p>
    <w:p w14:paraId="237AA474">
      <w:pPr>
        <w:spacing w:line="360" w:lineRule="auto"/>
        <w:rPr>
          <w:rFonts w:ascii="宋体" w:hAnsi="宋体"/>
          <w:lang w:eastAsia="zh-CN"/>
        </w:rPr>
      </w:pPr>
      <w:r>
        <w:rPr>
          <w:rFonts w:ascii="宋体" w:hAnsi="宋体" w:hint="eastAsia"/>
          <w:lang w:eastAsia="zh-CN"/>
        </w:rPr>
        <w:t xml:space="preserve">    （4）按本章第2.2.4（4）目规定的评审因素和分值对其他部分计算出得分D。</w:t>
      </w:r>
    </w:p>
    <w:p w14:paraId="6D97A810">
      <w:pPr>
        <w:spacing w:line="360" w:lineRule="auto"/>
        <w:rPr>
          <w:rFonts w:ascii="宋体" w:hAnsi="宋体"/>
          <w:lang w:eastAsia="zh-CN"/>
        </w:rPr>
      </w:pPr>
      <w:r>
        <w:rPr>
          <w:rFonts w:ascii="宋体" w:hAnsi="宋体" w:hint="eastAsia"/>
          <w:lang w:eastAsia="zh-CN"/>
        </w:rPr>
        <w:t xml:space="preserve">    3.2.2评分分值计算保留小数点后两位，小数点后第三位“四舍五入”。</w:t>
      </w:r>
    </w:p>
    <w:p w14:paraId="7686089D">
      <w:pPr>
        <w:spacing w:line="360" w:lineRule="auto"/>
        <w:rPr>
          <w:rFonts w:ascii="宋体" w:hAnsi="宋体"/>
          <w:lang w:eastAsia="zh-CN"/>
        </w:rPr>
      </w:pPr>
      <w:r>
        <w:rPr>
          <w:rFonts w:ascii="宋体" w:hAnsi="宋体" w:hint="eastAsia"/>
          <w:lang w:eastAsia="zh-CN"/>
        </w:rPr>
        <w:t xml:space="preserve">    3.2.3投标人得分=A+B+C+D。</w:t>
      </w:r>
    </w:p>
    <w:p w14:paraId="412A4FA0">
      <w:pPr>
        <w:spacing w:line="360" w:lineRule="auto"/>
        <w:rPr>
          <w:rFonts w:ascii="宋体" w:hAnsi="宋体"/>
          <w:lang w:eastAsia="zh-CN"/>
        </w:rPr>
      </w:pPr>
      <w:r>
        <w:rPr>
          <w:rFonts w:ascii="宋体" w:hAnsi="宋体" w:hint="eastAsia"/>
          <w:lang w:eastAsia="zh-CN"/>
        </w:rPr>
        <w:t xml:space="preserve">    3.2.4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否决投标处理。</w:t>
      </w:r>
    </w:p>
    <w:p w14:paraId="64691908">
      <w:pPr>
        <w:pStyle w:val="Heading4"/>
        <w:spacing w:line="360" w:lineRule="auto"/>
        <w:rPr>
          <w:rFonts w:ascii="宋体" w:hAnsi="宋体"/>
          <w:sz w:val="24"/>
          <w:szCs w:val="24"/>
        </w:rPr>
      </w:pPr>
      <w:r>
        <w:rPr>
          <w:rFonts w:ascii="宋体" w:hAnsi="宋体" w:hint="eastAsia"/>
          <w:sz w:val="24"/>
          <w:szCs w:val="24"/>
        </w:rPr>
        <w:t>3.3投标文件的澄清和补正</w:t>
      </w:r>
    </w:p>
    <w:p w14:paraId="72C7641E">
      <w:pPr>
        <w:spacing w:line="360" w:lineRule="auto"/>
        <w:rPr>
          <w:rFonts w:ascii="宋体" w:hAnsi="宋体"/>
          <w:lang w:eastAsia="zh-CN"/>
        </w:rPr>
      </w:pPr>
      <w:r>
        <w:rPr>
          <w:rFonts w:ascii="宋体" w:hAnsi="宋体" w:hint="eastAsia"/>
          <w:lang w:eastAsia="zh-CN"/>
        </w:rPr>
        <w:t xml:space="preserve">    3.3.1在评标过程中，评标委员会可以书面形式要求投标人对所提交投标文件中不明确的内容进行书面澄清或说明，或者对细微偏差进行补正。评标委员会不接受投标人主动提出的澄清、说明或补正。</w:t>
      </w:r>
    </w:p>
    <w:p w14:paraId="52AFDBF5">
      <w:pPr>
        <w:spacing w:line="360" w:lineRule="auto"/>
        <w:rPr>
          <w:rFonts w:ascii="宋体" w:hAnsi="宋体"/>
          <w:lang w:eastAsia="zh-CN"/>
        </w:rPr>
      </w:pPr>
      <w:r>
        <w:rPr>
          <w:rFonts w:ascii="宋体" w:hAnsi="宋体" w:hint="eastAsia"/>
          <w:lang w:eastAsia="zh-CN"/>
        </w:rPr>
        <w:t xml:space="preserve">    3.3.2澄清、说明和补正不得改变投标文件的实质性内容（算术性错误修正的除外）。投标人的书面澄清、说明和补正属于投标文件的组成部分。</w:t>
      </w:r>
    </w:p>
    <w:p w14:paraId="7A1B7298">
      <w:pPr>
        <w:spacing w:line="360" w:lineRule="auto"/>
        <w:ind w:firstLine="480"/>
        <w:rPr>
          <w:rFonts w:ascii="宋体" w:hAnsi="宋体" w:hint="eastAsia"/>
          <w:lang w:eastAsia="zh-CN"/>
        </w:rPr>
      </w:pPr>
      <w:r>
        <w:rPr>
          <w:rFonts w:ascii="宋体" w:hAnsi="宋体" w:hint="eastAsia"/>
          <w:lang w:eastAsia="zh-CN"/>
        </w:rPr>
        <w:t>3.3.3评标委员会对投标人提交的澄清、说明或补正有疑问的，可以要求投标人进一步澄清、说明或补正，直至满足评标委员会的要求。</w:t>
      </w:r>
    </w:p>
    <w:p w14:paraId="1B4F12F2">
      <w:pPr>
        <w:spacing w:line="360" w:lineRule="auto"/>
        <w:ind w:firstLine="480" w:firstLineChars="200"/>
        <w:rPr>
          <w:rFonts w:ascii="宋体" w:hAnsi="宋体" w:hint="eastAsia"/>
          <w:lang w:eastAsia="zh-CN"/>
        </w:rPr>
      </w:pPr>
      <w:r>
        <w:rPr>
          <w:rFonts w:ascii="宋体" w:eastAsia="宋体" w:hAnsi="宋体" w:cs="宋体" w:hint="eastAsia"/>
          <w:sz w:val="24"/>
          <w:szCs w:val="24"/>
          <w:highlight w:val="none"/>
          <w:lang w:val="en-US" w:eastAsia="zh-CN"/>
        </w:rPr>
        <w:t>3.3.4在评审暗标部分时，需要向投标人发出澄清的，投标人的澄清回复内容不得出现可能泄露投标人单位及个人信息的文字、图片、图表等有关表述或者任何标记，否则评标委员会对其作否决投标处理。</w:t>
      </w:r>
    </w:p>
    <w:p w14:paraId="112AEE63">
      <w:pPr>
        <w:pStyle w:val="Heading4"/>
        <w:spacing w:line="360" w:lineRule="auto"/>
        <w:rPr>
          <w:rFonts w:ascii="宋体" w:hAnsi="宋体"/>
          <w:sz w:val="24"/>
          <w:szCs w:val="24"/>
        </w:rPr>
      </w:pPr>
      <w:r>
        <w:rPr>
          <w:rFonts w:ascii="宋体" w:hAnsi="宋体" w:hint="eastAsia"/>
          <w:sz w:val="24"/>
          <w:szCs w:val="24"/>
        </w:rPr>
        <w:t>3.4评标结果</w:t>
      </w:r>
    </w:p>
    <w:p w14:paraId="53B56FBC">
      <w:pPr>
        <w:spacing w:line="360" w:lineRule="auto"/>
        <w:ind w:firstLine="480" w:firstLineChars="200"/>
        <w:rPr>
          <w:rFonts w:ascii="宋体" w:eastAsia="宋体" w:hAnsi="宋体" w:hint="eastAsia"/>
          <w:sz w:val="24"/>
          <w:szCs w:val="24"/>
          <w:highlight w:val="none"/>
          <w:lang w:val="en-US" w:eastAsia="zh-CN"/>
        </w:rPr>
      </w:pPr>
      <w:r>
        <w:rPr>
          <w:rFonts w:ascii="宋体" w:eastAsia="宋体" w:hAnsi="宋体" w:cs="宋体" w:hint="eastAsia"/>
          <w:sz w:val="24"/>
          <w:szCs w:val="24"/>
          <w:highlight w:val="none"/>
          <w:lang w:val="en-US" w:eastAsia="zh-CN"/>
        </w:rPr>
        <w:t>3.4.1评标委员会按得分由高到低顺序推荐3个中标候选人，推荐的中标候选人不排序。当有效投标为2人时，可推荐2人，不足2人时，评标委员会不推荐中标候选人，本次招标失败。评标委员会须对中标候选人逐一出具评审意见，相关评审意见应针对性阐述中标候选人投标文件的优点、不足、可能存在的风险等，不得泛泛而谈。</w:t>
      </w:r>
    </w:p>
    <w:p w14:paraId="56DDD429">
      <w:pPr>
        <w:spacing w:line="360" w:lineRule="auto"/>
        <w:ind w:firstLine="480"/>
        <w:rPr>
          <w:rFonts w:ascii="宋体" w:hAnsi="宋体"/>
          <w:lang w:eastAsia="zh-CN"/>
        </w:rPr>
      </w:pPr>
      <w:r>
        <w:rPr>
          <w:rFonts w:ascii="宋体" w:hAnsi="宋体" w:hint="eastAsia"/>
          <w:lang w:eastAsia="zh-CN"/>
        </w:rPr>
        <w:t>3.4.2评标委员会完成评标后，应当向招标人提交书面评标报告。</w:t>
      </w:r>
    </w:p>
    <w:p w14:paraId="10FC53EF">
      <w:pPr>
        <w:spacing w:line="360" w:lineRule="auto"/>
        <w:ind w:firstLine="480"/>
        <w:rPr>
          <w:rFonts w:ascii="宋体" w:hAnsi="宋体"/>
          <w:lang w:eastAsia="zh-CN"/>
        </w:rPr>
      </w:pPr>
    </w:p>
    <w:p w14:paraId="2F2AE9DB">
      <w:pPr>
        <w:pStyle w:val="Heading2"/>
        <w:rPr>
          <w:rFonts w:ascii="宋体" w:hAnsi="宋体"/>
          <w:sz w:val="24"/>
          <w:szCs w:val="24"/>
        </w:rPr>
      </w:pPr>
      <w:bookmarkStart w:id="73" w:name="_Toc256000063"/>
      <w:r>
        <w:rPr>
          <w:rFonts w:ascii="宋体" w:hAnsi="宋体" w:hint="eastAsia"/>
          <w:sz w:val="24"/>
          <w:szCs w:val="24"/>
        </w:rPr>
        <w:t>附件A:评标详细程序</w:t>
      </w:r>
      <w:bookmarkEnd w:id="73"/>
    </w:p>
    <w:p w14:paraId="51814A67">
      <w:pPr>
        <w:spacing w:line="360" w:lineRule="auto"/>
        <w:jc w:val="center"/>
        <w:rPr>
          <w:rFonts w:ascii="宋体" w:hAnsi="宋体"/>
          <w:b/>
          <w:lang w:eastAsia="zh-CN"/>
        </w:rPr>
      </w:pPr>
      <w:r>
        <w:rPr>
          <w:rFonts w:ascii="宋体" w:hAnsi="宋体" w:hint="eastAsia"/>
          <w:b/>
          <w:lang w:eastAsia="zh-CN"/>
        </w:rPr>
        <w:t>评标详细程序</w:t>
      </w:r>
    </w:p>
    <w:p w14:paraId="7D072B88">
      <w:pPr>
        <w:pStyle w:val="Heading3"/>
        <w:rPr>
          <w:rFonts w:ascii="宋体" w:hAnsi="宋体"/>
          <w:sz w:val="24"/>
          <w:szCs w:val="24"/>
        </w:rPr>
      </w:pPr>
      <w:bookmarkStart w:id="74" w:name="_Toc256000064"/>
      <w:r>
        <w:rPr>
          <w:rFonts w:ascii="宋体" w:hAnsi="宋体" w:hint="eastAsia"/>
          <w:sz w:val="24"/>
          <w:szCs w:val="24"/>
        </w:rPr>
        <w:t>A0.总  则</w:t>
      </w:r>
      <w:bookmarkEnd w:id="74"/>
    </w:p>
    <w:p w14:paraId="33CCEDF6">
      <w:pPr>
        <w:spacing w:line="360" w:lineRule="auto"/>
        <w:rPr>
          <w:rFonts w:ascii="宋体" w:hAnsi="宋体"/>
          <w:lang w:eastAsia="zh-CN"/>
        </w:rPr>
      </w:pPr>
      <w:r>
        <w:rPr>
          <w:rFonts w:ascii="宋体" w:hAnsi="宋体" w:hint="eastAsia"/>
          <w:lang w:eastAsia="zh-CN"/>
        </w:rPr>
        <w:t xml:space="preserve">    本附件是本章“评标办法”的组成部分，是对本章第3条所规定的评标程序的进一些</w:t>
      </w:r>
    </w:p>
    <w:p w14:paraId="0BA452A2">
      <w:pPr>
        <w:spacing w:line="360" w:lineRule="auto"/>
        <w:rPr>
          <w:rFonts w:ascii="宋体" w:hAnsi="宋体"/>
          <w:lang w:eastAsia="zh-CN"/>
        </w:rPr>
      </w:pPr>
      <w:r>
        <w:rPr>
          <w:rFonts w:ascii="宋体" w:hAnsi="宋体" w:hint="eastAsia"/>
          <w:lang w:eastAsia="zh-CN"/>
        </w:rPr>
        <w:t>细化，评标委员会应当按照本附件所规定的详细程序开展并完成评标工作。</w:t>
      </w:r>
    </w:p>
    <w:p w14:paraId="61826438">
      <w:pPr>
        <w:pStyle w:val="Heading3"/>
        <w:rPr>
          <w:rFonts w:ascii="宋体" w:hAnsi="宋体"/>
          <w:sz w:val="24"/>
          <w:szCs w:val="24"/>
        </w:rPr>
      </w:pPr>
      <w:bookmarkStart w:id="75" w:name="_Toc256000065"/>
      <w:r>
        <w:rPr>
          <w:rFonts w:ascii="宋体" w:hAnsi="宋体" w:hint="eastAsia"/>
          <w:sz w:val="24"/>
          <w:szCs w:val="24"/>
        </w:rPr>
        <w:t>A1.基本程序</w:t>
      </w:r>
      <w:bookmarkEnd w:id="75"/>
    </w:p>
    <w:p w14:paraId="3701BF5B">
      <w:pPr>
        <w:spacing w:line="360" w:lineRule="auto"/>
        <w:rPr>
          <w:rFonts w:ascii="宋体" w:hAnsi="宋体"/>
          <w:lang w:eastAsia="zh-CN"/>
        </w:rPr>
      </w:pPr>
      <w:r>
        <w:rPr>
          <w:rFonts w:ascii="宋体" w:hAnsi="宋体" w:hint="eastAsia"/>
          <w:lang w:eastAsia="zh-CN"/>
        </w:rPr>
        <w:t xml:space="preserve">    评标活动将按以下五个步骤进行：</w:t>
      </w:r>
    </w:p>
    <w:p w14:paraId="0BD1AC52">
      <w:pPr>
        <w:spacing w:line="360" w:lineRule="auto"/>
        <w:rPr>
          <w:rFonts w:ascii="宋体" w:hAnsi="宋体"/>
          <w:lang w:eastAsia="zh-CN"/>
        </w:rPr>
      </w:pPr>
      <w:r>
        <w:rPr>
          <w:rFonts w:ascii="宋体" w:hAnsi="宋体" w:hint="eastAsia"/>
          <w:lang w:eastAsia="zh-CN"/>
        </w:rPr>
        <w:t xml:space="preserve">    （1）评标准备；</w:t>
      </w:r>
    </w:p>
    <w:p w14:paraId="3C661670">
      <w:pPr>
        <w:spacing w:line="360" w:lineRule="auto"/>
        <w:rPr>
          <w:rFonts w:ascii="宋体" w:hAnsi="宋体"/>
          <w:lang w:eastAsia="zh-CN"/>
        </w:rPr>
      </w:pPr>
      <w:r>
        <w:rPr>
          <w:rFonts w:ascii="宋体" w:hAnsi="宋体" w:hint="eastAsia"/>
          <w:lang w:eastAsia="zh-CN"/>
        </w:rPr>
        <w:t xml:space="preserve">    （2）初步评审；</w:t>
      </w:r>
    </w:p>
    <w:p w14:paraId="6ECC90A6">
      <w:pPr>
        <w:spacing w:line="360" w:lineRule="auto"/>
        <w:rPr>
          <w:rFonts w:ascii="宋体" w:hAnsi="宋体"/>
          <w:lang w:eastAsia="zh-CN"/>
        </w:rPr>
      </w:pPr>
      <w:r>
        <w:rPr>
          <w:rFonts w:ascii="宋体" w:hAnsi="宋体" w:hint="eastAsia"/>
          <w:lang w:eastAsia="zh-CN"/>
        </w:rPr>
        <w:t xml:space="preserve">    （3）详细评审；</w:t>
      </w:r>
    </w:p>
    <w:p w14:paraId="44AE56E7">
      <w:pPr>
        <w:spacing w:line="360" w:lineRule="auto"/>
        <w:rPr>
          <w:rFonts w:ascii="宋体" w:hAnsi="宋体"/>
          <w:lang w:eastAsia="zh-CN"/>
        </w:rPr>
      </w:pPr>
      <w:r>
        <w:rPr>
          <w:rFonts w:ascii="宋体" w:hAnsi="宋体" w:hint="eastAsia"/>
          <w:lang w:eastAsia="zh-CN"/>
        </w:rPr>
        <w:t xml:space="preserve">    （4）澄清、说明或补正；</w:t>
      </w:r>
    </w:p>
    <w:p w14:paraId="7F8BA843">
      <w:pPr>
        <w:spacing w:line="360" w:lineRule="auto"/>
        <w:rPr>
          <w:rFonts w:ascii="宋体" w:hAnsi="宋体"/>
          <w:lang w:eastAsia="zh-CN"/>
        </w:rPr>
      </w:pPr>
      <w:r>
        <w:rPr>
          <w:rFonts w:ascii="宋体" w:hAnsi="宋体" w:hint="eastAsia"/>
          <w:lang w:eastAsia="zh-CN"/>
        </w:rPr>
        <w:t xml:space="preserve">    （5）推荐中标候选人或者直接确定中标人及提交评标报告。</w:t>
      </w:r>
    </w:p>
    <w:p w14:paraId="04685E74">
      <w:pPr>
        <w:pStyle w:val="Heading3"/>
        <w:rPr>
          <w:rFonts w:ascii="宋体" w:hAnsi="宋体"/>
          <w:sz w:val="24"/>
          <w:szCs w:val="24"/>
        </w:rPr>
      </w:pPr>
      <w:bookmarkStart w:id="76" w:name="_Toc256000066"/>
      <w:r>
        <w:rPr>
          <w:rFonts w:ascii="宋体" w:hAnsi="宋体" w:hint="eastAsia"/>
          <w:sz w:val="24"/>
          <w:szCs w:val="24"/>
        </w:rPr>
        <w:t>A2.评标准备</w:t>
      </w:r>
      <w:bookmarkEnd w:id="76"/>
    </w:p>
    <w:p w14:paraId="05F33FE2">
      <w:pPr>
        <w:pStyle w:val="Heading4"/>
        <w:spacing w:line="360" w:lineRule="auto"/>
        <w:rPr>
          <w:rFonts w:ascii="宋体" w:hAnsi="宋体"/>
          <w:sz w:val="24"/>
          <w:szCs w:val="24"/>
        </w:rPr>
      </w:pPr>
      <w:r>
        <w:rPr>
          <w:rFonts w:ascii="宋体" w:hAnsi="宋体" w:hint="eastAsia"/>
          <w:sz w:val="24"/>
          <w:szCs w:val="24"/>
        </w:rPr>
        <w:t>A2.1评标委员会成员签到</w:t>
      </w:r>
    </w:p>
    <w:p w14:paraId="5C3A0FC9">
      <w:pPr>
        <w:spacing w:line="360" w:lineRule="auto"/>
        <w:rPr>
          <w:rFonts w:ascii="宋体" w:hAnsi="宋体"/>
          <w:lang w:eastAsia="zh-CN"/>
        </w:rPr>
      </w:pPr>
      <w:r>
        <w:rPr>
          <w:rFonts w:ascii="宋体" w:hAnsi="宋体" w:hint="eastAsia"/>
          <w:lang w:eastAsia="zh-CN"/>
        </w:rPr>
        <w:t xml:space="preserve">    评标委员会成员到达评标现场时应在签到表上签到以证明其出席。评标委员会签到表见</w:t>
      </w:r>
    </w:p>
    <w:p w14:paraId="69A30C0B">
      <w:pPr>
        <w:spacing w:line="360" w:lineRule="auto"/>
        <w:rPr>
          <w:rFonts w:ascii="宋体" w:hAnsi="宋体"/>
          <w:b/>
          <w:lang w:eastAsia="zh-CN"/>
        </w:rPr>
      </w:pPr>
      <w:r>
        <w:rPr>
          <w:rFonts w:ascii="宋体" w:hAnsi="宋体" w:hint="eastAsia"/>
          <w:b/>
          <w:u w:val="single"/>
          <w:lang w:eastAsia="zh-CN"/>
        </w:rPr>
        <w:t>附表A-1</w:t>
      </w:r>
      <w:r>
        <w:rPr>
          <w:rFonts w:ascii="宋体" w:hAnsi="宋体" w:hint="eastAsia"/>
          <w:b/>
          <w:lang w:eastAsia="zh-CN"/>
        </w:rPr>
        <w:t>。</w:t>
      </w:r>
    </w:p>
    <w:p w14:paraId="1D898FE3">
      <w:pPr>
        <w:pStyle w:val="Heading4"/>
        <w:spacing w:line="360" w:lineRule="auto"/>
        <w:rPr>
          <w:rFonts w:ascii="宋体" w:hAnsi="宋体"/>
          <w:sz w:val="24"/>
          <w:szCs w:val="24"/>
        </w:rPr>
      </w:pPr>
      <w:r>
        <w:rPr>
          <w:rFonts w:ascii="宋体" w:hAnsi="宋体" w:hint="eastAsia"/>
          <w:sz w:val="24"/>
          <w:szCs w:val="24"/>
        </w:rPr>
        <w:t>A2.2评标委员会的分工</w:t>
      </w:r>
    </w:p>
    <w:p w14:paraId="5F680E2F">
      <w:pPr>
        <w:spacing w:line="360" w:lineRule="auto"/>
        <w:rPr>
          <w:rFonts w:ascii="宋体" w:hAnsi="宋体"/>
          <w:lang w:eastAsia="zh-CN"/>
        </w:rPr>
      </w:pPr>
      <w:r>
        <w:rPr>
          <w:rFonts w:ascii="宋体" w:hAnsi="宋体" w:hint="eastAsia"/>
          <w:lang w:eastAsia="zh-CN"/>
        </w:rPr>
        <w:t xml:space="preserve">    评标委员会首先推选一名评标委员会主任。招标人也可以直接指定评标委员会主任。评标委员会主任负责评标活动的组织领导工作。评标委员会主任在与其他评标委员会成员商议的基础上可以将评标委员会划分为技术组和商务组。</w:t>
      </w:r>
    </w:p>
    <w:p w14:paraId="005D1204">
      <w:pPr>
        <w:pStyle w:val="Heading4"/>
        <w:spacing w:line="360" w:lineRule="auto"/>
        <w:rPr>
          <w:rFonts w:ascii="宋体" w:hAnsi="宋体"/>
          <w:sz w:val="24"/>
          <w:szCs w:val="24"/>
        </w:rPr>
      </w:pPr>
      <w:r>
        <w:rPr>
          <w:rFonts w:ascii="宋体" w:hAnsi="宋体" w:hint="eastAsia"/>
          <w:sz w:val="24"/>
          <w:szCs w:val="24"/>
        </w:rPr>
        <w:t>A2.3熟悉文件资料</w:t>
      </w:r>
    </w:p>
    <w:p w14:paraId="68F80B7F">
      <w:pPr>
        <w:spacing w:line="360" w:lineRule="auto"/>
        <w:rPr>
          <w:rFonts w:ascii="宋体" w:hAnsi="宋体"/>
          <w:lang w:eastAsia="zh-CN"/>
        </w:rPr>
      </w:pPr>
      <w:r>
        <w:rPr>
          <w:rFonts w:ascii="宋体" w:hAnsi="宋体" w:hint="eastAsia"/>
          <w:lang w:eastAsia="zh-CN"/>
        </w:rPr>
        <w:t xml:space="preserve">    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14:paraId="5F280E58">
      <w:pPr>
        <w:spacing w:line="360" w:lineRule="auto"/>
        <w:rPr>
          <w:rFonts w:ascii="宋体" w:hAnsi="宋体"/>
          <w:lang w:eastAsia="zh-CN"/>
        </w:rPr>
      </w:pPr>
      <w:r>
        <w:rPr>
          <w:rFonts w:ascii="宋体" w:hAnsi="宋体" w:hint="eastAsia"/>
          <w:lang w:eastAsia="zh-CN"/>
        </w:rPr>
        <w:t xml:space="preserve">    A2.3.2招标人或招标代理机构应向评标委员会提供评标所需的信息和数据，包括招标文件、未在开标会上当场拒绝的各投标文件、开标会记录、资格预审文件及各投标人在资格预审阶段递交的资格预审申请文件(适用于已进行资格预审的)、标底(如有)、工程所在地工程造价管理部门颁布的工程造价信息、定额(如作为计价依据时)、有关的法律、法规、规章、国家标准以及招标人或评标委员会认为必要的其他信息和数据。</w:t>
      </w:r>
    </w:p>
    <w:p w14:paraId="1F9E061F">
      <w:pPr>
        <w:spacing w:line="360" w:lineRule="auto"/>
        <w:rPr>
          <w:rFonts w:ascii="宋体" w:hAnsi="宋体"/>
          <w:lang w:eastAsia="zh-CN"/>
        </w:rPr>
      </w:pPr>
    </w:p>
    <w:p w14:paraId="2C0933BC">
      <w:pPr>
        <w:pStyle w:val="Heading4"/>
        <w:spacing w:line="360" w:lineRule="auto"/>
        <w:rPr>
          <w:rFonts w:ascii="宋体" w:hAnsi="宋体"/>
          <w:sz w:val="24"/>
          <w:szCs w:val="24"/>
        </w:rPr>
      </w:pPr>
      <w:r>
        <w:rPr>
          <w:rFonts w:ascii="宋体" w:hAnsi="宋体" w:hint="eastAsia"/>
          <w:sz w:val="24"/>
          <w:szCs w:val="24"/>
        </w:rPr>
        <w:t>A2.5对投标文件进行基础性数据分析和整理工作(清标)</w:t>
      </w:r>
    </w:p>
    <w:p w14:paraId="13B9AACB">
      <w:pPr>
        <w:spacing w:line="360" w:lineRule="auto"/>
        <w:rPr>
          <w:rFonts w:ascii="宋体" w:hAnsi="宋体"/>
          <w:lang w:eastAsia="zh-CN"/>
        </w:rPr>
      </w:pPr>
      <w:r>
        <w:rPr>
          <w:rFonts w:ascii="宋体" w:hAnsi="宋体" w:hint="eastAsia"/>
          <w:lang w:eastAsia="zh-CN"/>
        </w:rPr>
        <w:t xml:space="preserve">    A2.5.1在不改变投标人投标文件实质性内容的前提下，评标委员会应当对投标文件进行基础性数据分析和整理(本章中简称为“清标”)，从而发现并提取其中可能存在的对招标范围理解的偏差、投标报价的算术性错误、错漏项、投标报价构成不合理、不平衡报价等存在明显异常的问题，并就这些问题整理形成清标成果。评标委员会对清标成果审议后，决定需要投标人进行书面澄清、说明或补正的问题，形成质疑问卷，向投标人发出问题澄清通知(包括质疑问卷)。</w:t>
      </w:r>
    </w:p>
    <w:p w14:paraId="14A242C8">
      <w:pPr>
        <w:pStyle w:val="Heading3"/>
        <w:rPr>
          <w:rFonts w:ascii="宋体" w:hAnsi="宋体"/>
          <w:sz w:val="24"/>
          <w:szCs w:val="24"/>
        </w:rPr>
      </w:pPr>
      <w:bookmarkStart w:id="77" w:name="_Toc256000067"/>
      <w:r>
        <w:rPr>
          <w:rFonts w:ascii="宋体" w:hAnsi="宋体" w:hint="eastAsia"/>
          <w:sz w:val="24"/>
          <w:szCs w:val="24"/>
        </w:rPr>
        <w:t>A3初步评审</w:t>
      </w:r>
      <w:bookmarkEnd w:id="77"/>
    </w:p>
    <w:p w14:paraId="0761F38C">
      <w:pPr>
        <w:pStyle w:val="Heading4"/>
        <w:spacing w:line="360" w:lineRule="auto"/>
        <w:rPr>
          <w:rFonts w:ascii="宋体" w:hAnsi="宋体"/>
          <w:sz w:val="24"/>
          <w:szCs w:val="24"/>
        </w:rPr>
      </w:pPr>
      <w:r>
        <w:rPr>
          <w:rFonts w:ascii="宋体" w:hAnsi="宋体" w:hint="eastAsia"/>
          <w:sz w:val="24"/>
          <w:szCs w:val="24"/>
        </w:rPr>
        <w:t>A3.1形式评审</w:t>
      </w:r>
    </w:p>
    <w:p w14:paraId="42A1517C">
      <w:pPr>
        <w:spacing w:line="360" w:lineRule="auto"/>
        <w:ind w:firstLine="480"/>
        <w:rPr>
          <w:rFonts w:ascii="宋体" w:hAnsi="宋体"/>
          <w:b/>
          <w:lang w:eastAsia="zh-CN"/>
        </w:rPr>
      </w:pPr>
      <w:r>
        <w:rPr>
          <w:rFonts w:ascii="宋体" w:hAnsi="宋体" w:hint="eastAsia"/>
          <w:b/>
          <w:lang w:eastAsia="zh-CN"/>
        </w:rPr>
        <w:t>评标委员会根据评标办法前附表中规定的评审因素和评审标准，对投标人的投标文件进行形式评审，并使用附表A-2记录评审结果。</w:t>
      </w:r>
    </w:p>
    <w:p w14:paraId="42F19E5A">
      <w:pPr>
        <w:spacing w:line="360" w:lineRule="auto"/>
        <w:ind w:firstLine="480"/>
        <w:rPr>
          <w:rFonts w:ascii="宋体" w:hAnsi="宋体"/>
          <w:b/>
          <w:lang w:eastAsia="zh-CN"/>
        </w:rPr>
      </w:pPr>
      <w:r>
        <w:rPr>
          <w:rFonts w:ascii="宋体" w:hAnsi="宋体" w:hint="eastAsia"/>
          <w:b/>
          <w:lang w:eastAsia="zh-CN"/>
        </w:rPr>
        <w:t>注：投标文件的签名信息为数字签名，关于数字签名的评审以《</w:t>
      </w:r>
      <w:r>
        <w:rPr>
          <w:rFonts w:eastAsia="黑体" w:hint="eastAsia"/>
          <w:sz w:val="28"/>
          <w:szCs w:val="28"/>
          <w:lang w:eastAsia="zh-CN"/>
        </w:rPr>
        <w:t>投标文件数字（</w:t>
      </w:r>
      <w:r>
        <w:rPr>
          <w:rFonts w:eastAsia="黑体"/>
          <w:sz w:val="28"/>
          <w:szCs w:val="28"/>
          <w:lang w:eastAsia="zh-CN"/>
        </w:rPr>
        <w:t>CA</w:t>
      </w:r>
      <w:r>
        <w:rPr>
          <w:rFonts w:eastAsia="黑体" w:hint="eastAsia"/>
          <w:sz w:val="28"/>
          <w:szCs w:val="28"/>
          <w:lang w:eastAsia="zh-CN"/>
        </w:rPr>
        <w:t>）签名信息表</w:t>
      </w:r>
      <w:r>
        <w:rPr>
          <w:rFonts w:ascii="宋体" w:hAnsi="宋体" w:hint="eastAsia"/>
          <w:b/>
          <w:lang w:eastAsia="zh-CN"/>
        </w:rPr>
        <w:t>》为准。</w:t>
      </w:r>
    </w:p>
    <w:p w14:paraId="154896E3">
      <w:pPr>
        <w:pStyle w:val="Heading4"/>
        <w:spacing w:line="360" w:lineRule="auto"/>
        <w:rPr>
          <w:rFonts w:ascii="宋体" w:hAnsi="宋体"/>
          <w:sz w:val="24"/>
          <w:szCs w:val="24"/>
        </w:rPr>
      </w:pPr>
      <w:r>
        <w:rPr>
          <w:rFonts w:ascii="宋体" w:hAnsi="宋体" w:hint="eastAsia"/>
          <w:sz w:val="24"/>
          <w:szCs w:val="24"/>
        </w:rPr>
        <w:t>A3.2资格评审</w:t>
      </w:r>
    </w:p>
    <w:p w14:paraId="2AEAEA25">
      <w:pPr>
        <w:spacing w:line="360" w:lineRule="auto"/>
        <w:rPr>
          <w:rFonts w:ascii="宋体" w:hAnsi="宋体"/>
          <w:b/>
          <w:lang w:eastAsia="zh-CN"/>
        </w:rPr>
      </w:pPr>
      <w:r>
        <w:rPr>
          <w:rFonts w:ascii="宋体" w:hAnsi="宋体" w:hint="eastAsia"/>
          <w:lang w:eastAsia="zh-CN"/>
        </w:rPr>
        <w:t xml:space="preserve">    </w:t>
      </w:r>
      <w:r>
        <w:rPr>
          <w:rFonts w:ascii="宋体" w:hAnsi="宋体" w:hint="eastAsia"/>
          <w:b/>
          <w:lang w:eastAsia="zh-CN"/>
        </w:rPr>
        <w:t>A3.2.1评标委员会根据评标办法前附表中规定的评审因素和评审标准，对投标人的投标文件进行资格评审，并使用附表A-3记录评审结果。(适用于未进行资格预审的)</w:t>
      </w:r>
    </w:p>
    <w:p w14:paraId="3E9D62C3">
      <w:pPr>
        <w:spacing w:line="360" w:lineRule="auto"/>
        <w:rPr>
          <w:rFonts w:ascii="宋体" w:hAnsi="宋体"/>
          <w:lang w:eastAsia="zh-CN"/>
        </w:rPr>
      </w:pPr>
      <w:r>
        <w:rPr>
          <w:rFonts w:ascii="宋体" w:hAnsi="宋体" w:hint="eastAsia"/>
          <w:lang w:eastAsia="zh-CN"/>
        </w:rPr>
        <w:t xml:space="preserve">    A3.2.1当投标人资格预审申请文件的内容发生重大变化时，评标委员会依据资格预审文件中规定的标准和方法，对照投标人在资格预审阶段递交的资格预审文件中的资料以及在投标文件中更新的资料，对其更新的资料进行评审(适用于已进行资格预审的)。其中：</w:t>
      </w:r>
    </w:p>
    <w:p w14:paraId="72B8C647">
      <w:pPr>
        <w:spacing w:line="360" w:lineRule="auto"/>
        <w:rPr>
          <w:rFonts w:ascii="宋体" w:hAnsi="宋体"/>
          <w:lang w:eastAsia="zh-CN"/>
        </w:rPr>
      </w:pPr>
      <w:r>
        <w:rPr>
          <w:rFonts w:ascii="宋体" w:hAnsi="宋体" w:hint="eastAsia"/>
          <w:lang w:eastAsia="zh-CN"/>
        </w:rPr>
        <w:t xml:space="preserve">    (1)资格预审采用“合格制”的，投标文件中更新的资料应当符合资格预审文件中规定的审查标准，否则其投标作否决投标处理；</w:t>
      </w:r>
    </w:p>
    <w:p w14:paraId="480114B6">
      <w:pPr>
        <w:spacing w:line="360" w:lineRule="auto"/>
        <w:rPr>
          <w:rFonts w:ascii="宋体" w:hAnsi="宋体"/>
          <w:lang w:eastAsia="zh-CN"/>
        </w:rPr>
      </w:pPr>
      <w:r>
        <w:rPr>
          <w:rFonts w:ascii="宋体" w:hAnsi="宋体" w:hint="eastAsia"/>
          <w:lang w:eastAsia="zh-CN"/>
        </w:rPr>
        <w:t xml:space="preserve">    (2)资格预审采用“有限数量制”的，投标文件中更新的资料应当符合资格预审文件中规定的审查标准，其中以评分方式进行审查的，其更新的资料按照资格预审文件中规定的评分标准评分后，其得分应当保证即便在资格预审阶段仍然能够获得投标资格且没有对未通过资格预审的其他资格预审申请人构成不公平，否则其投标作否决投标处理。</w:t>
      </w:r>
    </w:p>
    <w:p w14:paraId="2F5258B6">
      <w:pPr>
        <w:pStyle w:val="Heading4"/>
        <w:spacing w:line="360" w:lineRule="auto"/>
        <w:rPr>
          <w:rFonts w:ascii="宋体" w:hAnsi="宋体"/>
          <w:sz w:val="24"/>
          <w:szCs w:val="24"/>
        </w:rPr>
      </w:pPr>
      <w:r>
        <w:rPr>
          <w:rFonts w:ascii="宋体" w:hAnsi="宋体" w:hint="eastAsia"/>
          <w:sz w:val="24"/>
          <w:szCs w:val="24"/>
        </w:rPr>
        <w:t>A3．3响应性评审</w:t>
      </w:r>
    </w:p>
    <w:p w14:paraId="2656892A">
      <w:pPr>
        <w:spacing w:line="360" w:lineRule="auto"/>
        <w:rPr>
          <w:rFonts w:ascii="宋体" w:hAnsi="宋体"/>
          <w:b/>
          <w:lang w:eastAsia="zh-CN"/>
        </w:rPr>
      </w:pPr>
      <w:r>
        <w:rPr>
          <w:rFonts w:ascii="宋体" w:hAnsi="宋体" w:hint="eastAsia"/>
          <w:lang w:eastAsia="zh-CN"/>
        </w:rPr>
        <w:t xml:space="preserve">    </w:t>
      </w:r>
      <w:r>
        <w:rPr>
          <w:rFonts w:ascii="宋体" w:hAnsi="宋体" w:hint="eastAsia"/>
          <w:b/>
          <w:lang w:eastAsia="zh-CN"/>
        </w:rPr>
        <w:t>A3.3.1评标委员会根据评标办法前附表中规定的评审因素和评审标准，对投标人的投标文件进行响应性评审，并使用附表A-4记录评审结果。</w:t>
      </w:r>
    </w:p>
    <w:p w14:paraId="5648AA9C">
      <w:pPr>
        <w:spacing w:line="360" w:lineRule="auto"/>
        <w:rPr>
          <w:rFonts w:ascii="宋体" w:hAnsi="宋体"/>
          <w:lang w:eastAsia="zh-CN"/>
        </w:rPr>
      </w:pPr>
      <w:r>
        <w:rPr>
          <w:rFonts w:ascii="宋体" w:hAnsi="宋体" w:hint="eastAsia"/>
          <w:lang w:eastAsia="zh-CN"/>
        </w:rPr>
        <w:t xml:space="preserve">    A3.3.２投标人投标价格不得超出(不含等于)按照第二章“投标人须知”前附表第7.3.1款载明的招标控制价，凡投标人的投标价格超出招标控制价的，该投标人的投标文件不能通过响应性评审。(适用于设立招标控制价的情形)</w:t>
      </w:r>
    </w:p>
    <w:p w14:paraId="711A5CF6">
      <w:pPr>
        <w:pStyle w:val="Heading4"/>
        <w:spacing w:line="360" w:lineRule="auto"/>
        <w:rPr>
          <w:rFonts w:ascii="宋体" w:hAnsi="宋体"/>
          <w:sz w:val="24"/>
          <w:szCs w:val="24"/>
        </w:rPr>
      </w:pPr>
      <w:r>
        <w:rPr>
          <w:rFonts w:ascii="宋体" w:hAnsi="宋体" w:hint="eastAsia"/>
          <w:sz w:val="24"/>
          <w:szCs w:val="24"/>
        </w:rPr>
        <w:t>A3.4  判断投标是否为否决投标</w:t>
      </w:r>
    </w:p>
    <w:p w14:paraId="08E40C61">
      <w:pPr>
        <w:spacing w:line="360" w:lineRule="auto"/>
        <w:rPr>
          <w:rFonts w:ascii="宋体" w:hAnsi="宋体"/>
          <w:lang w:eastAsia="zh-CN"/>
        </w:rPr>
      </w:pPr>
      <w:r>
        <w:rPr>
          <w:rFonts w:ascii="宋体" w:hAnsi="宋体" w:hint="eastAsia"/>
          <w:lang w:eastAsia="zh-CN"/>
        </w:rPr>
        <w:t xml:space="preserve">    A3.4.1评标委员会在评标(包括初步评审和详细评审)过程中，依据本章第3．1．2项中规定的否决投标条件判断投标人的投标是否为否决投标。</w:t>
      </w:r>
    </w:p>
    <w:p w14:paraId="6F68AEEA">
      <w:pPr>
        <w:pStyle w:val="Heading4"/>
        <w:spacing w:line="360" w:lineRule="auto"/>
        <w:rPr>
          <w:rFonts w:ascii="宋体" w:hAnsi="宋体"/>
          <w:sz w:val="24"/>
          <w:szCs w:val="24"/>
        </w:rPr>
      </w:pPr>
      <w:r>
        <w:rPr>
          <w:rFonts w:ascii="宋体" w:hAnsi="宋体" w:hint="eastAsia"/>
          <w:sz w:val="24"/>
          <w:szCs w:val="24"/>
        </w:rPr>
        <w:t>A3.5算术错误修正</w:t>
      </w:r>
    </w:p>
    <w:p w14:paraId="5088AFCD">
      <w:pPr>
        <w:spacing w:line="360" w:lineRule="auto"/>
        <w:rPr>
          <w:rFonts w:ascii="宋体" w:hAnsi="宋体"/>
          <w:lang w:eastAsia="zh-CN"/>
        </w:rPr>
      </w:pPr>
      <w:r>
        <w:rPr>
          <w:rFonts w:ascii="宋体" w:hAnsi="宋体" w:hint="eastAsia"/>
          <w:lang w:eastAsia="zh-CN"/>
        </w:rPr>
        <w:t xml:space="preserve">    评标委员会依据本章中规定的相关原则对投标报价中存在的算术错误进行修正，并根据算术错误修正结果计算评标价。</w:t>
      </w:r>
    </w:p>
    <w:p w14:paraId="329B4BE0">
      <w:pPr>
        <w:pStyle w:val="Heading4"/>
        <w:spacing w:line="360" w:lineRule="auto"/>
        <w:rPr>
          <w:rFonts w:ascii="宋体" w:hAnsi="宋体"/>
          <w:sz w:val="24"/>
          <w:szCs w:val="24"/>
        </w:rPr>
      </w:pPr>
      <w:r>
        <w:rPr>
          <w:rFonts w:ascii="宋体" w:hAnsi="宋体" w:hint="eastAsia"/>
          <w:sz w:val="24"/>
          <w:szCs w:val="24"/>
        </w:rPr>
        <w:t>A3．6澄清、说明或补正</w:t>
      </w:r>
    </w:p>
    <w:p w14:paraId="6D136BF8">
      <w:pPr>
        <w:spacing w:line="360" w:lineRule="auto"/>
        <w:rPr>
          <w:rFonts w:ascii="宋体" w:hAnsi="宋体"/>
          <w:lang w:eastAsia="zh-CN"/>
        </w:rPr>
      </w:pPr>
      <w:r>
        <w:rPr>
          <w:rFonts w:ascii="宋体" w:hAnsi="宋体" w:hint="eastAsia"/>
          <w:lang w:eastAsia="zh-CN"/>
        </w:rPr>
        <w:t xml:space="preserve">    在评审过程中，评标委员会应当就投标文件中不明确的内容要求投标人进行澄清、说明或者补正。投标人对此以书面形式予以澄清、说明或者补正。澄清、说明或补正根据本章第3.3款的规定执行。</w:t>
      </w:r>
    </w:p>
    <w:p w14:paraId="5F7DDF6B">
      <w:pPr>
        <w:pStyle w:val="Heading3"/>
        <w:rPr>
          <w:rFonts w:ascii="宋体" w:hAnsi="宋体"/>
          <w:sz w:val="24"/>
          <w:szCs w:val="24"/>
        </w:rPr>
      </w:pPr>
      <w:bookmarkStart w:id="78" w:name="_Toc256000068"/>
      <w:r>
        <w:rPr>
          <w:rFonts w:ascii="宋体" w:hAnsi="宋体" w:hint="eastAsia"/>
          <w:sz w:val="24"/>
          <w:szCs w:val="24"/>
        </w:rPr>
        <w:t>A4．详细评审</w:t>
      </w:r>
      <w:bookmarkEnd w:id="78"/>
    </w:p>
    <w:p w14:paraId="5C425FF2">
      <w:pPr>
        <w:spacing w:line="360" w:lineRule="auto"/>
        <w:rPr>
          <w:rFonts w:ascii="宋体" w:hAnsi="宋体"/>
          <w:lang w:eastAsia="zh-CN"/>
        </w:rPr>
      </w:pPr>
      <w:r>
        <w:rPr>
          <w:rFonts w:ascii="宋体" w:hAnsi="宋体" w:hint="eastAsia"/>
          <w:lang w:eastAsia="zh-CN"/>
        </w:rPr>
        <w:t xml:space="preserve">    只有通过了初步评审、被判定为合格的投标方可进入详细评审。</w:t>
      </w:r>
    </w:p>
    <w:p w14:paraId="361659B6">
      <w:pPr>
        <w:pStyle w:val="Heading4"/>
        <w:spacing w:line="360" w:lineRule="auto"/>
        <w:rPr>
          <w:rFonts w:ascii="宋体" w:hAnsi="宋体"/>
          <w:sz w:val="24"/>
          <w:szCs w:val="24"/>
        </w:rPr>
      </w:pPr>
      <w:r>
        <w:rPr>
          <w:rFonts w:ascii="宋体" w:hAnsi="宋体" w:hint="eastAsia"/>
          <w:sz w:val="24"/>
          <w:szCs w:val="24"/>
        </w:rPr>
        <w:t>A4.1详细评审的程序</w:t>
      </w:r>
    </w:p>
    <w:p w14:paraId="22253B94">
      <w:pPr>
        <w:spacing w:line="360" w:lineRule="auto"/>
        <w:rPr>
          <w:rFonts w:ascii="宋体" w:hAnsi="宋体"/>
          <w:lang w:eastAsia="zh-CN"/>
        </w:rPr>
      </w:pPr>
      <w:r>
        <w:rPr>
          <w:rFonts w:ascii="宋体" w:hAnsi="宋体" w:hint="eastAsia"/>
          <w:lang w:eastAsia="zh-CN"/>
        </w:rPr>
        <w:t xml:space="preserve">    A4.1.1评标委员会按照本章第3．2款中规定的程序进行详细评审：</w:t>
      </w:r>
    </w:p>
    <w:p w14:paraId="34042D88">
      <w:pPr>
        <w:spacing w:line="360" w:lineRule="auto"/>
        <w:rPr>
          <w:rFonts w:ascii="宋体" w:hAnsi="宋体"/>
          <w:lang w:eastAsia="zh-CN"/>
        </w:rPr>
      </w:pPr>
      <w:r>
        <w:rPr>
          <w:rFonts w:ascii="宋体" w:hAnsi="宋体" w:hint="eastAsia"/>
          <w:lang w:eastAsia="zh-CN"/>
        </w:rPr>
        <w:t xml:space="preserve">        (1)对明显低于其他投标报价的投标报价，或者在设有标底时明显低于标底的投标报价，判断是否低于其个别成本；</w:t>
      </w:r>
    </w:p>
    <w:p w14:paraId="6D7BB2EF">
      <w:pPr>
        <w:spacing w:line="360" w:lineRule="auto"/>
        <w:rPr>
          <w:rFonts w:ascii="宋体" w:hAnsi="宋体"/>
          <w:lang w:eastAsia="zh-CN"/>
        </w:rPr>
      </w:pPr>
      <w:r>
        <w:rPr>
          <w:rFonts w:ascii="宋体" w:hAnsi="宋体" w:hint="eastAsia"/>
          <w:lang w:eastAsia="zh-CN"/>
        </w:rPr>
        <w:t xml:space="preserve">        (2)施工组织设计评审和评分；</w:t>
      </w:r>
    </w:p>
    <w:p w14:paraId="379C90B5">
      <w:pPr>
        <w:spacing w:line="360" w:lineRule="auto"/>
        <w:rPr>
          <w:rFonts w:ascii="宋体" w:hAnsi="宋体"/>
          <w:lang w:eastAsia="zh-CN"/>
        </w:rPr>
      </w:pPr>
      <w:r>
        <w:rPr>
          <w:rFonts w:ascii="宋体" w:hAnsi="宋体" w:hint="eastAsia"/>
          <w:lang w:eastAsia="zh-CN"/>
        </w:rPr>
        <w:t xml:space="preserve">        (3)项目管理机构评审和评分；</w:t>
      </w:r>
    </w:p>
    <w:p w14:paraId="696AF6C5">
      <w:pPr>
        <w:spacing w:line="360" w:lineRule="auto"/>
        <w:rPr>
          <w:rFonts w:ascii="宋体" w:hAnsi="宋体"/>
          <w:lang w:eastAsia="zh-CN"/>
        </w:rPr>
      </w:pPr>
      <w:r>
        <w:rPr>
          <w:rFonts w:ascii="宋体" w:hAnsi="宋体" w:hint="eastAsia"/>
          <w:lang w:eastAsia="zh-CN"/>
        </w:rPr>
        <w:t xml:space="preserve">        (4)投标报价评审和评分；</w:t>
      </w:r>
    </w:p>
    <w:p w14:paraId="25E0C6E5">
      <w:pPr>
        <w:spacing w:line="360" w:lineRule="auto"/>
        <w:rPr>
          <w:rFonts w:ascii="宋体" w:hAnsi="宋体"/>
          <w:lang w:eastAsia="zh-CN"/>
        </w:rPr>
      </w:pPr>
      <w:r>
        <w:rPr>
          <w:rFonts w:ascii="宋体" w:hAnsi="宋体" w:hint="eastAsia"/>
          <w:lang w:eastAsia="zh-CN"/>
        </w:rPr>
        <w:t xml:space="preserve">        (5)其他因素评审和评分；</w:t>
      </w:r>
    </w:p>
    <w:p w14:paraId="7418764C">
      <w:pPr>
        <w:spacing w:line="360" w:lineRule="auto"/>
        <w:rPr>
          <w:rFonts w:ascii="宋体" w:hAnsi="宋体"/>
          <w:lang w:eastAsia="zh-CN"/>
        </w:rPr>
      </w:pPr>
      <w:r>
        <w:rPr>
          <w:rFonts w:ascii="宋体" w:hAnsi="宋体" w:hint="eastAsia"/>
          <w:lang w:eastAsia="zh-CN"/>
        </w:rPr>
        <w:t xml:space="preserve">        (6)汇总评分结果。</w:t>
      </w:r>
    </w:p>
    <w:p w14:paraId="329DFB11">
      <w:pPr>
        <w:pStyle w:val="Heading4"/>
        <w:spacing w:line="360" w:lineRule="auto"/>
        <w:rPr>
          <w:rFonts w:ascii="宋体" w:hAnsi="宋体"/>
          <w:sz w:val="24"/>
          <w:szCs w:val="24"/>
        </w:rPr>
      </w:pPr>
      <w:r>
        <w:rPr>
          <w:rFonts w:ascii="宋体" w:hAnsi="宋体" w:hint="eastAsia"/>
          <w:sz w:val="24"/>
          <w:szCs w:val="24"/>
        </w:rPr>
        <w:t>A4.2  施工组织设计评审和评分</w:t>
      </w:r>
    </w:p>
    <w:p w14:paraId="70EA6244">
      <w:pPr>
        <w:spacing w:line="360" w:lineRule="auto"/>
        <w:rPr>
          <w:rFonts w:ascii="宋体" w:hAnsi="宋体"/>
          <w:b/>
          <w:lang w:eastAsia="zh-CN"/>
        </w:rPr>
      </w:pPr>
      <w:r>
        <w:rPr>
          <w:rFonts w:ascii="宋体" w:hAnsi="宋体" w:hint="eastAsia"/>
          <w:lang w:eastAsia="zh-CN"/>
        </w:rPr>
        <w:t xml:space="preserve">    </w:t>
      </w:r>
      <w:r>
        <w:rPr>
          <w:rFonts w:ascii="宋体" w:hAnsi="宋体" w:hint="eastAsia"/>
          <w:b/>
          <w:lang w:eastAsia="zh-CN"/>
        </w:rPr>
        <w:t>A4.2.1按照评标办法前附表中规定的分值设定、各项评分因素、评分标准，对施工组织设计进行评审和评分，并使用附表A-5记录对施工组织设计的评分结果，施工组织设计的得分记录为A。</w:t>
      </w:r>
    </w:p>
    <w:p w14:paraId="348AB00C">
      <w:pPr>
        <w:pStyle w:val="Heading4"/>
        <w:spacing w:line="360" w:lineRule="auto"/>
        <w:rPr>
          <w:rFonts w:ascii="宋体" w:hAnsi="宋体"/>
          <w:sz w:val="24"/>
          <w:szCs w:val="24"/>
        </w:rPr>
      </w:pPr>
      <w:r>
        <w:rPr>
          <w:rFonts w:ascii="宋体" w:hAnsi="宋体" w:hint="eastAsia"/>
          <w:sz w:val="24"/>
          <w:szCs w:val="24"/>
        </w:rPr>
        <w:t>A4．3项目管理机构评审和评分</w:t>
      </w:r>
    </w:p>
    <w:p w14:paraId="7AFA92DB">
      <w:pPr>
        <w:spacing w:line="360" w:lineRule="auto"/>
        <w:rPr>
          <w:rFonts w:ascii="宋体" w:hAnsi="宋体"/>
          <w:b/>
          <w:lang w:eastAsia="zh-CN"/>
        </w:rPr>
      </w:pPr>
      <w:r>
        <w:rPr>
          <w:rFonts w:ascii="宋体" w:hAnsi="宋体" w:hint="eastAsia"/>
          <w:lang w:eastAsia="zh-CN"/>
        </w:rPr>
        <w:t xml:space="preserve">    </w:t>
      </w:r>
      <w:r>
        <w:rPr>
          <w:rFonts w:ascii="宋体" w:hAnsi="宋体" w:hint="eastAsia"/>
          <w:b/>
          <w:lang w:eastAsia="zh-CN"/>
        </w:rPr>
        <w:t>A4.3.1按照评标办法前附表中规定的分值设定、各项评分因素、评分标准，对项目管理机构进行评审和评分，并使用附表A-6记录对项目管理机构的评分结果，项目管理机构的得分记录为B。</w:t>
      </w:r>
    </w:p>
    <w:p w14:paraId="486EBA09">
      <w:pPr>
        <w:pStyle w:val="Heading4"/>
        <w:spacing w:line="360" w:lineRule="auto"/>
        <w:rPr>
          <w:rFonts w:ascii="宋体" w:hAnsi="宋体"/>
          <w:sz w:val="24"/>
          <w:szCs w:val="24"/>
        </w:rPr>
      </w:pPr>
      <w:r>
        <w:rPr>
          <w:rFonts w:ascii="宋体" w:hAnsi="宋体" w:hint="eastAsia"/>
          <w:sz w:val="24"/>
          <w:szCs w:val="24"/>
        </w:rPr>
        <w:t>A4.4投标报价评审和评分(仅按投标报价进行评分)</w:t>
      </w:r>
    </w:p>
    <w:p w14:paraId="75DA5DB2">
      <w:pPr>
        <w:spacing w:line="360" w:lineRule="auto"/>
        <w:rPr>
          <w:rFonts w:ascii="宋体" w:hAnsi="宋体"/>
          <w:lang w:eastAsia="zh-CN"/>
        </w:rPr>
      </w:pPr>
      <w:r>
        <w:rPr>
          <w:rFonts w:ascii="宋体" w:hAnsi="宋体" w:hint="eastAsia"/>
          <w:lang w:eastAsia="zh-CN"/>
        </w:rPr>
        <w:t xml:space="preserve">    A4.4.1按照评标办法前附表中规定的方法计算“评标基准价”。</w:t>
      </w:r>
    </w:p>
    <w:p w14:paraId="2BD333DD">
      <w:pPr>
        <w:spacing w:line="360" w:lineRule="auto"/>
        <w:rPr>
          <w:rFonts w:ascii="宋体" w:hAnsi="宋体"/>
          <w:lang w:eastAsia="zh-CN"/>
        </w:rPr>
      </w:pPr>
      <w:r>
        <w:rPr>
          <w:rFonts w:ascii="宋体" w:hAnsi="宋体" w:hint="eastAsia"/>
          <w:lang w:eastAsia="zh-CN"/>
        </w:rPr>
        <w:t xml:space="preserve">    A4.4.2按照评标办法前附表中规定的方法，计算各个已通过了初步评审、施工组织设计评审和项目管理机构评审并且经过评审认定为不低于其成本的投标报价的“偏差率”。</w:t>
      </w:r>
    </w:p>
    <w:p w14:paraId="4AF4DA8B">
      <w:pPr>
        <w:spacing w:line="360" w:lineRule="auto"/>
        <w:rPr>
          <w:rFonts w:ascii="宋体" w:hAnsi="宋体"/>
          <w:b/>
          <w:lang w:eastAsia="zh-CN"/>
        </w:rPr>
      </w:pPr>
      <w:r>
        <w:rPr>
          <w:rFonts w:ascii="宋体" w:hAnsi="宋体" w:hint="eastAsia"/>
          <w:lang w:eastAsia="zh-CN"/>
        </w:rPr>
        <w:t xml:space="preserve">    </w:t>
      </w:r>
      <w:r>
        <w:rPr>
          <w:rFonts w:ascii="宋体" w:hAnsi="宋体" w:hint="eastAsia"/>
          <w:b/>
          <w:lang w:eastAsia="zh-CN"/>
        </w:rPr>
        <w:t>A4.4.3按照评标办法前附表中规定的评分标准，对照投标报价的偏差率，分别对各个投标报价进行评分，使用附表A-7记录对投标报价的评分结果，投标报价的得分记录为C。</w:t>
      </w:r>
    </w:p>
    <w:p w14:paraId="64746A88">
      <w:pPr>
        <w:pStyle w:val="Heading4"/>
        <w:spacing w:line="360" w:lineRule="auto"/>
        <w:rPr>
          <w:rFonts w:ascii="宋体" w:hAnsi="宋体"/>
          <w:sz w:val="24"/>
          <w:szCs w:val="24"/>
        </w:rPr>
      </w:pPr>
      <w:r>
        <w:rPr>
          <w:rFonts w:ascii="宋体" w:hAnsi="宋体" w:hint="eastAsia"/>
          <w:sz w:val="24"/>
          <w:szCs w:val="24"/>
        </w:rPr>
        <w:t>A4.5  其他因素的评审和评分</w:t>
      </w:r>
    </w:p>
    <w:p w14:paraId="549EDB66">
      <w:pPr>
        <w:spacing w:line="360" w:lineRule="auto"/>
        <w:rPr>
          <w:rFonts w:ascii="宋体" w:hAnsi="宋体"/>
          <w:b/>
          <w:lang w:eastAsia="zh-CN"/>
        </w:rPr>
      </w:pPr>
      <w:r>
        <w:rPr>
          <w:rFonts w:ascii="宋体" w:hAnsi="宋体" w:hint="eastAsia"/>
          <w:lang w:eastAsia="zh-CN"/>
        </w:rPr>
        <w:t xml:space="preserve">    </w:t>
      </w:r>
      <w:r>
        <w:rPr>
          <w:rFonts w:ascii="宋体" w:hAnsi="宋体" w:hint="eastAsia"/>
          <w:b/>
          <w:lang w:eastAsia="zh-CN"/>
        </w:rPr>
        <w:t>根据评标办法前附表中规定的分值设定、各项评分因素和相应的评分标准，对其他因素(如果有)进行评审和评分，并使用附表A-8记录对其他因素的评分结果，其他因素的得分记录为D。</w:t>
      </w:r>
    </w:p>
    <w:p w14:paraId="131C158A">
      <w:pPr>
        <w:pStyle w:val="Heading4"/>
        <w:spacing w:line="360" w:lineRule="auto"/>
        <w:rPr>
          <w:rFonts w:ascii="宋体" w:hAnsi="宋体"/>
          <w:sz w:val="24"/>
          <w:szCs w:val="24"/>
        </w:rPr>
      </w:pPr>
      <w:r>
        <w:rPr>
          <w:rFonts w:ascii="宋体" w:hAnsi="宋体" w:hint="eastAsia"/>
          <w:sz w:val="24"/>
          <w:szCs w:val="24"/>
        </w:rPr>
        <w:t>A4.6  判断投标报价是否低于成本</w:t>
      </w:r>
    </w:p>
    <w:p w14:paraId="5F11BC49">
      <w:pPr>
        <w:spacing w:line="360" w:lineRule="auto"/>
        <w:rPr>
          <w:rFonts w:ascii="宋体" w:hAnsi="宋体"/>
          <w:b/>
          <w:lang w:eastAsia="zh-CN"/>
        </w:rPr>
      </w:pPr>
      <w:r>
        <w:rPr>
          <w:rFonts w:ascii="宋体" w:hAnsi="宋体" w:hint="eastAsia"/>
          <w:lang w:eastAsia="zh-CN"/>
        </w:rPr>
        <w:t xml:space="preserve">    </w:t>
      </w:r>
      <w:r>
        <w:rPr>
          <w:rFonts w:ascii="宋体" w:hAnsi="宋体" w:hint="eastAsia"/>
          <w:b/>
          <w:lang w:eastAsia="zh-CN"/>
        </w:rPr>
        <w:t>根据本章第3.2.4项的规定，评标委员会根据本章附件B中规定的程序、标准和方法，判断投标报价是否低于其成本。由评标委员会认定投标人以低于成本竞标的，其投标作否决投标处理。</w:t>
      </w:r>
    </w:p>
    <w:p w14:paraId="2938DE0A">
      <w:pPr>
        <w:pStyle w:val="Heading4"/>
        <w:spacing w:line="360" w:lineRule="auto"/>
        <w:rPr>
          <w:rFonts w:ascii="宋体" w:hAnsi="宋体"/>
          <w:sz w:val="24"/>
          <w:szCs w:val="24"/>
        </w:rPr>
      </w:pPr>
      <w:r>
        <w:rPr>
          <w:rFonts w:ascii="宋体" w:hAnsi="宋体" w:hint="eastAsia"/>
          <w:sz w:val="24"/>
          <w:szCs w:val="24"/>
        </w:rPr>
        <w:t>A4.7  澄清、说明或补正</w:t>
      </w:r>
    </w:p>
    <w:p w14:paraId="70C0B2AF">
      <w:pPr>
        <w:spacing w:line="360" w:lineRule="auto"/>
        <w:rPr>
          <w:rFonts w:ascii="宋体" w:hAnsi="宋体"/>
          <w:lang w:eastAsia="zh-CN"/>
        </w:rPr>
      </w:pPr>
      <w:r>
        <w:rPr>
          <w:rFonts w:ascii="宋体" w:hAnsi="宋体" w:hint="eastAsia"/>
          <w:lang w:eastAsia="zh-CN"/>
        </w:rPr>
        <w:t xml:space="preserve">    在详细评审过程中，评标委员会应当就投标文件中不明确的内容要求投标人进行澄清、说明或者补正。投标人对此以书面形式予以澄清、说明或者补正。澄清、说明或补正根据本章第3.3款的规定执行。</w:t>
      </w:r>
    </w:p>
    <w:p w14:paraId="35F88CCE">
      <w:pPr>
        <w:pStyle w:val="Heading4"/>
        <w:spacing w:line="360" w:lineRule="auto"/>
        <w:rPr>
          <w:rFonts w:ascii="宋体" w:hAnsi="宋体"/>
          <w:sz w:val="24"/>
          <w:szCs w:val="24"/>
        </w:rPr>
      </w:pPr>
      <w:r>
        <w:rPr>
          <w:rFonts w:ascii="宋体" w:hAnsi="宋体" w:hint="eastAsia"/>
          <w:sz w:val="24"/>
          <w:szCs w:val="24"/>
        </w:rPr>
        <w:t>A4.8  汇总评分结果</w:t>
      </w:r>
    </w:p>
    <w:p w14:paraId="1239A8BB">
      <w:pPr>
        <w:spacing w:line="360" w:lineRule="auto"/>
        <w:rPr>
          <w:rFonts w:ascii="宋体" w:hAnsi="宋体"/>
          <w:b/>
          <w:lang w:eastAsia="zh-CN"/>
        </w:rPr>
      </w:pPr>
      <w:r>
        <w:rPr>
          <w:rFonts w:ascii="宋体" w:hAnsi="宋体" w:hint="eastAsia"/>
          <w:lang w:eastAsia="zh-CN"/>
        </w:rPr>
        <w:t xml:space="preserve">    </w:t>
      </w:r>
      <w:r>
        <w:rPr>
          <w:rFonts w:ascii="宋体" w:hAnsi="宋体" w:hint="eastAsia"/>
          <w:b/>
          <w:lang w:eastAsia="zh-CN"/>
        </w:rPr>
        <w:t>A4.8.1评标委员会成员应按照附表A-9的格式填写详细评审评分汇总表。</w:t>
      </w:r>
    </w:p>
    <w:p w14:paraId="6BE19FDC">
      <w:pPr>
        <w:spacing w:line="360" w:lineRule="auto"/>
        <w:rPr>
          <w:rFonts w:ascii="宋体" w:hAnsi="宋体"/>
          <w:b/>
          <w:lang w:eastAsia="zh-CN"/>
        </w:rPr>
      </w:pPr>
      <w:r>
        <w:rPr>
          <w:rFonts w:ascii="宋体" w:hAnsi="宋体" w:hint="eastAsia"/>
          <w:lang w:eastAsia="zh-CN"/>
        </w:rPr>
        <w:t xml:space="preserve">    </w:t>
      </w:r>
      <w:r>
        <w:rPr>
          <w:rFonts w:ascii="宋体" w:hAnsi="宋体" w:hint="eastAsia"/>
          <w:b/>
          <w:lang w:eastAsia="zh-CN"/>
        </w:rPr>
        <w:t>A4.8.2详细评审工作全部结束后，按照附表A-10的格式汇总各个评标委员会成员的详细评审评分结果，并按照详细评审最终得分由高至低的次序对投标人进行排序。</w:t>
      </w:r>
    </w:p>
    <w:p w14:paraId="57B49E6B">
      <w:pPr>
        <w:pStyle w:val="Heading3"/>
        <w:rPr>
          <w:rFonts w:ascii="宋体" w:hAnsi="宋体"/>
          <w:sz w:val="24"/>
          <w:szCs w:val="24"/>
        </w:rPr>
      </w:pPr>
      <w:bookmarkStart w:id="79" w:name="_Toc256000069"/>
      <w:r>
        <w:rPr>
          <w:rFonts w:ascii="宋体" w:hAnsi="宋体" w:hint="eastAsia"/>
          <w:sz w:val="24"/>
          <w:szCs w:val="24"/>
        </w:rPr>
        <w:t>A5.  推荐中标候选人或者直接确定中标人</w:t>
      </w:r>
      <w:bookmarkEnd w:id="79"/>
    </w:p>
    <w:p w14:paraId="2652F8E7">
      <w:pPr>
        <w:pStyle w:val="Heading4"/>
        <w:spacing w:line="360" w:lineRule="auto"/>
        <w:rPr>
          <w:rFonts w:ascii="宋体" w:hAnsi="宋体"/>
          <w:sz w:val="24"/>
          <w:szCs w:val="24"/>
        </w:rPr>
      </w:pPr>
      <w:r>
        <w:rPr>
          <w:rFonts w:ascii="宋体" w:hAnsi="宋体" w:hint="eastAsia"/>
          <w:sz w:val="24"/>
          <w:szCs w:val="24"/>
        </w:rPr>
        <w:t>A5.1  推荐中标候选人</w:t>
      </w:r>
    </w:p>
    <w:p w14:paraId="2F9BD053">
      <w:pPr>
        <w:spacing w:line="360" w:lineRule="auto"/>
        <w:rPr>
          <w:rFonts w:ascii="宋体" w:hAnsi="宋体"/>
          <w:lang w:eastAsia="zh-CN"/>
        </w:rPr>
      </w:pPr>
      <w:r>
        <w:rPr>
          <w:rFonts w:ascii="宋体" w:hAnsi="宋体" w:hint="eastAsia"/>
          <w:lang w:eastAsia="zh-CN"/>
        </w:rPr>
        <w:t xml:space="preserve">    A5.1.1除第二章“投标人须知”前附表第7．1款授权直接确定中标人外，评标委员会在推荐中标候选人时，应遵照以下原则:</w:t>
      </w:r>
    </w:p>
    <w:p w14:paraId="6CD3C9AE">
      <w:pPr>
        <w:spacing w:line="360" w:lineRule="auto"/>
        <w:rPr>
          <w:rFonts w:ascii="宋体" w:hAnsi="宋体"/>
          <w:lang w:eastAsia="zh-CN"/>
        </w:rPr>
      </w:pPr>
      <w:r>
        <w:rPr>
          <w:rFonts w:ascii="宋体" w:hAnsi="宋体" w:hint="eastAsia"/>
          <w:lang w:eastAsia="zh-CN"/>
        </w:rPr>
        <w:t>(1)  评标委员会按照最终得分由高至低的次序排列，并根据第二章“投标人须知”前附表第7.1款规定的中标候选人数量，将排序在前的投标人推荐为中标候选人。</w:t>
      </w:r>
    </w:p>
    <w:p w14:paraId="330E74F4">
      <w:pPr>
        <w:spacing w:line="360" w:lineRule="auto"/>
        <w:rPr>
          <w:rFonts w:ascii="宋体" w:hAnsi="宋体"/>
          <w:lang w:eastAsia="zh-CN"/>
        </w:rPr>
      </w:pPr>
      <w:r>
        <w:rPr>
          <w:rFonts w:ascii="宋体" w:hAnsi="宋体" w:hint="eastAsia"/>
          <w:lang w:eastAsia="zh-CN"/>
        </w:rPr>
        <w:t>(2)  如果评标委员会根据本章的规定作否决投标处理后，有效投标不足三个，且少于第二章“投标人须知”前附表第7.1款规定的中标候选人数量的，则评标委员会可以将所有有效投标按最终得分由高至低的次序作为中标候选人向招标人推荐。如果因有效投标不足三个使得投标明显缺乏竞争的，评标委员会可以建议招标人重新招标。</w:t>
      </w:r>
    </w:p>
    <w:p w14:paraId="02F5C1EF">
      <w:pPr>
        <w:spacing w:line="360" w:lineRule="auto"/>
        <w:rPr>
          <w:rFonts w:ascii="宋体" w:hAnsi="宋体"/>
          <w:lang w:eastAsia="zh-CN"/>
        </w:rPr>
      </w:pPr>
      <w:r>
        <w:rPr>
          <w:rFonts w:ascii="宋体" w:hAnsi="宋体" w:hint="eastAsia"/>
          <w:lang w:eastAsia="zh-CN"/>
        </w:rPr>
        <w:t xml:space="preserve">    A5.2.2投标人数量少于三个或者所有投标被否决的，招标人应当依法重新招标。</w:t>
      </w:r>
    </w:p>
    <w:p w14:paraId="31BB825F">
      <w:pPr>
        <w:pStyle w:val="Heading4"/>
        <w:spacing w:line="360" w:lineRule="auto"/>
        <w:rPr>
          <w:rFonts w:ascii="宋体" w:hAnsi="宋体"/>
          <w:sz w:val="24"/>
          <w:szCs w:val="24"/>
        </w:rPr>
      </w:pPr>
      <w:r>
        <w:rPr>
          <w:rFonts w:ascii="宋体" w:hAnsi="宋体" w:hint="eastAsia"/>
          <w:sz w:val="24"/>
          <w:szCs w:val="24"/>
        </w:rPr>
        <w:t>A5.2直接确定中标人</w:t>
      </w:r>
    </w:p>
    <w:p w14:paraId="7EB1B209">
      <w:pPr>
        <w:spacing w:line="360" w:lineRule="auto"/>
        <w:rPr>
          <w:rFonts w:ascii="宋体" w:hAnsi="宋体"/>
          <w:lang w:eastAsia="zh-CN"/>
        </w:rPr>
      </w:pPr>
      <w:r>
        <w:rPr>
          <w:rFonts w:ascii="宋体" w:hAnsi="宋体" w:hint="eastAsia"/>
          <w:lang w:eastAsia="zh-CN"/>
        </w:rPr>
        <w:t xml:space="preserve">    第二章“投标人须知”前附表授权评标委员会直接确定中标人的，评标委员会按照最终得分由高至低的次序排列，并确定排名第一的投标人为中标人。</w:t>
      </w:r>
    </w:p>
    <w:p w14:paraId="252A4E9E">
      <w:pPr>
        <w:pStyle w:val="Heading4"/>
        <w:spacing w:line="360" w:lineRule="auto"/>
        <w:rPr>
          <w:rFonts w:ascii="宋体" w:hAnsi="宋体"/>
          <w:sz w:val="24"/>
          <w:szCs w:val="24"/>
        </w:rPr>
      </w:pPr>
      <w:r>
        <w:rPr>
          <w:rFonts w:ascii="宋体" w:hAnsi="宋体" w:hint="eastAsia"/>
          <w:sz w:val="24"/>
          <w:szCs w:val="24"/>
        </w:rPr>
        <w:t>A5.3编制评标报告</w:t>
      </w:r>
    </w:p>
    <w:p w14:paraId="4C7E1DDF">
      <w:pPr>
        <w:spacing w:line="360" w:lineRule="auto"/>
        <w:rPr>
          <w:rFonts w:ascii="宋体" w:hAnsi="宋体"/>
          <w:lang w:eastAsia="zh-CN"/>
        </w:rPr>
      </w:pPr>
      <w:r>
        <w:rPr>
          <w:rFonts w:ascii="宋体" w:hAnsi="宋体" w:hint="eastAsia"/>
          <w:lang w:eastAsia="zh-CN"/>
        </w:rPr>
        <w:t xml:space="preserve">    评标委员会根据本章第3.4.2项的规定向招标人提交评标报告。评标报告应当由全体评标委员会成员签字，并于评标结束时抄送有关行政监督部门。评标报告应当包括以下内容：</w:t>
      </w:r>
    </w:p>
    <w:p w14:paraId="79ADFE90">
      <w:pPr>
        <w:spacing w:line="360" w:lineRule="auto"/>
        <w:rPr>
          <w:rFonts w:ascii="宋体" w:hAnsi="宋体"/>
          <w:lang w:eastAsia="zh-CN"/>
        </w:rPr>
      </w:pPr>
      <w:r>
        <w:rPr>
          <w:rFonts w:ascii="宋体" w:hAnsi="宋体" w:hint="eastAsia"/>
          <w:lang w:eastAsia="zh-CN"/>
        </w:rPr>
        <w:t xml:space="preserve">    （1）基本情况和数据表；</w:t>
      </w:r>
    </w:p>
    <w:p w14:paraId="26A03251">
      <w:pPr>
        <w:spacing w:line="360" w:lineRule="auto"/>
        <w:rPr>
          <w:rFonts w:ascii="宋体" w:hAnsi="宋体"/>
          <w:lang w:eastAsia="zh-CN"/>
        </w:rPr>
      </w:pPr>
      <w:r>
        <w:rPr>
          <w:rFonts w:ascii="宋体" w:hAnsi="宋体" w:hint="eastAsia"/>
          <w:lang w:eastAsia="zh-CN"/>
        </w:rPr>
        <w:t xml:space="preserve">    （2）评标委员会成员名单；</w:t>
      </w:r>
    </w:p>
    <w:p w14:paraId="18944E83">
      <w:pPr>
        <w:spacing w:line="360" w:lineRule="auto"/>
        <w:rPr>
          <w:rFonts w:ascii="宋体" w:hAnsi="宋体"/>
          <w:lang w:eastAsia="zh-CN"/>
        </w:rPr>
      </w:pPr>
      <w:r>
        <w:rPr>
          <w:rFonts w:ascii="宋体" w:hAnsi="宋体" w:hint="eastAsia"/>
          <w:lang w:eastAsia="zh-CN"/>
        </w:rPr>
        <w:t xml:space="preserve">    （3）开标记录；</w:t>
      </w:r>
    </w:p>
    <w:p w14:paraId="13A67DE7">
      <w:pPr>
        <w:spacing w:line="360" w:lineRule="auto"/>
        <w:rPr>
          <w:rFonts w:ascii="宋体" w:hAnsi="宋体"/>
          <w:lang w:eastAsia="zh-CN"/>
        </w:rPr>
      </w:pPr>
      <w:r>
        <w:rPr>
          <w:rFonts w:ascii="宋体" w:hAnsi="宋体" w:hint="eastAsia"/>
          <w:lang w:eastAsia="zh-CN"/>
        </w:rPr>
        <w:t xml:space="preserve">    （4）符合要求的投标一览表；</w:t>
      </w:r>
    </w:p>
    <w:p w14:paraId="173382DC">
      <w:pPr>
        <w:spacing w:line="360" w:lineRule="auto"/>
        <w:rPr>
          <w:rFonts w:ascii="宋体" w:hAnsi="宋体"/>
          <w:lang w:eastAsia="zh-CN"/>
        </w:rPr>
      </w:pPr>
      <w:r>
        <w:rPr>
          <w:rFonts w:ascii="宋体" w:hAnsi="宋体" w:hint="eastAsia"/>
          <w:lang w:eastAsia="zh-CN"/>
        </w:rPr>
        <w:t xml:space="preserve">    （5）否决投标情况说明；</w:t>
      </w:r>
    </w:p>
    <w:p w14:paraId="57848023">
      <w:pPr>
        <w:spacing w:line="360" w:lineRule="auto"/>
        <w:rPr>
          <w:rFonts w:ascii="宋体" w:hAnsi="宋体"/>
          <w:lang w:eastAsia="zh-CN"/>
        </w:rPr>
      </w:pPr>
      <w:r>
        <w:rPr>
          <w:rFonts w:ascii="宋体" w:hAnsi="宋体" w:hint="eastAsia"/>
          <w:lang w:eastAsia="zh-CN"/>
        </w:rPr>
        <w:t xml:space="preserve">    （6）评标标准、评标方法或者评标因素一览表；</w:t>
      </w:r>
    </w:p>
    <w:p w14:paraId="1DEE264D">
      <w:pPr>
        <w:spacing w:line="360" w:lineRule="auto"/>
        <w:rPr>
          <w:rFonts w:ascii="宋体" w:hAnsi="宋体"/>
          <w:lang w:eastAsia="zh-CN"/>
        </w:rPr>
      </w:pPr>
      <w:r>
        <w:rPr>
          <w:rFonts w:ascii="宋体" w:hAnsi="宋体" w:hint="eastAsia"/>
          <w:lang w:eastAsia="zh-CN"/>
        </w:rPr>
        <w:t xml:space="preserve">    （7）经评审的价格一览表(包括评标委员会在评标过程中所形成的所有记载评标结果、结论的表格、说明、记录等文件)；</w:t>
      </w:r>
    </w:p>
    <w:p w14:paraId="1D2829FA">
      <w:pPr>
        <w:spacing w:line="360" w:lineRule="auto"/>
        <w:rPr>
          <w:rFonts w:ascii="宋体" w:hAnsi="宋体"/>
          <w:lang w:eastAsia="zh-CN"/>
        </w:rPr>
      </w:pPr>
      <w:r>
        <w:rPr>
          <w:rFonts w:ascii="宋体" w:hAnsi="宋体" w:hint="eastAsia"/>
          <w:lang w:eastAsia="zh-CN"/>
        </w:rPr>
        <w:t xml:space="preserve">    （8）经评审的投标人排序；</w:t>
      </w:r>
    </w:p>
    <w:p w14:paraId="266EB64E">
      <w:pPr>
        <w:spacing w:line="360" w:lineRule="auto"/>
        <w:rPr>
          <w:rFonts w:ascii="宋体" w:hAnsi="宋体"/>
          <w:lang w:eastAsia="zh-CN"/>
        </w:rPr>
      </w:pPr>
      <w:r>
        <w:rPr>
          <w:rFonts w:ascii="宋体" w:hAnsi="宋体" w:hint="eastAsia"/>
          <w:lang w:eastAsia="zh-CN"/>
        </w:rPr>
        <w:t xml:space="preserve">    （9）推荐的中标候选人名单(如果第二章“投标人须知”前附表授权评标委员会直接确定中标人，则为“确定的中标人”)与签订合同前要处理的事宜；</w:t>
      </w:r>
    </w:p>
    <w:p w14:paraId="1E930D99">
      <w:pPr>
        <w:spacing w:line="360" w:lineRule="auto"/>
        <w:rPr>
          <w:rFonts w:ascii="宋体" w:hAnsi="宋体"/>
          <w:lang w:eastAsia="zh-CN"/>
        </w:rPr>
      </w:pPr>
      <w:r>
        <w:rPr>
          <w:rFonts w:ascii="宋体" w:hAnsi="宋体" w:hint="eastAsia"/>
          <w:lang w:eastAsia="zh-CN"/>
        </w:rPr>
        <w:t xml:space="preserve">    （10）澄清、说明、补正事项纪要。</w:t>
      </w:r>
    </w:p>
    <w:p w14:paraId="164F2A08">
      <w:pPr>
        <w:pStyle w:val="Heading3"/>
        <w:rPr>
          <w:rFonts w:ascii="宋体" w:hAnsi="宋体"/>
          <w:sz w:val="24"/>
          <w:szCs w:val="24"/>
        </w:rPr>
      </w:pPr>
      <w:bookmarkStart w:id="80" w:name="_Toc256000070"/>
      <w:r>
        <w:rPr>
          <w:rFonts w:ascii="宋体" w:hAnsi="宋体" w:hint="eastAsia"/>
          <w:sz w:val="24"/>
          <w:szCs w:val="24"/>
        </w:rPr>
        <w:t>A6．特殊情况的处置程序</w:t>
      </w:r>
      <w:bookmarkEnd w:id="80"/>
    </w:p>
    <w:p w14:paraId="67F6208D">
      <w:pPr>
        <w:pStyle w:val="Heading4"/>
        <w:spacing w:line="360" w:lineRule="auto"/>
        <w:rPr>
          <w:rFonts w:ascii="宋体" w:hAnsi="宋体"/>
          <w:sz w:val="24"/>
          <w:szCs w:val="24"/>
        </w:rPr>
      </w:pPr>
      <w:r>
        <w:rPr>
          <w:rFonts w:ascii="宋体" w:hAnsi="宋体" w:hint="eastAsia"/>
          <w:sz w:val="24"/>
          <w:szCs w:val="24"/>
        </w:rPr>
        <w:t>A6.2关于评标活动暂停</w:t>
      </w:r>
    </w:p>
    <w:p w14:paraId="56269321">
      <w:pPr>
        <w:spacing w:line="360" w:lineRule="auto"/>
        <w:rPr>
          <w:rFonts w:ascii="宋体" w:hAnsi="宋体"/>
          <w:lang w:eastAsia="zh-CN"/>
        </w:rPr>
      </w:pPr>
      <w:r>
        <w:rPr>
          <w:rFonts w:ascii="宋体" w:hAnsi="宋体" w:hint="eastAsia"/>
          <w:lang w:eastAsia="zh-CN"/>
        </w:rPr>
        <w:t xml:space="preserve">    A6.2.1评标委员会应当执行连续评标的原则，按评标办法中规定的程序、内容、方法、标准完成全部评标工作。只有发生不可抗力导致评标工作无法继续时，评标活动方可暂停。</w:t>
      </w:r>
    </w:p>
    <w:p w14:paraId="068CA4EB">
      <w:pPr>
        <w:spacing w:line="360" w:lineRule="auto"/>
        <w:rPr>
          <w:rFonts w:ascii="宋体" w:hAnsi="宋体"/>
          <w:lang w:eastAsia="zh-CN"/>
        </w:rPr>
      </w:pPr>
      <w:r>
        <w:rPr>
          <w:rFonts w:ascii="宋体" w:hAnsi="宋体" w:hint="eastAsia"/>
          <w:lang w:eastAsia="zh-CN"/>
        </w:rPr>
        <w:t xml:space="preserve">    A6.2.2发生评标暂停情况时，评标委员会应当封存全部投标文件和评标记录，待不可抗力的影响结束且具备继续评标的条件时，由原评标委员会继续评标。</w:t>
      </w:r>
    </w:p>
    <w:p w14:paraId="6FB163D5">
      <w:pPr>
        <w:pStyle w:val="Heading4"/>
        <w:spacing w:line="360" w:lineRule="auto"/>
        <w:rPr>
          <w:rFonts w:ascii="宋体" w:hAnsi="宋体"/>
          <w:sz w:val="24"/>
          <w:szCs w:val="24"/>
        </w:rPr>
      </w:pPr>
      <w:r>
        <w:rPr>
          <w:rFonts w:ascii="宋体" w:hAnsi="宋体" w:hint="eastAsia"/>
          <w:sz w:val="24"/>
          <w:szCs w:val="24"/>
        </w:rPr>
        <w:t>A6.3  关于评标中途更换评委</w:t>
      </w:r>
    </w:p>
    <w:p w14:paraId="72991701">
      <w:pPr>
        <w:spacing w:line="360" w:lineRule="auto"/>
        <w:rPr>
          <w:rFonts w:ascii="宋体" w:hAnsi="宋体"/>
          <w:lang w:eastAsia="zh-CN"/>
        </w:rPr>
      </w:pPr>
      <w:r>
        <w:rPr>
          <w:rFonts w:ascii="宋体" w:hAnsi="宋体" w:hint="eastAsia"/>
          <w:lang w:eastAsia="zh-CN"/>
        </w:rPr>
        <w:t xml:space="preserve">    A6.3.1除非发生下列情况之一，评标委员会成员不得在评标中途更换：</w:t>
      </w:r>
    </w:p>
    <w:p w14:paraId="7460AB66">
      <w:pPr>
        <w:spacing w:line="360" w:lineRule="auto"/>
        <w:rPr>
          <w:rFonts w:ascii="宋体" w:hAnsi="宋体"/>
          <w:lang w:eastAsia="zh-CN"/>
        </w:rPr>
      </w:pPr>
      <w:r>
        <w:rPr>
          <w:rFonts w:ascii="宋体" w:hAnsi="宋体" w:hint="eastAsia"/>
          <w:lang w:eastAsia="zh-CN"/>
        </w:rPr>
        <w:t xml:space="preserve">    (1) 因不可抗拒的客观原因，不能到场或需在评标中途退出评标活动。</w:t>
      </w:r>
    </w:p>
    <w:p w14:paraId="15611099">
      <w:pPr>
        <w:spacing w:line="360" w:lineRule="auto"/>
        <w:rPr>
          <w:rFonts w:ascii="宋体" w:hAnsi="宋体"/>
          <w:lang w:eastAsia="zh-CN"/>
        </w:rPr>
      </w:pPr>
      <w:r>
        <w:rPr>
          <w:rFonts w:ascii="宋体" w:hAnsi="宋体" w:hint="eastAsia"/>
          <w:lang w:eastAsia="zh-CN"/>
        </w:rPr>
        <w:t xml:space="preserve">    (2) 根据法律法规规定，某个或某几个评标委员会成员需要回避。</w:t>
      </w:r>
    </w:p>
    <w:p w14:paraId="5045CD22">
      <w:pPr>
        <w:spacing w:line="360" w:lineRule="auto"/>
        <w:rPr>
          <w:rFonts w:ascii="宋体" w:hAnsi="宋体"/>
          <w:lang w:eastAsia="zh-CN"/>
        </w:rPr>
      </w:pPr>
      <w:r>
        <w:rPr>
          <w:rFonts w:ascii="宋体" w:hAnsi="宋体" w:hint="eastAsia"/>
          <w:lang w:eastAsia="zh-CN"/>
        </w:rPr>
        <w:t xml:space="preserve">    A6.3.2退出评标的评标委员会成员，其已完成的评标行为无效。由招标人根据本招标文件规定的评标委员会成员生产方式另行确定替代者进行评标。</w:t>
      </w:r>
    </w:p>
    <w:p w14:paraId="37EFF911">
      <w:pPr>
        <w:pStyle w:val="Heading4"/>
        <w:spacing w:line="360" w:lineRule="auto"/>
        <w:rPr>
          <w:rFonts w:ascii="宋体" w:hAnsi="宋体"/>
          <w:sz w:val="24"/>
          <w:szCs w:val="24"/>
        </w:rPr>
      </w:pPr>
      <w:r>
        <w:rPr>
          <w:rFonts w:ascii="宋体" w:hAnsi="宋体" w:hint="eastAsia"/>
          <w:sz w:val="24"/>
          <w:szCs w:val="24"/>
        </w:rPr>
        <w:t>A6.4记名投票</w:t>
      </w:r>
    </w:p>
    <w:p w14:paraId="74960655">
      <w:pPr>
        <w:spacing w:line="360" w:lineRule="auto"/>
        <w:rPr>
          <w:rFonts w:ascii="宋体" w:hAnsi="宋体"/>
          <w:lang w:eastAsia="zh-CN"/>
        </w:rPr>
      </w:pPr>
      <w:r>
        <w:rPr>
          <w:rFonts w:ascii="宋体" w:hAnsi="宋体" w:hint="eastAsia"/>
          <w:lang w:eastAsia="zh-CN"/>
        </w:rPr>
        <w:t xml:space="preserve">    在任何评标环节中，需评标委员会就某项定性的评审结论做出表决的，由评标委员会全体成员按照少数服从多数的原则，以记名投票方式表决。</w:t>
      </w:r>
    </w:p>
    <w:p w14:paraId="4ED58E60">
      <w:pPr>
        <w:pStyle w:val="Heading3"/>
        <w:rPr>
          <w:rFonts w:ascii="宋体" w:hAnsi="宋体"/>
          <w:sz w:val="24"/>
          <w:szCs w:val="24"/>
        </w:rPr>
      </w:pPr>
      <w:bookmarkStart w:id="81" w:name="_Toc256000071"/>
      <w:r>
        <w:rPr>
          <w:rFonts w:ascii="宋体" w:hAnsi="宋体" w:hint="eastAsia"/>
          <w:sz w:val="24"/>
          <w:szCs w:val="24"/>
        </w:rPr>
        <w:t>A7.补充条款</w:t>
      </w:r>
      <w:bookmarkEnd w:id="81"/>
    </w:p>
    <w:p w14:paraId="247CB85B">
      <w:pPr>
        <w:spacing w:line="360" w:lineRule="auto"/>
        <w:rPr>
          <w:rFonts w:ascii="宋体" w:hAnsi="宋体"/>
          <w:lang w:eastAsia="zh-CN"/>
        </w:rPr>
      </w:pPr>
    </w:p>
    <w:p w14:paraId="5E5D169C">
      <w:pPr>
        <w:pStyle w:val="Heading2"/>
        <w:rPr>
          <w:rFonts w:ascii="宋体" w:hAnsi="宋体"/>
          <w:sz w:val="24"/>
          <w:szCs w:val="24"/>
        </w:rPr>
      </w:pPr>
      <w:bookmarkStart w:id="82" w:name="_Toc256000072"/>
      <w:r>
        <w:rPr>
          <w:rFonts w:ascii="宋体" w:hAnsi="宋体" w:hint="eastAsia"/>
          <w:sz w:val="24"/>
          <w:szCs w:val="24"/>
        </w:rPr>
        <w:t>附件B：投标人成本评审办法</w:t>
      </w:r>
      <w:bookmarkEnd w:id="82"/>
    </w:p>
    <w:p w14:paraId="7FCC2D04">
      <w:pPr>
        <w:spacing w:line="360" w:lineRule="auto"/>
        <w:jc w:val="center"/>
        <w:rPr>
          <w:rFonts w:ascii="宋体" w:hAnsi="宋体"/>
          <w:b/>
          <w:lang w:eastAsia="zh-CN"/>
        </w:rPr>
      </w:pPr>
      <w:r>
        <w:rPr>
          <w:rFonts w:ascii="宋体" w:hAnsi="宋体" w:hint="eastAsia"/>
          <w:b/>
          <w:lang w:eastAsia="zh-CN"/>
        </w:rPr>
        <w:t>投标人成本评审办法</w:t>
      </w:r>
    </w:p>
    <w:p w14:paraId="1402DE16">
      <w:pPr>
        <w:pStyle w:val="Heading3"/>
        <w:rPr>
          <w:rFonts w:ascii="宋体" w:hAnsi="宋体"/>
          <w:sz w:val="24"/>
          <w:szCs w:val="24"/>
        </w:rPr>
      </w:pPr>
      <w:bookmarkStart w:id="83" w:name="_Toc256000073"/>
      <w:r>
        <w:rPr>
          <w:rFonts w:ascii="宋体" w:hAnsi="宋体" w:hint="eastAsia"/>
          <w:sz w:val="24"/>
          <w:szCs w:val="24"/>
        </w:rPr>
        <w:t>B0.总则</w:t>
      </w:r>
      <w:bookmarkEnd w:id="83"/>
    </w:p>
    <w:p w14:paraId="4BE0C761">
      <w:pPr>
        <w:spacing w:line="360" w:lineRule="auto"/>
        <w:rPr>
          <w:rFonts w:ascii="宋体" w:hAnsi="宋体"/>
          <w:lang w:eastAsia="zh-CN"/>
        </w:rPr>
      </w:pPr>
      <w:r>
        <w:rPr>
          <w:rFonts w:ascii="宋体" w:hAnsi="宋体" w:hint="eastAsia"/>
          <w:lang w:eastAsia="zh-CN"/>
        </w:rPr>
        <w:t xml:space="preserve">    本附件是本章“评标办法”的组成部分，评标委员会按照本章第3.2.4项的规定，对投标人投标报价是否低于其成本进行评审和判断时，适用本附件所规定的办法。</w:t>
      </w:r>
    </w:p>
    <w:p w14:paraId="36D8C2D6">
      <w:pPr>
        <w:pStyle w:val="Heading3"/>
      </w:pPr>
      <w:bookmarkStart w:id="84" w:name="_Toc256000074"/>
      <w:r>
        <w:rPr>
          <w:rFonts w:ascii="宋体" w:hAnsi="宋体" w:hint="eastAsia"/>
          <w:sz w:val="24"/>
          <w:szCs w:val="24"/>
        </w:rPr>
        <w:t>B1.评审程序</w:t>
      </w:r>
      <w:bookmarkEnd w:id="84"/>
    </w:p>
    <w:p w14:paraId="2C5405BF">
      <w:pPr>
        <w:spacing w:line="360" w:lineRule="auto"/>
        <w:rPr>
          <w:rFonts w:ascii="宋体" w:hAnsi="宋体"/>
          <w:lang w:eastAsia="zh-CN"/>
        </w:rPr>
      </w:pPr>
      <w:r>
        <w:rPr>
          <w:rFonts w:ascii="宋体" w:hAnsi="宋体" w:hint="eastAsia"/>
          <w:lang w:eastAsia="zh-CN"/>
        </w:rPr>
        <w:t xml:space="preserve">    投标报价评审按本章前附表规定的办法。</w:t>
      </w:r>
    </w:p>
    <w:p w14:paraId="2741D22A">
      <w:pPr>
        <w:pStyle w:val="Heading2"/>
        <w:rPr>
          <w:rFonts w:ascii="宋体" w:hAnsi="宋体"/>
          <w:sz w:val="24"/>
          <w:szCs w:val="24"/>
        </w:rPr>
      </w:pPr>
      <w:bookmarkStart w:id="85" w:name="_Toc256000075"/>
      <w:r>
        <w:rPr>
          <w:rFonts w:ascii="宋体" w:hAnsi="宋体" w:hint="eastAsia"/>
          <w:sz w:val="24"/>
          <w:szCs w:val="24"/>
        </w:rPr>
        <w:t>附件C：备选投标方案的评审方法</w:t>
      </w:r>
      <w:bookmarkEnd w:id="85"/>
    </w:p>
    <w:p w14:paraId="6641FDC2">
      <w:pPr>
        <w:spacing w:line="360" w:lineRule="auto"/>
        <w:jc w:val="center"/>
        <w:rPr>
          <w:rFonts w:ascii="宋体" w:hAnsi="宋体"/>
          <w:b/>
          <w:lang w:eastAsia="zh-CN"/>
        </w:rPr>
      </w:pPr>
      <w:r>
        <w:rPr>
          <w:rFonts w:ascii="宋体" w:hAnsi="宋体" w:hint="eastAsia"/>
          <w:b/>
          <w:lang w:eastAsia="zh-CN"/>
        </w:rPr>
        <w:t>备选投标方案的评审方法</w:t>
      </w:r>
    </w:p>
    <w:p w14:paraId="455B95EC">
      <w:pPr>
        <w:pStyle w:val="Heading3"/>
        <w:rPr>
          <w:rFonts w:ascii="宋体" w:hAnsi="宋体"/>
          <w:sz w:val="24"/>
          <w:szCs w:val="24"/>
        </w:rPr>
      </w:pPr>
      <w:bookmarkStart w:id="86" w:name="_Toc256000076"/>
      <w:r>
        <w:rPr>
          <w:rFonts w:ascii="宋体" w:hAnsi="宋体" w:hint="eastAsia"/>
          <w:sz w:val="24"/>
          <w:szCs w:val="24"/>
        </w:rPr>
        <w:t>C0.总  则</w:t>
      </w:r>
      <w:bookmarkEnd w:id="86"/>
    </w:p>
    <w:p w14:paraId="58DCE14C">
      <w:pPr>
        <w:spacing w:line="360" w:lineRule="auto"/>
        <w:rPr>
          <w:rFonts w:ascii="宋体" w:hAnsi="宋体"/>
          <w:lang w:eastAsia="zh-CN"/>
        </w:rPr>
      </w:pPr>
      <w:r>
        <w:rPr>
          <w:rFonts w:ascii="宋体" w:hAnsi="宋体" w:hint="eastAsia"/>
          <w:lang w:eastAsia="zh-CN"/>
        </w:rPr>
        <w:t xml:space="preserve">    本附件是本章“评标办法”的组成部分。当第二章“投标人须知”第3.6款中规定允许投标人递交备选投标方案时，评标委员会应当按照本附件所规定的办法对排名第一的中标候选人或者根据招标人授权直接确定的中标人所递交的备选投标方案进行评审和比较。</w:t>
      </w:r>
    </w:p>
    <w:p w14:paraId="4B58AB9F">
      <w:pPr>
        <w:pStyle w:val="Heading3"/>
        <w:rPr>
          <w:rFonts w:ascii="宋体" w:hAnsi="宋体"/>
          <w:sz w:val="24"/>
          <w:szCs w:val="24"/>
        </w:rPr>
      </w:pPr>
      <w:bookmarkStart w:id="87" w:name="_Toc256000077"/>
      <w:r>
        <w:rPr>
          <w:rFonts w:ascii="宋体" w:hAnsi="宋体" w:hint="eastAsia"/>
          <w:sz w:val="24"/>
          <w:szCs w:val="24"/>
        </w:rPr>
        <w:t>C1.备选投标方案的评审规定</w:t>
      </w:r>
      <w:bookmarkEnd w:id="87"/>
    </w:p>
    <w:p w14:paraId="2A0C6512">
      <w:pPr>
        <w:pStyle w:val="Heading4"/>
        <w:spacing w:line="360" w:lineRule="auto"/>
        <w:rPr>
          <w:rFonts w:ascii="宋体" w:hAnsi="宋体"/>
          <w:sz w:val="24"/>
          <w:szCs w:val="24"/>
        </w:rPr>
      </w:pPr>
      <w:r>
        <w:rPr>
          <w:rFonts w:ascii="宋体" w:hAnsi="宋体" w:hint="eastAsia"/>
          <w:sz w:val="24"/>
          <w:szCs w:val="24"/>
        </w:rPr>
        <w:t>C1.1　必须投递了正选投标方案</w:t>
      </w:r>
    </w:p>
    <w:p w14:paraId="578BBB92">
      <w:pPr>
        <w:spacing w:line="360" w:lineRule="auto"/>
        <w:rPr>
          <w:rFonts w:ascii="宋体" w:hAnsi="宋体"/>
          <w:lang w:eastAsia="zh-CN"/>
        </w:rPr>
      </w:pPr>
      <w:r>
        <w:rPr>
          <w:rFonts w:ascii="宋体" w:hAnsi="宋体" w:hint="eastAsia"/>
          <w:lang w:eastAsia="zh-CN"/>
        </w:rPr>
        <w:t xml:space="preserve">    按照第二章“投标人须知”第3.6款中规定投递备选投标方案的投标人，必须按照招标文件中规定的要求和条件编制并投递了正选投标方案，否则其投标作否决投标处理。</w:t>
      </w:r>
    </w:p>
    <w:p w14:paraId="1E4C3BFC">
      <w:pPr>
        <w:pStyle w:val="Heading4"/>
        <w:spacing w:line="360" w:lineRule="auto"/>
        <w:rPr>
          <w:rFonts w:ascii="宋体" w:hAnsi="宋体"/>
          <w:sz w:val="24"/>
          <w:szCs w:val="24"/>
        </w:rPr>
      </w:pPr>
      <w:r>
        <w:rPr>
          <w:rFonts w:ascii="宋体" w:hAnsi="宋体" w:hint="eastAsia"/>
          <w:sz w:val="24"/>
          <w:szCs w:val="24"/>
        </w:rPr>
        <w:t>C1.2  只对中标人或中标候选人的备选投标方案进行评审</w:t>
      </w:r>
    </w:p>
    <w:p w14:paraId="43DF4002">
      <w:pPr>
        <w:spacing w:line="360" w:lineRule="auto"/>
        <w:rPr>
          <w:rFonts w:ascii="宋体" w:hAnsi="宋体"/>
          <w:lang w:eastAsia="zh-CN"/>
        </w:rPr>
      </w:pPr>
      <w:r>
        <w:rPr>
          <w:rFonts w:ascii="宋体" w:hAnsi="宋体" w:hint="eastAsia"/>
          <w:lang w:eastAsia="zh-CN"/>
        </w:rPr>
        <w:t xml:space="preserve">    只有中标人或中标候选人的备选投标方案才会被评标委员会评审。</w:t>
      </w:r>
    </w:p>
    <w:p w14:paraId="7B2DF36C">
      <w:pPr>
        <w:pStyle w:val="Heading3"/>
        <w:rPr>
          <w:rFonts w:ascii="宋体" w:hAnsi="宋体"/>
          <w:sz w:val="24"/>
          <w:szCs w:val="24"/>
        </w:rPr>
      </w:pPr>
      <w:bookmarkStart w:id="88" w:name="_Toc256000078"/>
      <w:r>
        <w:rPr>
          <w:rFonts w:ascii="宋体" w:hAnsi="宋体" w:hint="eastAsia"/>
          <w:sz w:val="24"/>
          <w:szCs w:val="24"/>
        </w:rPr>
        <w:t>C2.  备选投标方案的评审程序、方法和标准</w:t>
      </w:r>
      <w:bookmarkEnd w:id="88"/>
    </w:p>
    <w:p w14:paraId="3B1E1B93">
      <w:pPr>
        <w:pStyle w:val="Heading4"/>
        <w:spacing w:line="360" w:lineRule="auto"/>
        <w:rPr>
          <w:rFonts w:ascii="宋体" w:hAnsi="宋体"/>
          <w:sz w:val="24"/>
          <w:szCs w:val="24"/>
        </w:rPr>
      </w:pPr>
      <w:r>
        <w:rPr>
          <w:rFonts w:ascii="宋体" w:hAnsi="宋体" w:hint="eastAsia"/>
          <w:sz w:val="24"/>
          <w:szCs w:val="24"/>
        </w:rPr>
        <w:t>C2.1  适用的评审程序、方法和标准</w:t>
      </w:r>
    </w:p>
    <w:p w14:paraId="689BA008">
      <w:pPr>
        <w:spacing w:line="360" w:lineRule="auto"/>
        <w:rPr>
          <w:rFonts w:ascii="宋体" w:hAnsi="宋体"/>
          <w:lang w:eastAsia="zh-CN"/>
        </w:rPr>
      </w:pPr>
      <w:r>
        <w:rPr>
          <w:rFonts w:ascii="宋体" w:hAnsi="宋体" w:hint="eastAsia"/>
          <w:lang w:eastAsia="zh-CN"/>
        </w:rPr>
        <w:t xml:space="preserve">    评标委员会应当根据备选投标方案的内容，找出本章（包括本章附件）中适用的程序、方法、标准对备选投标方案进行综合定性评审。如果没有适用的程序、方法、标准，则由评标委员会成员分别独立对备选投标方案进行综合定性评审。评审结论通过表决方式做出。只有超过半数的评标委员会成员所做出的结论，方可以作为评标委员会的结论。</w:t>
      </w:r>
    </w:p>
    <w:p w14:paraId="4D00FACF">
      <w:pPr>
        <w:pStyle w:val="Heading4"/>
        <w:spacing w:line="360" w:lineRule="auto"/>
        <w:rPr>
          <w:rFonts w:ascii="宋体" w:hAnsi="宋体"/>
          <w:sz w:val="24"/>
          <w:szCs w:val="24"/>
        </w:rPr>
      </w:pPr>
      <w:r>
        <w:rPr>
          <w:rFonts w:ascii="宋体" w:hAnsi="宋体" w:hint="eastAsia"/>
          <w:sz w:val="24"/>
          <w:szCs w:val="24"/>
        </w:rPr>
        <w:t>C2.2  基本的评审程序和方法</w:t>
      </w:r>
    </w:p>
    <w:p w14:paraId="2A721994">
      <w:pPr>
        <w:spacing w:line="360" w:lineRule="auto"/>
        <w:rPr>
          <w:rFonts w:ascii="宋体" w:hAnsi="宋体"/>
          <w:lang w:eastAsia="zh-CN"/>
        </w:rPr>
      </w:pPr>
      <w:r>
        <w:rPr>
          <w:rFonts w:ascii="宋体" w:hAnsi="宋体" w:hint="eastAsia"/>
          <w:lang w:eastAsia="zh-CN"/>
        </w:rPr>
        <w:t xml:space="preserve">    对备选投标方案的评审，按以下程序和方法进行：</w:t>
      </w:r>
    </w:p>
    <w:p w14:paraId="64AB5B98">
      <w:pPr>
        <w:spacing w:line="360" w:lineRule="auto"/>
        <w:rPr>
          <w:rFonts w:ascii="宋体" w:hAnsi="宋体"/>
          <w:lang w:eastAsia="zh-CN"/>
        </w:rPr>
      </w:pPr>
      <w:r>
        <w:rPr>
          <w:rFonts w:ascii="宋体" w:hAnsi="宋体" w:hint="eastAsia"/>
          <w:lang w:eastAsia="zh-CN"/>
        </w:rPr>
        <w:t xml:space="preserve">    （1）找出备选投标方案改变了招标文件中规定的哪些要求或条件，判断这种改变是否可能被招标人所接受。如果评标委员会认为备选投标方案所改变的招标要求和条件是不能被招标人所接受的，则应当宣布备选投标方案不被接受。</w:t>
      </w:r>
    </w:p>
    <w:p w14:paraId="1E159A8C">
      <w:pPr>
        <w:spacing w:line="360" w:lineRule="auto"/>
        <w:rPr>
          <w:rFonts w:ascii="宋体" w:hAnsi="宋体"/>
          <w:lang w:eastAsia="zh-CN"/>
        </w:rPr>
      </w:pPr>
      <w:r>
        <w:rPr>
          <w:rFonts w:ascii="宋体" w:hAnsi="宋体" w:hint="eastAsia"/>
          <w:lang w:eastAsia="zh-CN"/>
        </w:rPr>
        <w:t xml:space="preserve">    （2）判断备选投标方案的可行性，不可行的备选投标方案应当被宣布为不被接受。</w:t>
      </w:r>
    </w:p>
    <w:p w14:paraId="0B039CF5">
      <w:pPr>
        <w:spacing w:line="360" w:lineRule="auto"/>
        <w:rPr>
          <w:rFonts w:ascii="宋体" w:hAnsi="宋体"/>
          <w:lang w:eastAsia="zh-CN"/>
        </w:rPr>
      </w:pPr>
      <w:r>
        <w:rPr>
          <w:rFonts w:ascii="宋体" w:hAnsi="宋体" w:hint="eastAsia"/>
          <w:lang w:eastAsia="zh-CN"/>
        </w:rPr>
        <w:t xml:space="preserve">    （3）对比中标人或中标候选人的正选投标方案和备选投标方案，找出两者之间的偏差，并对偏差对招标人的有利和不利程度做出评估。只有备选投标方案与正选投标方案的偏差对招标人的有利程度明显大于不利程度时，备选投标方案方可以被接受。</w:t>
      </w:r>
    </w:p>
    <w:p w14:paraId="48C1E1CE">
      <w:pPr>
        <w:pStyle w:val="Heading3"/>
        <w:rPr>
          <w:rFonts w:ascii="宋体" w:hAnsi="宋体"/>
          <w:sz w:val="24"/>
          <w:szCs w:val="24"/>
        </w:rPr>
      </w:pPr>
      <w:bookmarkStart w:id="89" w:name="_Toc256000079"/>
      <w:r>
        <w:rPr>
          <w:rFonts w:ascii="宋体" w:hAnsi="宋体" w:hint="eastAsia"/>
          <w:sz w:val="24"/>
          <w:szCs w:val="24"/>
        </w:rPr>
        <w:t>C3.备选投标方案的评审结果</w:t>
      </w:r>
      <w:bookmarkEnd w:id="89"/>
    </w:p>
    <w:p w14:paraId="1A4BE7B8">
      <w:pPr>
        <w:pStyle w:val="Heading4"/>
        <w:spacing w:line="360" w:lineRule="auto"/>
        <w:rPr>
          <w:rFonts w:ascii="宋体" w:hAnsi="宋体"/>
          <w:sz w:val="24"/>
          <w:szCs w:val="24"/>
        </w:rPr>
      </w:pPr>
      <w:r>
        <w:rPr>
          <w:rFonts w:ascii="宋体" w:hAnsi="宋体" w:hint="eastAsia"/>
          <w:sz w:val="24"/>
          <w:szCs w:val="24"/>
        </w:rPr>
        <w:t>C3.1备选投标方案的评审报告</w:t>
      </w:r>
    </w:p>
    <w:p w14:paraId="795D796D">
      <w:pPr>
        <w:spacing w:line="360" w:lineRule="auto"/>
        <w:rPr>
          <w:rFonts w:ascii="宋体" w:hAnsi="宋体"/>
          <w:lang w:eastAsia="zh-CN"/>
        </w:rPr>
      </w:pPr>
      <w:r>
        <w:rPr>
          <w:rFonts w:ascii="宋体" w:hAnsi="宋体" w:hint="eastAsia"/>
          <w:lang w:eastAsia="zh-CN"/>
        </w:rPr>
        <w:t xml:space="preserve">    评标委员会应当出具备选投标方案评审报告，备选投标方案评审报告中应当包括：</w:t>
      </w:r>
    </w:p>
    <w:p w14:paraId="6C9C3453">
      <w:pPr>
        <w:spacing w:line="360" w:lineRule="auto"/>
        <w:rPr>
          <w:rFonts w:ascii="宋体" w:hAnsi="宋体"/>
          <w:lang w:eastAsia="zh-CN"/>
        </w:rPr>
      </w:pPr>
      <w:r>
        <w:rPr>
          <w:rFonts w:ascii="宋体" w:hAnsi="宋体" w:hint="eastAsia"/>
          <w:lang w:eastAsia="zh-CN"/>
        </w:rPr>
        <w:t xml:space="preserve">    （1）备选投标方案与正选投标方案的主要偏差；</w:t>
      </w:r>
    </w:p>
    <w:p w14:paraId="1947FD54">
      <w:pPr>
        <w:spacing w:line="360" w:lineRule="auto"/>
        <w:rPr>
          <w:rFonts w:ascii="宋体" w:hAnsi="宋体"/>
          <w:lang w:eastAsia="zh-CN"/>
        </w:rPr>
      </w:pPr>
      <w:r>
        <w:rPr>
          <w:rFonts w:ascii="宋体" w:hAnsi="宋体" w:hint="eastAsia"/>
          <w:lang w:eastAsia="zh-CN"/>
        </w:rPr>
        <w:t xml:space="preserve">    （2）备选投标方案的科学性与合理性分析；</w:t>
      </w:r>
    </w:p>
    <w:p w14:paraId="3DA31AA0">
      <w:pPr>
        <w:spacing w:line="360" w:lineRule="auto"/>
        <w:rPr>
          <w:rFonts w:ascii="宋体" w:hAnsi="宋体"/>
          <w:lang w:eastAsia="zh-CN"/>
        </w:rPr>
      </w:pPr>
      <w:r>
        <w:rPr>
          <w:rFonts w:ascii="宋体" w:hAnsi="宋体" w:hint="eastAsia"/>
          <w:lang w:eastAsia="zh-CN"/>
        </w:rPr>
        <w:t xml:space="preserve">    （3）备选投标方案对招标人的有利性分析；</w:t>
      </w:r>
    </w:p>
    <w:p w14:paraId="57F1880B">
      <w:pPr>
        <w:spacing w:line="360" w:lineRule="auto"/>
        <w:rPr>
          <w:rFonts w:ascii="宋体" w:hAnsi="宋体"/>
          <w:lang w:eastAsia="zh-CN"/>
        </w:rPr>
      </w:pPr>
      <w:r>
        <w:rPr>
          <w:rFonts w:ascii="宋体" w:hAnsi="宋体" w:hint="eastAsia"/>
          <w:lang w:eastAsia="zh-CN"/>
        </w:rPr>
        <w:t xml:space="preserve">    （4）备选投标方案是否可以被采纳。</w:t>
      </w:r>
    </w:p>
    <w:p w14:paraId="6793BFAB">
      <w:pPr>
        <w:pStyle w:val="Heading4"/>
        <w:spacing w:line="360" w:lineRule="auto"/>
        <w:rPr>
          <w:rFonts w:ascii="宋体" w:hAnsi="宋体"/>
          <w:sz w:val="24"/>
          <w:szCs w:val="24"/>
        </w:rPr>
      </w:pPr>
      <w:r>
        <w:rPr>
          <w:rFonts w:ascii="宋体" w:hAnsi="宋体" w:hint="eastAsia"/>
          <w:sz w:val="24"/>
          <w:szCs w:val="24"/>
        </w:rPr>
        <w:t>C3.2  评审结论</w:t>
      </w:r>
    </w:p>
    <w:p w14:paraId="04A202FE">
      <w:pPr>
        <w:spacing w:line="360" w:lineRule="auto"/>
        <w:rPr>
          <w:rFonts w:ascii="宋体" w:hAnsi="宋体"/>
          <w:lang w:eastAsia="zh-CN"/>
        </w:rPr>
      </w:pPr>
      <w:r>
        <w:rPr>
          <w:rFonts w:ascii="宋体" w:hAnsi="宋体" w:hint="eastAsia"/>
          <w:lang w:eastAsia="zh-CN"/>
        </w:rPr>
        <w:t xml:space="preserve">    通过评审，评标委员会只做出备选投标方案是否可以被采纳的决定，但不做出中标人应当按正选投标方案或备选投标方案中标的决定。中标人是否按备选投标方案中标的决定，由招标人依据评标委员会的评审报告做出。</w:t>
      </w:r>
    </w:p>
    <w:p w14:paraId="4F36E9E8">
      <w:pPr>
        <w:pStyle w:val="Heading3"/>
      </w:pPr>
      <w:bookmarkStart w:id="90" w:name="_Toc256000080"/>
      <w:r>
        <w:rPr>
          <w:rFonts w:ascii="宋体" w:hAnsi="宋体" w:hint="eastAsia"/>
          <w:sz w:val="24"/>
          <w:szCs w:val="24"/>
        </w:rPr>
        <w:t>C4.补充条款</w:t>
      </w:r>
      <w:bookmarkEnd w:id="90"/>
    </w:p>
    <w:p w14:paraId="766004CD">
      <w:pPr>
        <w:rPr>
          <w:rFonts w:ascii="宋体" w:hAnsi="宋体"/>
          <w:sz w:val="27"/>
          <w:lang w:eastAsia="zh-CN"/>
        </w:rPr>
      </w:pPr>
    </w:p>
    <w:p w14:paraId="0440EFFD">
      <w:pPr>
        <w:rPr>
          <w:rFonts w:ascii="宋体" w:hAnsi="宋体"/>
          <w:sz w:val="27"/>
          <w:lang w:eastAsia="zh-CN"/>
        </w:rPr>
      </w:pPr>
      <w:r>
        <w:rPr>
          <w:rFonts w:ascii="宋体" w:hAnsi="宋体" w:hint="eastAsia"/>
          <w:sz w:val="27"/>
          <w:lang w:eastAsia="zh-CN"/>
        </w:rPr>
        <w:br w:type="page"/>
      </w:r>
    </w:p>
    <w:p w14:paraId="39805AE4">
      <w:pPr>
        <w:rPr>
          <w:rFonts w:ascii="宋体" w:hAnsi="宋体"/>
          <w:sz w:val="27"/>
          <w:lang w:eastAsia="zh-CN"/>
        </w:rPr>
      </w:pPr>
    </w:p>
    <w:p w14:paraId="28EEDD09">
      <w:pPr>
        <w:pStyle w:val="Heading2"/>
        <w:rPr>
          <w:rFonts w:ascii="宋体" w:hAnsi="宋体"/>
          <w:sz w:val="24"/>
          <w:szCs w:val="24"/>
        </w:rPr>
      </w:pPr>
      <w:r>
        <w:rPr>
          <w:rFonts w:ascii="宋体" w:hAnsi="宋体" w:hint="eastAsia"/>
          <w:sz w:val="24"/>
          <w:szCs w:val="24"/>
        </w:rPr>
        <w:t>附表A-1：评标委员会签到表</w:t>
      </w:r>
    </w:p>
    <w:p w14:paraId="39F44918">
      <w:pPr>
        <w:spacing w:line="360" w:lineRule="auto"/>
        <w:jc w:val="center"/>
        <w:rPr>
          <w:rFonts w:ascii="宋体" w:hAnsi="宋体"/>
          <w:b/>
          <w:lang w:eastAsia="zh-CN"/>
        </w:rPr>
      </w:pPr>
      <w:r>
        <w:rPr>
          <w:rFonts w:ascii="宋体" w:hAnsi="宋体" w:hint="eastAsia"/>
          <w:b/>
          <w:lang w:eastAsia="zh-CN"/>
        </w:rPr>
        <w:t>评标委员会签到表</w:t>
      </w:r>
    </w:p>
    <w:p w14:paraId="141DFA53">
      <w:pPr>
        <w:spacing w:line="360" w:lineRule="auto"/>
        <w:rPr>
          <w:rFonts w:ascii="宋体" w:hAnsi="宋体"/>
          <w:lang w:eastAsia="zh-CN"/>
        </w:rPr>
      </w:pPr>
    </w:p>
    <w:p w14:paraId="06FDAE75">
      <w:pPr>
        <w:spacing w:line="360" w:lineRule="auto"/>
        <w:jc w:val="center"/>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     评标时间：   年    月    日</w:t>
      </w: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921"/>
        <w:gridCol w:w="2481"/>
        <w:gridCol w:w="5103"/>
      </w:tblGrid>
      <w:tr w14:paraId="29670EDC">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1266"/>
          <w:jc w:val="center"/>
        </w:trPr>
        <w:tc>
          <w:tcPr>
            <w:tcW w:w="921" w:type="dxa"/>
            <w:tcBorders>
              <w:top w:val="single" w:sz="2" w:space="0" w:color="auto"/>
              <w:left w:val="single" w:sz="2" w:space="0" w:color="auto"/>
              <w:bottom w:val="single" w:sz="2" w:space="0" w:color="auto"/>
              <w:right w:val="single" w:sz="2" w:space="0" w:color="auto"/>
            </w:tcBorders>
            <w:vAlign w:val="center"/>
          </w:tcPr>
          <w:p w14:paraId="67BAB53C">
            <w:pPr>
              <w:spacing w:line="360" w:lineRule="auto"/>
              <w:jc w:val="center"/>
              <w:rPr>
                <w:rFonts w:ascii="宋体" w:hAnsi="宋体"/>
              </w:rPr>
            </w:pPr>
            <w:r>
              <w:rPr>
                <w:rFonts w:ascii="宋体" w:hAnsi="宋体" w:hint="eastAsia"/>
              </w:rPr>
              <w:t>序号</w:t>
            </w:r>
          </w:p>
        </w:tc>
        <w:tc>
          <w:tcPr>
            <w:tcW w:w="2481" w:type="dxa"/>
            <w:tcBorders>
              <w:top w:val="single" w:sz="2" w:space="0" w:color="auto"/>
              <w:left w:val="single" w:sz="2" w:space="0" w:color="auto"/>
              <w:bottom w:val="single" w:sz="2" w:space="0" w:color="auto"/>
              <w:right w:val="single" w:sz="2" w:space="0" w:color="auto"/>
            </w:tcBorders>
            <w:vAlign w:val="center"/>
          </w:tcPr>
          <w:p w14:paraId="7F1D48CB">
            <w:pPr>
              <w:spacing w:line="360" w:lineRule="auto"/>
              <w:jc w:val="center"/>
              <w:rPr>
                <w:rFonts w:ascii="宋体" w:hAnsi="宋体"/>
              </w:rPr>
            </w:pPr>
            <w:r>
              <w:rPr>
                <w:rFonts w:ascii="宋体" w:hAnsi="宋体" w:hint="eastAsia"/>
              </w:rPr>
              <w:t>姓名</w:t>
            </w:r>
          </w:p>
        </w:tc>
        <w:tc>
          <w:tcPr>
            <w:tcW w:w="5103" w:type="dxa"/>
            <w:tcBorders>
              <w:top w:val="single" w:sz="2" w:space="0" w:color="auto"/>
              <w:left w:val="single" w:sz="2" w:space="0" w:color="auto"/>
              <w:bottom w:val="single" w:sz="2" w:space="0" w:color="auto"/>
              <w:right w:val="single" w:sz="2" w:space="0" w:color="auto"/>
            </w:tcBorders>
            <w:vAlign w:val="center"/>
          </w:tcPr>
          <w:p w14:paraId="70A88EE8">
            <w:pPr>
              <w:spacing w:line="360" w:lineRule="auto"/>
              <w:jc w:val="center"/>
              <w:rPr>
                <w:rFonts w:ascii="宋体" w:hAnsi="宋体"/>
              </w:rPr>
            </w:pPr>
            <w:r>
              <w:rPr>
                <w:rFonts w:ascii="宋体" w:hAnsi="宋体" w:hint="eastAsia"/>
              </w:rPr>
              <w:t>工作单位</w:t>
            </w:r>
          </w:p>
        </w:tc>
      </w:tr>
      <w:tr w14:paraId="5B6B1102">
        <w:tblPrEx>
          <w:tblW w:w="0" w:type="auto"/>
          <w:jc w:val="center"/>
          <w:tblLayout w:type="fixed"/>
          <w:tblCellMar>
            <w:top w:w="0" w:type="dxa"/>
            <w:left w:w="108" w:type="dxa"/>
            <w:bottom w:w="0" w:type="dxa"/>
            <w:right w:w="108" w:type="dxa"/>
          </w:tblCellMar>
        </w:tblPrEx>
        <w:trPr>
          <w:trHeight w:val="640"/>
          <w:jc w:val="center"/>
        </w:trPr>
        <w:tc>
          <w:tcPr>
            <w:tcW w:w="921" w:type="dxa"/>
            <w:tcBorders>
              <w:top w:val="single" w:sz="2" w:space="0" w:color="auto"/>
              <w:left w:val="single" w:sz="2" w:space="0" w:color="auto"/>
              <w:bottom w:val="single" w:sz="2" w:space="0" w:color="auto"/>
              <w:right w:val="single" w:sz="2" w:space="0" w:color="auto"/>
            </w:tcBorders>
            <w:vAlign w:val="center"/>
          </w:tcPr>
          <w:p w14:paraId="0858EE13">
            <w:pPr>
              <w:spacing w:line="360" w:lineRule="auto"/>
              <w:jc w:val="center"/>
              <w:rPr>
                <w:rFonts w:ascii="宋体" w:hAnsi="宋体"/>
              </w:rPr>
            </w:pPr>
            <w:r>
              <w:rPr>
                <w:rFonts w:ascii="宋体" w:hAnsi="宋体" w:hint="eastAsia"/>
              </w:rPr>
              <w:t>1</w:t>
            </w:r>
          </w:p>
        </w:tc>
        <w:tc>
          <w:tcPr>
            <w:tcW w:w="2481" w:type="dxa"/>
            <w:tcBorders>
              <w:top w:val="single" w:sz="2" w:space="0" w:color="auto"/>
              <w:left w:val="single" w:sz="2" w:space="0" w:color="auto"/>
              <w:bottom w:val="single" w:sz="2" w:space="0" w:color="auto"/>
              <w:right w:val="single" w:sz="2" w:space="0" w:color="auto"/>
            </w:tcBorders>
            <w:vAlign w:val="center"/>
          </w:tcPr>
          <w:p w14:paraId="27EC6471">
            <w:pPr>
              <w:spacing w:line="360" w:lineRule="auto"/>
              <w:jc w:val="center"/>
              <w:rPr>
                <w:rFonts w:ascii="宋体" w:hAnsi="宋体"/>
              </w:rPr>
            </w:pPr>
          </w:p>
        </w:tc>
        <w:tc>
          <w:tcPr>
            <w:tcW w:w="5103" w:type="dxa"/>
            <w:tcBorders>
              <w:top w:val="single" w:sz="2" w:space="0" w:color="auto"/>
              <w:left w:val="single" w:sz="2" w:space="0" w:color="auto"/>
              <w:bottom w:val="single" w:sz="2" w:space="0" w:color="auto"/>
              <w:right w:val="single" w:sz="2" w:space="0" w:color="auto"/>
            </w:tcBorders>
            <w:vAlign w:val="center"/>
          </w:tcPr>
          <w:p w14:paraId="1B869B3C">
            <w:pPr>
              <w:spacing w:line="360" w:lineRule="auto"/>
              <w:jc w:val="center"/>
              <w:rPr>
                <w:rFonts w:ascii="宋体" w:hAnsi="宋体"/>
              </w:rPr>
            </w:pPr>
          </w:p>
        </w:tc>
      </w:tr>
      <w:tr w14:paraId="1E7419FB">
        <w:tblPrEx>
          <w:tblW w:w="0" w:type="auto"/>
          <w:jc w:val="center"/>
          <w:tblLayout w:type="fixed"/>
          <w:tblCellMar>
            <w:top w:w="0" w:type="dxa"/>
            <w:left w:w="108" w:type="dxa"/>
            <w:bottom w:w="0" w:type="dxa"/>
            <w:right w:w="108" w:type="dxa"/>
          </w:tblCellMar>
        </w:tblPrEx>
        <w:trPr>
          <w:trHeight w:val="625"/>
          <w:jc w:val="center"/>
        </w:trPr>
        <w:tc>
          <w:tcPr>
            <w:tcW w:w="921" w:type="dxa"/>
            <w:tcBorders>
              <w:top w:val="single" w:sz="2" w:space="0" w:color="auto"/>
              <w:left w:val="single" w:sz="2" w:space="0" w:color="auto"/>
              <w:bottom w:val="single" w:sz="2" w:space="0" w:color="auto"/>
              <w:right w:val="single" w:sz="2" w:space="0" w:color="auto"/>
            </w:tcBorders>
            <w:vAlign w:val="center"/>
          </w:tcPr>
          <w:p w14:paraId="3A791F9E">
            <w:pPr>
              <w:spacing w:line="360" w:lineRule="auto"/>
              <w:jc w:val="center"/>
              <w:rPr>
                <w:rFonts w:ascii="宋体" w:hAnsi="宋体"/>
              </w:rPr>
            </w:pPr>
            <w:r>
              <w:rPr>
                <w:rFonts w:ascii="宋体" w:hAnsi="宋体" w:hint="eastAsia"/>
              </w:rPr>
              <w:t>2</w:t>
            </w:r>
          </w:p>
        </w:tc>
        <w:tc>
          <w:tcPr>
            <w:tcW w:w="2481" w:type="dxa"/>
            <w:tcBorders>
              <w:top w:val="single" w:sz="2" w:space="0" w:color="auto"/>
              <w:left w:val="single" w:sz="2" w:space="0" w:color="auto"/>
              <w:bottom w:val="single" w:sz="2" w:space="0" w:color="auto"/>
              <w:right w:val="single" w:sz="2" w:space="0" w:color="auto"/>
            </w:tcBorders>
            <w:vAlign w:val="center"/>
          </w:tcPr>
          <w:p w14:paraId="3CBDBEEA">
            <w:pPr>
              <w:spacing w:line="360" w:lineRule="auto"/>
              <w:jc w:val="center"/>
              <w:rPr>
                <w:rFonts w:ascii="宋体" w:hAnsi="宋体"/>
              </w:rPr>
            </w:pPr>
          </w:p>
        </w:tc>
        <w:tc>
          <w:tcPr>
            <w:tcW w:w="5103" w:type="dxa"/>
            <w:tcBorders>
              <w:top w:val="single" w:sz="2" w:space="0" w:color="auto"/>
              <w:left w:val="single" w:sz="2" w:space="0" w:color="auto"/>
              <w:bottom w:val="single" w:sz="2" w:space="0" w:color="auto"/>
              <w:right w:val="single" w:sz="2" w:space="0" w:color="auto"/>
            </w:tcBorders>
            <w:vAlign w:val="center"/>
          </w:tcPr>
          <w:p w14:paraId="680D0C60">
            <w:pPr>
              <w:spacing w:line="360" w:lineRule="auto"/>
              <w:jc w:val="center"/>
              <w:rPr>
                <w:rFonts w:ascii="宋体" w:hAnsi="宋体"/>
              </w:rPr>
            </w:pPr>
          </w:p>
        </w:tc>
      </w:tr>
      <w:tr w14:paraId="3FE1C172">
        <w:tblPrEx>
          <w:tblW w:w="0" w:type="auto"/>
          <w:jc w:val="center"/>
          <w:tblLayout w:type="fixed"/>
          <w:tblCellMar>
            <w:top w:w="0" w:type="dxa"/>
            <w:left w:w="108" w:type="dxa"/>
            <w:bottom w:w="0" w:type="dxa"/>
            <w:right w:w="108" w:type="dxa"/>
          </w:tblCellMar>
        </w:tblPrEx>
        <w:trPr>
          <w:trHeight w:val="640"/>
          <w:jc w:val="center"/>
        </w:trPr>
        <w:tc>
          <w:tcPr>
            <w:tcW w:w="921" w:type="dxa"/>
            <w:tcBorders>
              <w:top w:val="single" w:sz="2" w:space="0" w:color="auto"/>
              <w:left w:val="single" w:sz="2" w:space="0" w:color="auto"/>
              <w:bottom w:val="single" w:sz="2" w:space="0" w:color="auto"/>
              <w:right w:val="single" w:sz="2" w:space="0" w:color="auto"/>
            </w:tcBorders>
            <w:vAlign w:val="center"/>
          </w:tcPr>
          <w:p w14:paraId="5878E534">
            <w:pPr>
              <w:spacing w:line="360" w:lineRule="auto"/>
              <w:jc w:val="center"/>
              <w:rPr>
                <w:rFonts w:ascii="宋体" w:hAnsi="宋体"/>
              </w:rPr>
            </w:pPr>
            <w:r>
              <w:rPr>
                <w:rFonts w:ascii="宋体" w:hAnsi="宋体" w:hint="eastAsia"/>
              </w:rPr>
              <w:t>3</w:t>
            </w:r>
          </w:p>
        </w:tc>
        <w:tc>
          <w:tcPr>
            <w:tcW w:w="2481" w:type="dxa"/>
            <w:tcBorders>
              <w:top w:val="single" w:sz="2" w:space="0" w:color="auto"/>
              <w:left w:val="single" w:sz="2" w:space="0" w:color="auto"/>
              <w:bottom w:val="single" w:sz="2" w:space="0" w:color="auto"/>
              <w:right w:val="single" w:sz="2" w:space="0" w:color="auto"/>
            </w:tcBorders>
            <w:vAlign w:val="center"/>
          </w:tcPr>
          <w:p w14:paraId="1DA7F9D6">
            <w:pPr>
              <w:spacing w:line="360" w:lineRule="auto"/>
              <w:jc w:val="center"/>
              <w:rPr>
                <w:rFonts w:ascii="宋体" w:hAnsi="宋体"/>
              </w:rPr>
            </w:pPr>
          </w:p>
        </w:tc>
        <w:tc>
          <w:tcPr>
            <w:tcW w:w="5103" w:type="dxa"/>
            <w:tcBorders>
              <w:top w:val="single" w:sz="2" w:space="0" w:color="auto"/>
              <w:left w:val="single" w:sz="2" w:space="0" w:color="auto"/>
              <w:bottom w:val="single" w:sz="2" w:space="0" w:color="auto"/>
              <w:right w:val="single" w:sz="2" w:space="0" w:color="auto"/>
            </w:tcBorders>
            <w:vAlign w:val="center"/>
          </w:tcPr>
          <w:p w14:paraId="514B9D07">
            <w:pPr>
              <w:spacing w:line="360" w:lineRule="auto"/>
              <w:jc w:val="center"/>
              <w:rPr>
                <w:rFonts w:ascii="宋体" w:hAnsi="宋体"/>
              </w:rPr>
            </w:pPr>
          </w:p>
        </w:tc>
      </w:tr>
      <w:tr w14:paraId="5BC02D0C">
        <w:tblPrEx>
          <w:tblW w:w="0" w:type="auto"/>
          <w:jc w:val="center"/>
          <w:tblLayout w:type="fixed"/>
          <w:tblCellMar>
            <w:top w:w="0" w:type="dxa"/>
            <w:left w:w="108" w:type="dxa"/>
            <w:bottom w:w="0" w:type="dxa"/>
            <w:right w:w="108" w:type="dxa"/>
          </w:tblCellMar>
        </w:tblPrEx>
        <w:trPr>
          <w:trHeight w:val="640"/>
          <w:jc w:val="center"/>
        </w:trPr>
        <w:tc>
          <w:tcPr>
            <w:tcW w:w="921" w:type="dxa"/>
            <w:tcBorders>
              <w:top w:val="single" w:sz="2" w:space="0" w:color="auto"/>
              <w:left w:val="single" w:sz="2" w:space="0" w:color="auto"/>
              <w:bottom w:val="single" w:sz="2" w:space="0" w:color="auto"/>
              <w:right w:val="single" w:sz="2" w:space="0" w:color="auto"/>
            </w:tcBorders>
            <w:vAlign w:val="center"/>
          </w:tcPr>
          <w:p w14:paraId="2DDAE0B1">
            <w:pPr>
              <w:spacing w:line="360" w:lineRule="auto"/>
              <w:jc w:val="center"/>
              <w:rPr>
                <w:rFonts w:ascii="宋体" w:hAnsi="宋体"/>
              </w:rPr>
            </w:pPr>
            <w:r>
              <w:rPr>
                <w:rFonts w:ascii="宋体" w:hAnsi="宋体" w:hint="eastAsia"/>
              </w:rPr>
              <w:t>4</w:t>
            </w:r>
          </w:p>
        </w:tc>
        <w:tc>
          <w:tcPr>
            <w:tcW w:w="2481" w:type="dxa"/>
            <w:tcBorders>
              <w:top w:val="single" w:sz="2" w:space="0" w:color="auto"/>
              <w:left w:val="single" w:sz="2" w:space="0" w:color="auto"/>
              <w:bottom w:val="single" w:sz="2" w:space="0" w:color="auto"/>
              <w:right w:val="single" w:sz="2" w:space="0" w:color="auto"/>
            </w:tcBorders>
            <w:vAlign w:val="center"/>
          </w:tcPr>
          <w:p w14:paraId="1BAD492B">
            <w:pPr>
              <w:spacing w:line="360" w:lineRule="auto"/>
              <w:jc w:val="center"/>
              <w:rPr>
                <w:rFonts w:ascii="宋体" w:hAnsi="宋体"/>
              </w:rPr>
            </w:pPr>
          </w:p>
        </w:tc>
        <w:tc>
          <w:tcPr>
            <w:tcW w:w="5103" w:type="dxa"/>
            <w:tcBorders>
              <w:top w:val="single" w:sz="2" w:space="0" w:color="auto"/>
              <w:left w:val="single" w:sz="2" w:space="0" w:color="auto"/>
              <w:bottom w:val="single" w:sz="2" w:space="0" w:color="auto"/>
              <w:right w:val="single" w:sz="2" w:space="0" w:color="auto"/>
            </w:tcBorders>
            <w:vAlign w:val="center"/>
          </w:tcPr>
          <w:p w14:paraId="685ECEB2">
            <w:pPr>
              <w:spacing w:line="360" w:lineRule="auto"/>
              <w:jc w:val="center"/>
              <w:rPr>
                <w:rFonts w:ascii="宋体" w:hAnsi="宋体"/>
              </w:rPr>
            </w:pPr>
          </w:p>
        </w:tc>
      </w:tr>
      <w:tr w14:paraId="527D0875">
        <w:tblPrEx>
          <w:tblW w:w="0" w:type="auto"/>
          <w:jc w:val="center"/>
          <w:tblLayout w:type="fixed"/>
          <w:tblCellMar>
            <w:top w:w="0" w:type="dxa"/>
            <w:left w:w="108" w:type="dxa"/>
            <w:bottom w:w="0" w:type="dxa"/>
            <w:right w:w="108" w:type="dxa"/>
          </w:tblCellMar>
        </w:tblPrEx>
        <w:trPr>
          <w:trHeight w:val="625"/>
          <w:jc w:val="center"/>
        </w:trPr>
        <w:tc>
          <w:tcPr>
            <w:tcW w:w="921" w:type="dxa"/>
            <w:tcBorders>
              <w:top w:val="single" w:sz="2" w:space="0" w:color="auto"/>
              <w:left w:val="single" w:sz="2" w:space="0" w:color="auto"/>
              <w:bottom w:val="single" w:sz="2" w:space="0" w:color="auto"/>
              <w:right w:val="single" w:sz="2" w:space="0" w:color="auto"/>
            </w:tcBorders>
            <w:vAlign w:val="center"/>
          </w:tcPr>
          <w:p w14:paraId="1B626EB6">
            <w:pPr>
              <w:spacing w:line="360" w:lineRule="auto"/>
              <w:jc w:val="center"/>
              <w:rPr>
                <w:rFonts w:ascii="宋体" w:hAnsi="宋体"/>
              </w:rPr>
            </w:pPr>
            <w:r>
              <w:rPr>
                <w:rFonts w:ascii="宋体" w:hAnsi="宋体" w:hint="eastAsia"/>
              </w:rPr>
              <w:t>5</w:t>
            </w:r>
          </w:p>
        </w:tc>
        <w:tc>
          <w:tcPr>
            <w:tcW w:w="2481" w:type="dxa"/>
            <w:tcBorders>
              <w:top w:val="single" w:sz="2" w:space="0" w:color="auto"/>
              <w:left w:val="single" w:sz="2" w:space="0" w:color="auto"/>
              <w:bottom w:val="single" w:sz="2" w:space="0" w:color="auto"/>
              <w:right w:val="single" w:sz="2" w:space="0" w:color="auto"/>
            </w:tcBorders>
            <w:vAlign w:val="center"/>
          </w:tcPr>
          <w:p w14:paraId="2550666D">
            <w:pPr>
              <w:spacing w:line="360" w:lineRule="auto"/>
              <w:jc w:val="center"/>
              <w:rPr>
                <w:rFonts w:ascii="宋体" w:hAnsi="宋体"/>
              </w:rPr>
            </w:pPr>
          </w:p>
        </w:tc>
        <w:tc>
          <w:tcPr>
            <w:tcW w:w="5103" w:type="dxa"/>
            <w:tcBorders>
              <w:top w:val="single" w:sz="2" w:space="0" w:color="auto"/>
              <w:left w:val="single" w:sz="2" w:space="0" w:color="auto"/>
              <w:bottom w:val="single" w:sz="2" w:space="0" w:color="auto"/>
              <w:right w:val="single" w:sz="2" w:space="0" w:color="auto"/>
            </w:tcBorders>
            <w:vAlign w:val="center"/>
          </w:tcPr>
          <w:p w14:paraId="28E746CB">
            <w:pPr>
              <w:spacing w:line="360" w:lineRule="auto"/>
              <w:jc w:val="center"/>
              <w:rPr>
                <w:rFonts w:ascii="宋体" w:hAnsi="宋体"/>
              </w:rPr>
            </w:pPr>
          </w:p>
        </w:tc>
      </w:tr>
      <w:tr w14:paraId="69944CF3">
        <w:tblPrEx>
          <w:tblW w:w="0" w:type="auto"/>
          <w:jc w:val="center"/>
          <w:tblLayout w:type="fixed"/>
          <w:tblCellMar>
            <w:top w:w="0" w:type="dxa"/>
            <w:left w:w="108" w:type="dxa"/>
            <w:bottom w:w="0" w:type="dxa"/>
            <w:right w:w="108" w:type="dxa"/>
          </w:tblCellMar>
        </w:tblPrEx>
        <w:trPr>
          <w:trHeight w:val="640"/>
          <w:jc w:val="center"/>
        </w:trPr>
        <w:tc>
          <w:tcPr>
            <w:tcW w:w="921" w:type="dxa"/>
            <w:tcBorders>
              <w:top w:val="single" w:sz="2" w:space="0" w:color="auto"/>
              <w:left w:val="single" w:sz="2" w:space="0" w:color="auto"/>
              <w:bottom w:val="single" w:sz="2" w:space="0" w:color="auto"/>
              <w:right w:val="single" w:sz="2" w:space="0" w:color="auto"/>
            </w:tcBorders>
            <w:vAlign w:val="center"/>
          </w:tcPr>
          <w:p w14:paraId="7A3B3ECB">
            <w:pPr>
              <w:spacing w:line="360" w:lineRule="auto"/>
              <w:jc w:val="center"/>
              <w:rPr>
                <w:rFonts w:ascii="宋体" w:hAnsi="宋体"/>
              </w:rPr>
            </w:pPr>
            <w:r>
              <w:rPr>
                <w:rFonts w:ascii="宋体" w:hAnsi="宋体" w:hint="eastAsia"/>
              </w:rPr>
              <w:t>……</w:t>
            </w:r>
          </w:p>
        </w:tc>
        <w:tc>
          <w:tcPr>
            <w:tcW w:w="2481" w:type="dxa"/>
            <w:tcBorders>
              <w:top w:val="single" w:sz="2" w:space="0" w:color="auto"/>
              <w:left w:val="single" w:sz="2" w:space="0" w:color="auto"/>
              <w:bottom w:val="single" w:sz="2" w:space="0" w:color="auto"/>
              <w:right w:val="single" w:sz="2" w:space="0" w:color="auto"/>
            </w:tcBorders>
            <w:vAlign w:val="center"/>
          </w:tcPr>
          <w:p w14:paraId="638F52B1">
            <w:pPr>
              <w:spacing w:line="360" w:lineRule="auto"/>
              <w:jc w:val="center"/>
              <w:rPr>
                <w:rFonts w:ascii="宋体" w:hAnsi="宋体"/>
              </w:rPr>
            </w:pPr>
            <w:r>
              <w:rPr>
                <w:rFonts w:ascii="宋体" w:hAnsi="宋体" w:hint="eastAsia"/>
              </w:rPr>
              <w:t>……</w:t>
            </w:r>
          </w:p>
        </w:tc>
        <w:tc>
          <w:tcPr>
            <w:tcW w:w="5103" w:type="dxa"/>
            <w:tcBorders>
              <w:top w:val="single" w:sz="2" w:space="0" w:color="auto"/>
              <w:left w:val="single" w:sz="2" w:space="0" w:color="auto"/>
              <w:bottom w:val="single" w:sz="2" w:space="0" w:color="auto"/>
              <w:right w:val="single" w:sz="2" w:space="0" w:color="auto"/>
            </w:tcBorders>
            <w:vAlign w:val="center"/>
          </w:tcPr>
          <w:p w14:paraId="7321E275">
            <w:pPr>
              <w:spacing w:line="360" w:lineRule="auto"/>
              <w:jc w:val="center"/>
              <w:rPr>
                <w:rFonts w:ascii="宋体" w:hAnsi="宋体"/>
              </w:rPr>
            </w:pPr>
          </w:p>
        </w:tc>
      </w:tr>
    </w:tbl>
    <w:p w14:paraId="51E015F2">
      <w:pPr>
        <w:spacing w:line="360" w:lineRule="auto"/>
        <w:rPr>
          <w:rFonts w:ascii="宋体" w:hAnsi="宋体"/>
          <w:kern w:val="2"/>
        </w:rPr>
      </w:pPr>
    </w:p>
    <w:p w14:paraId="42415865">
      <w:pPr>
        <w:rPr>
          <w:rFonts w:ascii="宋体" w:hAnsi="宋体"/>
        </w:rPr>
      </w:pPr>
      <w:r>
        <w:rPr>
          <w:rFonts w:ascii="宋体" w:hAnsi="宋体" w:hint="eastAsia"/>
        </w:rPr>
        <w:br w:type="page"/>
      </w:r>
    </w:p>
    <w:p w14:paraId="4CC7EE5F">
      <w:pPr>
        <w:spacing w:line="360" w:lineRule="auto"/>
        <w:rPr>
          <w:rFonts w:ascii="宋体" w:hAnsi="宋体"/>
        </w:rPr>
      </w:pPr>
    </w:p>
    <w:p w14:paraId="64CB2ED9">
      <w:pPr>
        <w:pStyle w:val="Heading2"/>
        <w:rPr>
          <w:rFonts w:ascii="宋体" w:hAnsi="宋体"/>
          <w:sz w:val="24"/>
          <w:szCs w:val="24"/>
        </w:rPr>
      </w:pPr>
      <w:r>
        <w:rPr>
          <w:rFonts w:ascii="宋体" w:hAnsi="宋体" w:hint="eastAsia"/>
          <w:sz w:val="24"/>
          <w:szCs w:val="24"/>
        </w:rPr>
        <w:t>附表A-2：形式评审记录表</w:t>
      </w:r>
    </w:p>
    <w:p w14:paraId="5330242E">
      <w:pPr>
        <w:spacing w:line="360" w:lineRule="auto"/>
        <w:jc w:val="center"/>
        <w:rPr>
          <w:rFonts w:ascii="宋体" w:hAnsi="宋体"/>
          <w:b/>
          <w:lang w:eastAsia="zh-CN"/>
        </w:rPr>
      </w:pPr>
      <w:r>
        <w:rPr>
          <w:rFonts w:ascii="宋体" w:hAnsi="宋体" w:hint="eastAsia"/>
          <w:b/>
          <w:lang w:eastAsia="zh-CN"/>
        </w:rPr>
        <w:t>形式评审记录表</w:t>
      </w:r>
    </w:p>
    <w:p w14:paraId="3AAF9F72">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845"/>
        <w:gridCol w:w="1806"/>
        <w:gridCol w:w="610"/>
        <w:gridCol w:w="567"/>
        <w:gridCol w:w="708"/>
        <w:gridCol w:w="469"/>
        <w:gridCol w:w="704"/>
        <w:gridCol w:w="704"/>
        <w:gridCol w:w="704"/>
        <w:gridCol w:w="704"/>
        <w:gridCol w:w="701"/>
      </w:tblGrid>
      <w:tr w14:paraId="68A74B08">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c>
          <w:tcPr>
            <w:tcW w:w="845" w:type="dxa"/>
            <w:vMerge w:val="restart"/>
            <w:tcBorders>
              <w:top w:val="single" w:sz="2" w:space="0" w:color="auto"/>
              <w:left w:val="single" w:sz="2" w:space="0" w:color="auto"/>
              <w:bottom w:val="single" w:sz="2" w:space="0" w:color="auto"/>
              <w:right w:val="single" w:sz="2" w:space="0" w:color="auto"/>
            </w:tcBorders>
            <w:vAlign w:val="center"/>
          </w:tcPr>
          <w:p w14:paraId="45ADC4EE">
            <w:pPr>
              <w:spacing w:line="360" w:lineRule="auto"/>
              <w:jc w:val="center"/>
              <w:rPr>
                <w:rFonts w:ascii="宋体" w:hAnsi="宋体"/>
              </w:rPr>
            </w:pPr>
            <w:r>
              <w:rPr>
                <w:rFonts w:ascii="宋体" w:hAnsi="宋体" w:hint="eastAsia"/>
              </w:rPr>
              <w:t>序号</w:t>
            </w:r>
          </w:p>
        </w:tc>
        <w:tc>
          <w:tcPr>
            <w:tcW w:w="1806" w:type="dxa"/>
            <w:vMerge w:val="restart"/>
            <w:tcBorders>
              <w:top w:val="single" w:sz="2" w:space="0" w:color="auto"/>
              <w:left w:val="single" w:sz="2" w:space="0" w:color="auto"/>
              <w:bottom w:val="single" w:sz="2" w:space="0" w:color="auto"/>
              <w:right w:val="single" w:sz="2" w:space="0" w:color="auto"/>
            </w:tcBorders>
            <w:vAlign w:val="center"/>
          </w:tcPr>
          <w:p w14:paraId="2FA6E5BF">
            <w:pPr>
              <w:spacing w:line="360" w:lineRule="auto"/>
              <w:jc w:val="center"/>
              <w:rPr>
                <w:rFonts w:ascii="宋体" w:hAnsi="宋体"/>
              </w:rPr>
            </w:pPr>
            <w:r>
              <w:rPr>
                <w:rFonts w:ascii="宋体" w:hAnsi="宋体" w:hint="eastAsia"/>
              </w:rPr>
              <w:t>评审因素</w:t>
            </w:r>
          </w:p>
        </w:tc>
        <w:tc>
          <w:tcPr>
            <w:tcW w:w="5871" w:type="dxa"/>
            <w:gridSpan w:val="9"/>
            <w:tcBorders>
              <w:top w:val="single" w:sz="2" w:space="0" w:color="auto"/>
              <w:left w:val="single" w:sz="2" w:space="0" w:color="auto"/>
              <w:bottom w:val="single" w:sz="2" w:space="0" w:color="auto"/>
              <w:right w:val="single" w:sz="2" w:space="0" w:color="auto"/>
            </w:tcBorders>
            <w:vAlign w:val="center"/>
          </w:tcPr>
          <w:p w14:paraId="516BF874">
            <w:pPr>
              <w:spacing w:line="360" w:lineRule="auto"/>
              <w:jc w:val="center"/>
              <w:rPr>
                <w:rFonts w:ascii="宋体" w:hAnsi="宋体"/>
                <w:lang w:eastAsia="zh-CN"/>
              </w:rPr>
            </w:pPr>
            <w:r>
              <w:rPr>
                <w:rFonts w:ascii="宋体" w:hAnsi="宋体" w:hint="eastAsia"/>
                <w:lang w:eastAsia="zh-CN"/>
              </w:rPr>
              <w:t>投标人名称及评审意见</w:t>
            </w:r>
          </w:p>
        </w:tc>
      </w:tr>
      <w:tr w14:paraId="016D237D">
        <w:tblPrEx>
          <w:tblW w:w="0" w:type="auto"/>
          <w:tblInd w:w="0" w:type="dxa"/>
          <w:tblLayout w:type="fixed"/>
          <w:tblCellMar>
            <w:top w:w="0" w:type="dxa"/>
            <w:left w:w="108" w:type="dxa"/>
            <w:bottom w:w="0" w:type="dxa"/>
            <w:right w:w="108" w:type="dxa"/>
          </w:tblCellMar>
        </w:tblPrEx>
        <w:tc>
          <w:tcPr>
            <w:tcW w:w="845" w:type="dxa"/>
            <w:vMerge/>
            <w:tcBorders>
              <w:top w:val="single" w:sz="2" w:space="0" w:color="auto"/>
              <w:left w:val="single" w:sz="2" w:space="0" w:color="auto"/>
              <w:bottom w:val="single" w:sz="2" w:space="0" w:color="auto"/>
              <w:right w:val="single" w:sz="2" w:space="0" w:color="auto"/>
            </w:tcBorders>
            <w:vAlign w:val="center"/>
          </w:tcPr>
          <w:p w14:paraId="60A17CAF">
            <w:pPr>
              <w:rPr>
                <w:rFonts w:ascii="宋体" w:eastAsia="宋体" w:hAnsi="宋体"/>
                <w:kern w:val="2"/>
                <w:lang w:eastAsia="zh-CN"/>
              </w:rPr>
            </w:pPr>
          </w:p>
        </w:tc>
        <w:tc>
          <w:tcPr>
            <w:tcW w:w="1806" w:type="dxa"/>
            <w:vMerge/>
            <w:tcBorders>
              <w:top w:val="single" w:sz="2" w:space="0" w:color="auto"/>
              <w:left w:val="single" w:sz="2" w:space="0" w:color="auto"/>
              <w:bottom w:val="single" w:sz="2" w:space="0" w:color="auto"/>
              <w:right w:val="single" w:sz="2" w:space="0" w:color="auto"/>
            </w:tcBorders>
            <w:vAlign w:val="center"/>
          </w:tcPr>
          <w:p w14:paraId="65D23A84">
            <w:pPr>
              <w:rPr>
                <w:rFonts w:ascii="宋体" w:eastAsia="宋体" w:hAnsi="宋体"/>
                <w:kern w:val="2"/>
                <w:lang w:eastAsia="zh-CN"/>
              </w:rPr>
            </w:pPr>
          </w:p>
        </w:tc>
        <w:tc>
          <w:tcPr>
            <w:tcW w:w="610" w:type="dxa"/>
            <w:tcBorders>
              <w:top w:val="single" w:sz="2" w:space="0" w:color="auto"/>
              <w:left w:val="single" w:sz="2" w:space="0" w:color="auto"/>
              <w:bottom w:val="single" w:sz="2" w:space="0" w:color="auto"/>
              <w:right w:val="single" w:sz="2" w:space="0" w:color="auto"/>
            </w:tcBorders>
            <w:vAlign w:val="center"/>
          </w:tcPr>
          <w:p w14:paraId="6C48EE2B">
            <w:pPr>
              <w:spacing w:line="360" w:lineRule="auto"/>
              <w:jc w:val="center"/>
              <w:rPr>
                <w:rFonts w:ascii="宋体" w:hAnsi="宋体"/>
                <w:lang w:eastAsia="zh-CN"/>
              </w:rPr>
            </w:pPr>
          </w:p>
        </w:tc>
        <w:tc>
          <w:tcPr>
            <w:tcW w:w="567" w:type="dxa"/>
            <w:tcBorders>
              <w:top w:val="single" w:sz="2" w:space="0" w:color="auto"/>
              <w:left w:val="single" w:sz="2" w:space="0" w:color="auto"/>
              <w:bottom w:val="single" w:sz="2" w:space="0" w:color="auto"/>
              <w:right w:val="single" w:sz="2" w:space="0" w:color="auto"/>
            </w:tcBorders>
            <w:vAlign w:val="center"/>
          </w:tcPr>
          <w:p w14:paraId="7FCC5E1B">
            <w:pPr>
              <w:spacing w:line="360" w:lineRule="auto"/>
              <w:jc w:val="center"/>
              <w:rPr>
                <w:rFonts w:ascii="宋体" w:hAnsi="宋体"/>
                <w:lang w:eastAsia="zh-CN"/>
              </w:rPr>
            </w:pPr>
          </w:p>
        </w:tc>
        <w:tc>
          <w:tcPr>
            <w:tcW w:w="708" w:type="dxa"/>
            <w:tcBorders>
              <w:top w:val="single" w:sz="2" w:space="0" w:color="auto"/>
              <w:left w:val="single" w:sz="2" w:space="0" w:color="auto"/>
              <w:bottom w:val="single" w:sz="2" w:space="0" w:color="auto"/>
              <w:right w:val="single" w:sz="2" w:space="0" w:color="auto"/>
            </w:tcBorders>
            <w:vAlign w:val="center"/>
          </w:tcPr>
          <w:p w14:paraId="3D951F1E">
            <w:pPr>
              <w:spacing w:line="360" w:lineRule="auto"/>
              <w:jc w:val="center"/>
              <w:rPr>
                <w:rFonts w:ascii="宋体" w:hAnsi="宋体"/>
                <w:lang w:eastAsia="zh-CN"/>
              </w:rPr>
            </w:pPr>
          </w:p>
        </w:tc>
        <w:tc>
          <w:tcPr>
            <w:tcW w:w="469" w:type="dxa"/>
            <w:tcBorders>
              <w:top w:val="single" w:sz="2" w:space="0" w:color="auto"/>
              <w:left w:val="single" w:sz="2" w:space="0" w:color="auto"/>
              <w:bottom w:val="single" w:sz="2" w:space="0" w:color="auto"/>
              <w:right w:val="single" w:sz="2" w:space="0" w:color="auto"/>
            </w:tcBorders>
            <w:vAlign w:val="center"/>
          </w:tcPr>
          <w:p w14:paraId="03ED4C8C">
            <w:pPr>
              <w:spacing w:line="360" w:lineRule="auto"/>
              <w:jc w:val="center"/>
              <w:rPr>
                <w:rFonts w:ascii="宋体" w:hAnsi="宋体"/>
                <w:lang w:eastAsia="zh-CN"/>
              </w:rPr>
            </w:pPr>
          </w:p>
        </w:tc>
        <w:tc>
          <w:tcPr>
            <w:tcW w:w="704" w:type="dxa"/>
            <w:tcBorders>
              <w:top w:val="single" w:sz="2" w:space="0" w:color="auto"/>
              <w:left w:val="single" w:sz="2" w:space="0" w:color="auto"/>
              <w:bottom w:val="single" w:sz="2" w:space="0" w:color="auto"/>
              <w:right w:val="single" w:sz="2" w:space="0" w:color="auto"/>
            </w:tcBorders>
            <w:vAlign w:val="center"/>
          </w:tcPr>
          <w:p w14:paraId="7AF07B44">
            <w:pPr>
              <w:spacing w:line="360" w:lineRule="auto"/>
              <w:jc w:val="center"/>
              <w:rPr>
                <w:rFonts w:ascii="宋体" w:hAnsi="宋体"/>
                <w:lang w:eastAsia="zh-CN"/>
              </w:rPr>
            </w:pPr>
          </w:p>
        </w:tc>
        <w:tc>
          <w:tcPr>
            <w:tcW w:w="704" w:type="dxa"/>
            <w:tcBorders>
              <w:top w:val="single" w:sz="2" w:space="0" w:color="auto"/>
              <w:left w:val="single" w:sz="2" w:space="0" w:color="auto"/>
              <w:bottom w:val="single" w:sz="2" w:space="0" w:color="auto"/>
              <w:right w:val="single" w:sz="2" w:space="0" w:color="auto"/>
            </w:tcBorders>
            <w:vAlign w:val="center"/>
          </w:tcPr>
          <w:p w14:paraId="60C8ED64">
            <w:pPr>
              <w:spacing w:line="360" w:lineRule="auto"/>
              <w:jc w:val="center"/>
              <w:rPr>
                <w:rFonts w:ascii="宋体" w:hAnsi="宋体"/>
                <w:lang w:eastAsia="zh-CN"/>
              </w:rPr>
            </w:pPr>
          </w:p>
        </w:tc>
        <w:tc>
          <w:tcPr>
            <w:tcW w:w="704" w:type="dxa"/>
            <w:tcBorders>
              <w:top w:val="single" w:sz="2" w:space="0" w:color="auto"/>
              <w:left w:val="single" w:sz="2" w:space="0" w:color="auto"/>
              <w:bottom w:val="single" w:sz="2" w:space="0" w:color="auto"/>
              <w:right w:val="single" w:sz="2" w:space="0" w:color="auto"/>
            </w:tcBorders>
            <w:vAlign w:val="center"/>
          </w:tcPr>
          <w:p w14:paraId="5B1D24F8">
            <w:pPr>
              <w:spacing w:line="360" w:lineRule="auto"/>
              <w:jc w:val="center"/>
              <w:rPr>
                <w:rFonts w:ascii="宋体" w:hAnsi="宋体"/>
                <w:lang w:eastAsia="zh-CN"/>
              </w:rPr>
            </w:pPr>
          </w:p>
        </w:tc>
        <w:tc>
          <w:tcPr>
            <w:tcW w:w="704" w:type="dxa"/>
            <w:tcBorders>
              <w:top w:val="single" w:sz="2" w:space="0" w:color="auto"/>
              <w:left w:val="single" w:sz="2" w:space="0" w:color="auto"/>
              <w:bottom w:val="single" w:sz="2" w:space="0" w:color="auto"/>
              <w:right w:val="single" w:sz="2" w:space="0" w:color="auto"/>
            </w:tcBorders>
            <w:vAlign w:val="center"/>
          </w:tcPr>
          <w:p w14:paraId="1A70CCED">
            <w:pPr>
              <w:spacing w:line="360" w:lineRule="auto"/>
              <w:jc w:val="center"/>
              <w:rPr>
                <w:rFonts w:ascii="宋体" w:hAnsi="宋体"/>
                <w:lang w:eastAsia="zh-CN"/>
              </w:rPr>
            </w:pPr>
          </w:p>
        </w:tc>
        <w:tc>
          <w:tcPr>
            <w:tcW w:w="701" w:type="dxa"/>
            <w:tcBorders>
              <w:top w:val="single" w:sz="2" w:space="0" w:color="auto"/>
              <w:left w:val="single" w:sz="2" w:space="0" w:color="auto"/>
              <w:bottom w:val="single" w:sz="2" w:space="0" w:color="auto"/>
              <w:right w:val="single" w:sz="2" w:space="0" w:color="auto"/>
            </w:tcBorders>
            <w:vAlign w:val="center"/>
          </w:tcPr>
          <w:p w14:paraId="319D86F8">
            <w:pPr>
              <w:spacing w:line="360" w:lineRule="auto"/>
              <w:jc w:val="center"/>
              <w:rPr>
                <w:rFonts w:ascii="宋体" w:hAnsi="宋体"/>
                <w:lang w:eastAsia="zh-CN"/>
              </w:rPr>
            </w:pPr>
          </w:p>
        </w:tc>
      </w:tr>
      <w:tr w14:paraId="332234F0">
        <w:tblPrEx>
          <w:tblW w:w="0" w:type="auto"/>
          <w:tblInd w:w="0" w:type="dxa"/>
          <w:tblLayout w:type="fixed"/>
          <w:tblCellMar>
            <w:top w:w="0" w:type="dxa"/>
            <w:left w:w="108" w:type="dxa"/>
            <w:bottom w:w="0" w:type="dxa"/>
            <w:right w:w="108" w:type="dxa"/>
          </w:tblCellMar>
        </w:tblPrEx>
        <w:tc>
          <w:tcPr>
            <w:tcW w:w="845" w:type="dxa"/>
            <w:tcBorders>
              <w:top w:val="single" w:sz="2" w:space="0" w:color="auto"/>
              <w:left w:val="single" w:sz="2" w:space="0" w:color="auto"/>
              <w:bottom w:val="single" w:sz="2" w:space="0" w:color="auto"/>
              <w:right w:val="single" w:sz="2" w:space="0" w:color="auto"/>
            </w:tcBorders>
            <w:vAlign w:val="center"/>
          </w:tcPr>
          <w:p w14:paraId="2374DA7D">
            <w:pPr>
              <w:spacing w:line="360" w:lineRule="auto"/>
              <w:jc w:val="center"/>
              <w:rPr>
                <w:rFonts w:ascii="宋体" w:hAnsi="宋体"/>
              </w:rPr>
            </w:pPr>
            <w:r>
              <w:rPr>
                <w:rFonts w:ascii="宋体" w:hAnsi="宋体" w:hint="eastAsia"/>
              </w:rPr>
              <w:t>1</w:t>
            </w:r>
          </w:p>
        </w:tc>
        <w:tc>
          <w:tcPr>
            <w:tcW w:w="1806" w:type="dxa"/>
            <w:tcBorders>
              <w:top w:val="single" w:sz="2" w:space="0" w:color="auto"/>
              <w:left w:val="single" w:sz="2" w:space="0" w:color="auto"/>
              <w:bottom w:val="single" w:sz="2" w:space="0" w:color="auto"/>
              <w:right w:val="single" w:sz="2" w:space="0" w:color="auto"/>
            </w:tcBorders>
            <w:vAlign w:val="center"/>
          </w:tcPr>
          <w:p w14:paraId="30CF243D">
            <w:pPr>
              <w:spacing w:line="360" w:lineRule="auto"/>
              <w:jc w:val="center"/>
              <w:rPr>
                <w:rFonts w:ascii="宋体" w:hAnsi="宋体"/>
              </w:rPr>
            </w:pPr>
            <w:r>
              <w:rPr>
                <w:rFonts w:ascii="宋体" w:hAnsi="宋体" w:hint="eastAsia"/>
              </w:rPr>
              <w:t>投标人名称</w:t>
            </w:r>
          </w:p>
        </w:tc>
        <w:tc>
          <w:tcPr>
            <w:tcW w:w="610" w:type="dxa"/>
            <w:tcBorders>
              <w:top w:val="single" w:sz="2" w:space="0" w:color="auto"/>
              <w:left w:val="single" w:sz="2" w:space="0" w:color="auto"/>
              <w:bottom w:val="single" w:sz="2" w:space="0" w:color="auto"/>
              <w:right w:val="single" w:sz="2" w:space="0" w:color="auto"/>
            </w:tcBorders>
            <w:vAlign w:val="center"/>
          </w:tcPr>
          <w:p w14:paraId="11E504AD">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094A8F84">
            <w:pPr>
              <w:spacing w:line="360" w:lineRule="auto"/>
              <w:jc w:val="center"/>
              <w:rPr>
                <w:rFonts w:ascii="宋体" w:hAnsi="宋体"/>
              </w:rPr>
            </w:pPr>
          </w:p>
        </w:tc>
        <w:tc>
          <w:tcPr>
            <w:tcW w:w="708" w:type="dxa"/>
            <w:tcBorders>
              <w:top w:val="single" w:sz="2" w:space="0" w:color="auto"/>
              <w:left w:val="single" w:sz="2" w:space="0" w:color="auto"/>
              <w:bottom w:val="single" w:sz="2" w:space="0" w:color="auto"/>
              <w:right w:val="single" w:sz="2" w:space="0" w:color="auto"/>
            </w:tcBorders>
            <w:vAlign w:val="center"/>
          </w:tcPr>
          <w:p w14:paraId="197E57C8">
            <w:pPr>
              <w:spacing w:line="360" w:lineRule="auto"/>
              <w:jc w:val="center"/>
              <w:rPr>
                <w:rFonts w:ascii="宋体" w:hAnsi="宋体"/>
              </w:rPr>
            </w:pPr>
          </w:p>
        </w:tc>
        <w:tc>
          <w:tcPr>
            <w:tcW w:w="469" w:type="dxa"/>
            <w:tcBorders>
              <w:top w:val="single" w:sz="2" w:space="0" w:color="auto"/>
              <w:left w:val="single" w:sz="2" w:space="0" w:color="auto"/>
              <w:bottom w:val="single" w:sz="2" w:space="0" w:color="auto"/>
              <w:right w:val="single" w:sz="2" w:space="0" w:color="auto"/>
            </w:tcBorders>
            <w:vAlign w:val="center"/>
          </w:tcPr>
          <w:p w14:paraId="1FA9A04E">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41AF4696">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03198B82">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12DE4031">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08ED11D1">
            <w:pPr>
              <w:spacing w:line="360" w:lineRule="auto"/>
              <w:jc w:val="center"/>
              <w:rPr>
                <w:rFonts w:ascii="宋体" w:hAnsi="宋体"/>
              </w:rPr>
            </w:pPr>
          </w:p>
        </w:tc>
        <w:tc>
          <w:tcPr>
            <w:tcW w:w="701" w:type="dxa"/>
            <w:tcBorders>
              <w:top w:val="single" w:sz="2" w:space="0" w:color="auto"/>
              <w:left w:val="single" w:sz="2" w:space="0" w:color="auto"/>
              <w:bottom w:val="single" w:sz="2" w:space="0" w:color="auto"/>
              <w:right w:val="single" w:sz="2" w:space="0" w:color="auto"/>
            </w:tcBorders>
            <w:vAlign w:val="center"/>
          </w:tcPr>
          <w:p w14:paraId="43F1D3B6">
            <w:pPr>
              <w:spacing w:line="360" w:lineRule="auto"/>
              <w:jc w:val="center"/>
              <w:rPr>
                <w:rFonts w:ascii="宋体" w:hAnsi="宋体"/>
              </w:rPr>
            </w:pPr>
          </w:p>
        </w:tc>
      </w:tr>
      <w:tr w14:paraId="273F31DB">
        <w:tblPrEx>
          <w:tblW w:w="0" w:type="auto"/>
          <w:tblInd w:w="0" w:type="dxa"/>
          <w:tblLayout w:type="fixed"/>
          <w:tblCellMar>
            <w:top w:w="0" w:type="dxa"/>
            <w:left w:w="108" w:type="dxa"/>
            <w:bottom w:w="0" w:type="dxa"/>
            <w:right w:w="108" w:type="dxa"/>
          </w:tblCellMar>
        </w:tblPrEx>
        <w:tc>
          <w:tcPr>
            <w:tcW w:w="845" w:type="dxa"/>
            <w:tcBorders>
              <w:top w:val="single" w:sz="2" w:space="0" w:color="auto"/>
              <w:left w:val="single" w:sz="2" w:space="0" w:color="auto"/>
              <w:bottom w:val="single" w:sz="2" w:space="0" w:color="auto"/>
              <w:right w:val="single" w:sz="2" w:space="0" w:color="auto"/>
            </w:tcBorders>
            <w:vAlign w:val="center"/>
          </w:tcPr>
          <w:p w14:paraId="22385E63">
            <w:pPr>
              <w:spacing w:line="360" w:lineRule="auto"/>
              <w:jc w:val="center"/>
              <w:rPr>
                <w:rFonts w:ascii="宋体" w:hAnsi="宋体"/>
              </w:rPr>
            </w:pPr>
            <w:r>
              <w:rPr>
                <w:rFonts w:ascii="宋体" w:hAnsi="宋体" w:hint="eastAsia"/>
              </w:rPr>
              <w:t>2</w:t>
            </w:r>
          </w:p>
        </w:tc>
        <w:tc>
          <w:tcPr>
            <w:tcW w:w="1806" w:type="dxa"/>
            <w:tcBorders>
              <w:top w:val="single" w:sz="2" w:space="0" w:color="auto"/>
              <w:left w:val="single" w:sz="2" w:space="0" w:color="auto"/>
              <w:bottom w:val="single" w:sz="2" w:space="0" w:color="auto"/>
              <w:right w:val="single" w:sz="2" w:space="0" w:color="auto"/>
            </w:tcBorders>
            <w:vAlign w:val="center"/>
          </w:tcPr>
          <w:p w14:paraId="68D04B23">
            <w:pPr>
              <w:spacing w:line="360" w:lineRule="auto"/>
              <w:jc w:val="center"/>
              <w:rPr>
                <w:rFonts w:ascii="宋体" w:hAnsi="宋体"/>
              </w:rPr>
            </w:pPr>
            <w:r>
              <w:rPr>
                <w:rFonts w:ascii="宋体" w:hAnsi="宋体" w:hint="eastAsia"/>
              </w:rPr>
              <w:t>投标文件格式</w:t>
            </w:r>
          </w:p>
        </w:tc>
        <w:tc>
          <w:tcPr>
            <w:tcW w:w="610" w:type="dxa"/>
            <w:tcBorders>
              <w:top w:val="single" w:sz="2" w:space="0" w:color="auto"/>
              <w:left w:val="single" w:sz="2" w:space="0" w:color="auto"/>
              <w:bottom w:val="single" w:sz="2" w:space="0" w:color="auto"/>
              <w:right w:val="single" w:sz="2" w:space="0" w:color="auto"/>
            </w:tcBorders>
            <w:vAlign w:val="center"/>
          </w:tcPr>
          <w:p w14:paraId="2497181C">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38190ECA">
            <w:pPr>
              <w:spacing w:line="360" w:lineRule="auto"/>
              <w:jc w:val="center"/>
              <w:rPr>
                <w:rFonts w:ascii="宋体" w:hAnsi="宋体"/>
              </w:rPr>
            </w:pPr>
          </w:p>
        </w:tc>
        <w:tc>
          <w:tcPr>
            <w:tcW w:w="708" w:type="dxa"/>
            <w:tcBorders>
              <w:top w:val="single" w:sz="2" w:space="0" w:color="auto"/>
              <w:left w:val="single" w:sz="2" w:space="0" w:color="auto"/>
              <w:bottom w:val="single" w:sz="2" w:space="0" w:color="auto"/>
              <w:right w:val="single" w:sz="2" w:space="0" w:color="auto"/>
            </w:tcBorders>
            <w:vAlign w:val="center"/>
          </w:tcPr>
          <w:p w14:paraId="243D74F0">
            <w:pPr>
              <w:spacing w:line="360" w:lineRule="auto"/>
              <w:jc w:val="center"/>
              <w:rPr>
                <w:rFonts w:ascii="宋体" w:hAnsi="宋体"/>
              </w:rPr>
            </w:pPr>
          </w:p>
        </w:tc>
        <w:tc>
          <w:tcPr>
            <w:tcW w:w="469" w:type="dxa"/>
            <w:tcBorders>
              <w:top w:val="single" w:sz="2" w:space="0" w:color="auto"/>
              <w:left w:val="single" w:sz="2" w:space="0" w:color="auto"/>
              <w:bottom w:val="single" w:sz="2" w:space="0" w:color="auto"/>
              <w:right w:val="single" w:sz="2" w:space="0" w:color="auto"/>
            </w:tcBorders>
            <w:vAlign w:val="center"/>
          </w:tcPr>
          <w:p w14:paraId="08693888">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2A0336EB">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7A0B2F60">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4CE17CCC">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4B341A92">
            <w:pPr>
              <w:spacing w:line="360" w:lineRule="auto"/>
              <w:jc w:val="center"/>
              <w:rPr>
                <w:rFonts w:ascii="宋体" w:hAnsi="宋体"/>
              </w:rPr>
            </w:pPr>
          </w:p>
        </w:tc>
        <w:tc>
          <w:tcPr>
            <w:tcW w:w="701" w:type="dxa"/>
            <w:tcBorders>
              <w:top w:val="single" w:sz="2" w:space="0" w:color="auto"/>
              <w:left w:val="single" w:sz="2" w:space="0" w:color="auto"/>
              <w:bottom w:val="single" w:sz="2" w:space="0" w:color="auto"/>
              <w:right w:val="single" w:sz="2" w:space="0" w:color="auto"/>
            </w:tcBorders>
            <w:vAlign w:val="center"/>
          </w:tcPr>
          <w:p w14:paraId="2C08A4B2">
            <w:pPr>
              <w:spacing w:line="360" w:lineRule="auto"/>
              <w:jc w:val="center"/>
              <w:rPr>
                <w:rFonts w:ascii="宋体" w:hAnsi="宋体"/>
              </w:rPr>
            </w:pPr>
          </w:p>
        </w:tc>
      </w:tr>
      <w:tr w14:paraId="31028C64">
        <w:tblPrEx>
          <w:tblW w:w="0" w:type="auto"/>
          <w:tblInd w:w="0" w:type="dxa"/>
          <w:tblLayout w:type="fixed"/>
          <w:tblCellMar>
            <w:top w:w="0" w:type="dxa"/>
            <w:left w:w="108" w:type="dxa"/>
            <w:bottom w:w="0" w:type="dxa"/>
            <w:right w:w="108" w:type="dxa"/>
          </w:tblCellMar>
        </w:tblPrEx>
        <w:tc>
          <w:tcPr>
            <w:tcW w:w="845" w:type="dxa"/>
            <w:tcBorders>
              <w:top w:val="single" w:sz="2" w:space="0" w:color="auto"/>
              <w:left w:val="single" w:sz="2" w:space="0" w:color="auto"/>
              <w:bottom w:val="single" w:sz="2" w:space="0" w:color="auto"/>
              <w:right w:val="single" w:sz="2" w:space="0" w:color="auto"/>
            </w:tcBorders>
            <w:vAlign w:val="center"/>
          </w:tcPr>
          <w:p w14:paraId="169BF445">
            <w:pPr>
              <w:spacing w:line="360" w:lineRule="auto"/>
              <w:jc w:val="center"/>
              <w:rPr>
                <w:rFonts w:ascii="宋体" w:hAnsi="宋体"/>
              </w:rPr>
            </w:pPr>
            <w:r>
              <w:rPr>
                <w:rFonts w:ascii="宋体" w:hAnsi="宋体" w:hint="eastAsia"/>
              </w:rPr>
              <w:t>3</w:t>
            </w:r>
          </w:p>
        </w:tc>
        <w:tc>
          <w:tcPr>
            <w:tcW w:w="1806" w:type="dxa"/>
            <w:tcBorders>
              <w:top w:val="single" w:sz="2" w:space="0" w:color="auto"/>
              <w:left w:val="single" w:sz="2" w:space="0" w:color="auto"/>
              <w:bottom w:val="single" w:sz="2" w:space="0" w:color="auto"/>
              <w:right w:val="single" w:sz="2" w:space="0" w:color="auto"/>
            </w:tcBorders>
            <w:vAlign w:val="center"/>
          </w:tcPr>
          <w:p w14:paraId="7C326023">
            <w:pPr>
              <w:spacing w:line="360" w:lineRule="auto"/>
              <w:jc w:val="center"/>
              <w:rPr>
                <w:rFonts w:ascii="宋体" w:hAnsi="宋体"/>
              </w:rPr>
            </w:pPr>
            <w:r>
              <w:rPr>
                <w:rFonts w:ascii="宋体" w:hAnsi="宋体" w:hint="eastAsia"/>
              </w:rPr>
              <w:t>签字、盖章</w:t>
            </w:r>
          </w:p>
        </w:tc>
        <w:tc>
          <w:tcPr>
            <w:tcW w:w="610" w:type="dxa"/>
            <w:tcBorders>
              <w:top w:val="single" w:sz="2" w:space="0" w:color="auto"/>
              <w:left w:val="single" w:sz="2" w:space="0" w:color="auto"/>
              <w:bottom w:val="single" w:sz="2" w:space="0" w:color="auto"/>
              <w:right w:val="single" w:sz="2" w:space="0" w:color="auto"/>
            </w:tcBorders>
            <w:vAlign w:val="center"/>
          </w:tcPr>
          <w:p w14:paraId="251014A2">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568CB19B">
            <w:pPr>
              <w:spacing w:line="360" w:lineRule="auto"/>
              <w:jc w:val="center"/>
              <w:rPr>
                <w:rFonts w:ascii="宋体" w:hAnsi="宋体"/>
              </w:rPr>
            </w:pPr>
          </w:p>
        </w:tc>
        <w:tc>
          <w:tcPr>
            <w:tcW w:w="708" w:type="dxa"/>
            <w:tcBorders>
              <w:top w:val="single" w:sz="2" w:space="0" w:color="auto"/>
              <w:left w:val="single" w:sz="2" w:space="0" w:color="auto"/>
              <w:bottom w:val="single" w:sz="2" w:space="0" w:color="auto"/>
              <w:right w:val="single" w:sz="2" w:space="0" w:color="auto"/>
            </w:tcBorders>
            <w:vAlign w:val="center"/>
          </w:tcPr>
          <w:p w14:paraId="77E88590">
            <w:pPr>
              <w:spacing w:line="360" w:lineRule="auto"/>
              <w:jc w:val="center"/>
              <w:rPr>
                <w:rFonts w:ascii="宋体" w:hAnsi="宋体"/>
              </w:rPr>
            </w:pPr>
          </w:p>
        </w:tc>
        <w:tc>
          <w:tcPr>
            <w:tcW w:w="469" w:type="dxa"/>
            <w:tcBorders>
              <w:top w:val="single" w:sz="2" w:space="0" w:color="auto"/>
              <w:left w:val="single" w:sz="2" w:space="0" w:color="auto"/>
              <w:bottom w:val="single" w:sz="2" w:space="0" w:color="auto"/>
              <w:right w:val="single" w:sz="2" w:space="0" w:color="auto"/>
            </w:tcBorders>
            <w:vAlign w:val="center"/>
          </w:tcPr>
          <w:p w14:paraId="5FB46A50">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2AC78545">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3B00A1A4">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2DC5DDD6">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5E708E8D">
            <w:pPr>
              <w:spacing w:line="360" w:lineRule="auto"/>
              <w:jc w:val="center"/>
              <w:rPr>
                <w:rFonts w:ascii="宋体" w:hAnsi="宋体"/>
              </w:rPr>
            </w:pPr>
          </w:p>
        </w:tc>
        <w:tc>
          <w:tcPr>
            <w:tcW w:w="701" w:type="dxa"/>
            <w:tcBorders>
              <w:top w:val="single" w:sz="2" w:space="0" w:color="auto"/>
              <w:left w:val="single" w:sz="2" w:space="0" w:color="auto"/>
              <w:bottom w:val="single" w:sz="2" w:space="0" w:color="auto"/>
              <w:right w:val="single" w:sz="2" w:space="0" w:color="auto"/>
            </w:tcBorders>
            <w:vAlign w:val="center"/>
          </w:tcPr>
          <w:p w14:paraId="16C0AB59">
            <w:pPr>
              <w:spacing w:line="360" w:lineRule="auto"/>
              <w:jc w:val="center"/>
              <w:rPr>
                <w:rFonts w:ascii="宋体" w:hAnsi="宋体"/>
              </w:rPr>
            </w:pPr>
          </w:p>
        </w:tc>
      </w:tr>
      <w:tr w14:paraId="37CE0BE8">
        <w:tblPrEx>
          <w:tblW w:w="0" w:type="auto"/>
          <w:tblInd w:w="0" w:type="dxa"/>
          <w:tblLayout w:type="fixed"/>
          <w:tblCellMar>
            <w:top w:w="0" w:type="dxa"/>
            <w:left w:w="108" w:type="dxa"/>
            <w:bottom w:w="0" w:type="dxa"/>
            <w:right w:w="108" w:type="dxa"/>
          </w:tblCellMar>
        </w:tblPrEx>
        <w:tc>
          <w:tcPr>
            <w:tcW w:w="845" w:type="dxa"/>
            <w:tcBorders>
              <w:top w:val="single" w:sz="2" w:space="0" w:color="auto"/>
              <w:left w:val="single" w:sz="2" w:space="0" w:color="auto"/>
              <w:bottom w:val="single" w:sz="2" w:space="0" w:color="auto"/>
              <w:right w:val="single" w:sz="2" w:space="0" w:color="auto"/>
            </w:tcBorders>
            <w:vAlign w:val="center"/>
          </w:tcPr>
          <w:p w14:paraId="39403F39">
            <w:pPr>
              <w:spacing w:line="360" w:lineRule="auto"/>
              <w:jc w:val="center"/>
              <w:rPr>
                <w:rFonts w:ascii="宋体" w:hAnsi="宋体"/>
              </w:rPr>
            </w:pPr>
            <w:r>
              <w:rPr>
                <w:rFonts w:ascii="宋体" w:hAnsi="宋体" w:hint="eastAsia"/>
              </w:rPr>
              <w:t>4</w:t>
            </w:r>
          </w:p>
        </w:tc>
        <w:tc>
          <w:tcPr>
            <w:tcW w:w="1806" w:type="dxa"/>
            <w:tcBorders>
              <w:top w:val="single" w:sz="2" w:space="0" w:color="auto"/>
              <w:left w:val="single" w:sz="2" w:space="0" w:color="auto"/>
              <w:bottom w:val="single" w:sz="2" w:space="0" w:color="auto"/>
              <w:right w:val="single" w:sz="2" w:space="0" w:color="auto"/>
            </w:tcBorders>
            <w:vAlign w:val="center"/>
          </w:tcPr>
          <w:p w14:paraId="3C3F0825">
            <w:pPr>
              <w:spacing w:line="360" w:lineRule="auto"/>
              <w:jc w:val="center"/>
              <w:rPr>
                <w:rFonts w:ascii="宋体" w:hAnsi="宋体"/>
              </w:rPr>
            </w:pPr>
            <w:r>
              <w:rPr>
                <w:rFonts w:ascii="宋体" w:hAnsi="宋体" w:hint="eastAsia"/>
              </w:rPr>
              <w:t>联合体投标人</w:t>
            </w:r>
          </w:p>
        </w:tc>
        <w:tc>
          <w:tcPr>
            <w:tcW w:w="610" w:type="dxa"/>
            <w:tcBorders>
              <w:top w:val="single" w:sz="2" w:space="0" w:color="auto"/>
              <w:left w:val="single" w:sz="2" w:space="0" w:color="auto"/>
              <w:bottom w:val="single" w:sz="2" w:space="0" w:color="auto"/>
              <w:right w:val="single" w:sz="2" w:space="0" w:color="auto"/>
            </w:tcBorders>
            <w:vAlign w:val="center"/>
          </w:tcPr>
          <w:p w14:paraId="07729974">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67DEF107">
            <w:pPr>
              <w:spacing w:line="360" w:lineRule="auto"/>
              <w:jc w:val="center"/>
              <w:rPr>
                <w:rFonts w:ascii="宋体" w:hAnsi="宋体"/>
              </w:rPr>
            </w:pPr>
          </w:p>
        </w:tc>
        <w:tc>
          <w:tcPr>
            <w:tcW w:w="708" w:type="dxa"/>
            <w:tcBorders>
              <w:top w:val="single" w:sz="2" w:space="0" w:color="auto"/>
              <w:left w:val="single" w:sz="2" w:space="0" w:color="auto"/>
              <w:bottom w:val="single" w:sz="2" w:space="0" w:color="auto"/>
              <w:right w:val="single" w:sz="2" w:space="0" w:color="auto"/>
            </w:tcBorders>
            <w:vAlign w:val="center"/>
          </w:tcPr>
          <w:p w14:paraId="00FBDDDC">
            <w:pPr>
              <w:spacing w:line="360" w:lineRule="auto"/>
              <w:jc w:val="center"/>
              <w:rPr>
                <w:rFonts w:ascii="宋体" w:hAnsi="宋体"/>
              </w:rPr>
            </w:pPr>
          </w:p>
        </w:tc>
        <w:tc>
          <w:tcPr>
            <w:tcW w:w="469" w:type="dxa"/>
            <w:tcBorders>
              <w:top w:val="single" w:sz="2" w:space="0" w:color="auto"/>
              <w:left w:val="single" w:sz="2" w:space="0" w:color="auto"/>
              <w:bottom w:val="single" w:sz="2" w:space="0" w:color="auto"/>
              <w:right w:val="single" w:sz="2" w:space="0" w:color="auto"/>
            </w:tcBorders>
            <w:vAlign w:val="center"/>
          </w:tcPr>
          <w:p w14:paraId="79D39634">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6463CBB5">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5E8F60FD">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09E9A195">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5E349D93">
            <w:pPr>
              <w:spacing w:line="360" w:lineRule="auto"/>
              <w:jc w:val="center"/>
              <w:rPr>
                <w:rFonts w:ascii="宋体" w:hAnsi="宋体"/>
              </w:rPr>
            </w:pPr>
          </w:p>
        </w:tc>
        <w:tc>
          <w:tcPr>
            <w:tcW w:w="701" w:type="dxa"/>
            <w:tcBorders>
              <w:top w:val="single" w:sz="2" w:space="0" w:color="auto"/>
              <w:left w:val="single" w:sz="2" w:space="0" w:color="auto"/>
              <w:bottom w:val="single" w:sz="2" w:space="0" w:color="auto"/>
              <w:right w:val="single" w:sz="2" w:space="0" w:color="auto"/>
            </w:tcBorders>
            <w:vAlign w:val="center"/>
          </w:tcPr>
          <w:p w14:paraId="5AEA93B0">
            <w:pPr>
              <w:spacing w:line="360" w:lineRule="auto"/>
              <w:jc w:val="center"/>
              <w:rPr>
                <w:rFonts w:ascii="宋体" w:hAnsi="宋体"/>
              </w:rPr>
            </w:pPr>
          </w:p>
        </w:tc>
      </w:tr>
      <w:tr w14:paraId="324D263A">
        <w:tblPrEx>
          <w:tblW w:w="0" w:type="auto"/>
          <w:tblInd w:w="0" w:type="dxa"/>
          <w:tblLayout w:type="fixed"/>
          <w:tblCellMar>
            <w:top w:w="0" w:type="dxa"/>
            <w:left w:w="108" w:type="dxa"/>
            <w:bottom w:w="0" w:type="dxa"/>
            <w:right w:w="108" w:type="dxa"/>
          </w:tblCellMar>
        </w:tblPrEx>
        <w:tc>
          <w:tcPr>
            <w:tcW w:w="845" w:type="dxa"/>
            <w:tcBorders>
              <w:top w:val="single" w:sz="2" w:space="0" w:color="auto"/>
              <w:left w:val="single" w:sz="2" w:space="0" w:color="auto"/>
              <w:bottom w:val="single" w:sz="2" w:space="0" w:color="auto"/>
              <w:right w:val="single" w:sz="2" w:space="0" w:color="auto"/>
            </w:tcBorders>
            <w:vAlign w:val="center"/>
          </w:tcPr>
          <w:p w14:paraId="040D9122">
            <w:pPr>
              <w:spacing w:line="360" w:lineRule="auto"/>
              <w:jc w:val="center"/>
              <w:rPr>
                <w:rFonts w:ascii="宋体" w:hAnsi="宋体"/>
              </w:rPr>
            </w:pPr>
            <w:r>
              <w:rPr>
                <w:rFonts w:ascii="宋体" w:hAnsi="宋体" w:hint="eastAsia"/>
              </w:rPr>
              <w:t>5</w:t>
            </w:r>
          </w:p>
        </w:tc>
        <w:tc>
          <w:tcPr>
            <w:tcW w:w="1806" w:type="dxa"/>
            <w:tcBorders>
              <w:top w:val="single" w:sz="2" w:space="0" w:color="auto"/>
              <w:left w:val="single" w:sz="2" w:space="0" w:color="auto"/>
              <w:bottom w:val="single" w:sz="2" w:space="0" w:color="auto"/>
              <w:right w:val="single" w:sz="2" w:space="0" w:color="auto"/>
            </w:tcBorders>
            <w:vAlign w:val="center"/>
          </w:tcPr>
          <w:p w14:paraId="5168BAD5">
            <w:pPr>
              <w:spacing w:line="360" w:lineRule="auto"/>
              <w:jc w:val="center"/>
              <w:rPr>
                <w:rFonts w:ascii="宋体" w:hAnsi="宋体"/>
              </w:rPr>
            </w:pPr>
            <w:r>
              <w:rPr>
                <w:rFonts w:ascii="宋体" w:hAnsi="宋体" w:hint="eastAsia"/>
              </w:rPr>
              <w:t>报价唯一</w:t>
            </w:r>
          </w:p>
        </w:tc>
        <w:tc>
          <w:tcPr>
            <w:tcW w:w="610" w:type="dxa"/>
            <w:tcBorders>
              <w:top w:val="single" w:sz="2" w:space="0" w:color="auto"/>
              <w:left w:val="single" w:sz="2" w:space="0" w:color="auto"/>
              <w:bottom w:val="single" w:sz="2" w:space="0" w:color="auto"/>
              <w:right w:val="single" w:sz="2" w:space="0" w:color="auto"/>
            </w:tcBorders>
            <w:vAlign w:val="center"/>
          </w:tcPr>
          <w:p w14:paraId="2840B338">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1AAF5649">
            <w:pPr>
              <w:spacing w:line="360" w:lineRule="auto"/>
              <w:jc w:val="center"/>
              <w:rPr>
                <w:rFonts w:ascii="宋体" w:hAnsi="宋体"/>
              </w:rPr>
            </w:pPr>
          </w:p>
        </w:tc>
        <w:tc>
          <w:tcPr>
            <w:tcW w:w="708" w:type="dxa"/>
            <w:tcBorders>
              <w:top w:val="single" w:sz="2" w:space="0" w:color="auto"/>
              <w:left w:val="single" w:sz="2" w:space="0" w:color="auto"/>
              <w:bottom w:val="single" w:sz="2" w:space="0" w:color="auto"/>
              <w:right w:val="single" w:sz="2" w:space="0" w:color="auto"/>
            </w:tcBorders>
            <w:vAlign w:val="center"/>
          </w:tcPr>
          <w:p w14:paraId="09B895FB">
            <w:pPr>
              <w:spacing w:line="360" w:lineRule="auto"/>
              <w:jc w:val="center"/>
              <w:rPr>
                <w:rFonts w:ascii="宋体" w:hAnsi="宋体"/>
              </w:rPr>
            </w:pPr>
          </w:p>
        </w:tc>
        <w:tc>
          <w:tcPr>
            <w:tcW w:w="469" w:type="dxa"/>
            <w:tcBorders>
              <w:top w:val="single" w:sz="2" w:space="0" w:color="auto"/>
              <w:left w:val="single" w:sz="2" w:space="0" w:color="auto"/>
              <w:bottom w:val="single" w:sz="2" w:space="0" w:color="auto"/>
              <w:right w:val="single" w:sz="2" w:space="0" w:color="auto"/>
            </w:tcBorders>
            <w:vAlign w:val="center"/>
          </w:tcPr>
          <w:p w14:paraId="7EE4366F">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5AAC6ABA">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70AE1954">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376BFF42">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4A4E7329">
            <w:pPr>
              <w:spacing w:line="360" w:lineRule="auto"/>
              <w:jc w:val="center"/>
              <w:rPr>
                <w:rFonts w:ascii="宋体" w:hAnsi="宋体"/>
              </w:rPr>
            </w:pPr>
          </w:p>
        </w:tc>
        <w:tc>
          <w:tcPr>
            <w:tcW w:w="701" w:type="dxa"/>
            <w:tcBorders>
              <w:top w:val="single" w:sz="2" w:space="0" w:color="auto"/>
              <w:left w:val="single" w:sz="2" w:space="0" w:color="auto"/>
              <w:bottom w:val="single" w:sz="2" w:space="0" w:color="auto"/>
              <w:right w:val="single" w:sz="2" w:space="0" w:color="auto"/>
            </w:tcBorders>
            <w:vAlign w:val="center"/>
          </w:tcPr>
          <w:p w14:paraId="50EF994C">
            <w:pPr>
              <w:spacing w:line="360" w:lineRule="auto"/>
              <w:jc w:val="center"/>
              <w:rPr>
                <w:rFonts w:ascii="宋体" w:hAnsi="宋体"/>
              </w:rPr>
            </w:pPr>
          </w:p>
        </w:tc>
      </w:tr>
      <w:tr w14:paraId="7C9C4BDC">
        <w:tblPrEx>
          <w:tblW w:w="0" w:type="auto"/>
          <w:tblInd w:w="0" w:type="dxa"/>
          <w:tblLayout w:type="fixed"/>
          <w:tblCellMar>
            <w:top w:w="0" w:type="dxa"/>
            <w:left w:w="108" w:type="dxa"/>
            <w:bottom w:w="0" w:type="dxa"/>
            <w:right w:w="108" w:type="dxa"/>
          </w:tblCellMar>
        </w:tblPrEx>
        <w:tc>
          <w:tcPr>
            <w:tcW w:w="845" w:type="dxa"/>
            <w:tcBorders>
              <w:top w:val="single" w:sz="2" w:space="0" w:color="auto"/>
              <w:left w:val="single" w:sz="2" w:space="0" w:color="auto"/>
              <w:bottom w:val="single" w:sz="2" w:space="0" w:color="auto"/>
              <w:right w:val="single" w:sz="2" w:space="0" w:color="auto"/>
            </w:tcBorders>
            <w:vAlign w:val="center"/>
          </w:tcPr>
          <w:p w14:paraId="1E12E26A">
            <w:pPr>
              <w:spacing w:line="360" w:lineRule="auto"/>
              <w:jc w:val="center"/>
              <w:rPr>
                <w:rFonts w:ascii="宋体" w:hAnsi="宋体"/>
              </w:rPr>
            </w:pPr>
            <w:r>
              <w:rPr>
                <w:rFonts w:ascii="宋体" w:hAnsi="宋体" w:hint="eastAsia"/>
              </w:rPr>
              <w:t>6</w:t>
            </w:r>
          </w:p>
        </w:tc>
        <w:tc>
          <w:tcPr>
            <w:tcW w:w="1806" w:type="dxa"/>
            <w:tcBorders>
              <w:top w:val="single" w:sz="2" w:space="0" w:color="auto"/>
              <w:left w:val="single" w:sz="2" w:space="0" w:color="auto"/>
              <w:bottom w:val="single" w:sz="2" w:space="0" w:color="auto"/>
              <w:right w:val="single" w:sz="2" w:space="0" w:color="auto"/>
            </w:tcBorders>
            <w:vAlign w:val="center"/>
          </w:tcPr>
          <w:p w14:paraId="6ADB64D1">
            <w:pPr>
              <w:spacing w:line="360" w:lineRule="auto"/>
              <w:jc w:val="center"/>
              <w:rPr>
                <w:rFonts w:ascii="宋体" w:hAnsi="宋体"/>
              </w:rPr>
            </w:pPr>
            <w:r>
              <w:rPr>
                <w:rFonts w:ascii="宋体" w:hAnsi="宋体" w:hint="eastAsia"/>
              </w:rPr>
              <w:t>备选投标方案</w:t>
            </w:r>
          </w:p>
        </w:tc>
        <w:tc>
          <w:tcPr>
            <w:tcW w:w="610" w:type="dxa"/>
            <w:tcBorders>
              <w:top w:val="single" w:sz="2" w:space="0" w:color="auto"/>
              <w:left w:val="single" w:sz="2" w:space="0" w:color="auto"/>
              <w:bottom w:val="single" w:sz="2" w:space="0" w:color="auto"/>
              <w:right w:val="single" w:sz="2" w:space="0" w:color="auto"/>
            </w:tcBorders>
            <w:vAlign w:val="center"/>
          </w:tcPr>
          <w:p w14:paraId="783C417B">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729EBCE3">
            <w:pPr>
              <w:spacing w:line="360" w:lineRule="auto"/>
              <w:jc w:val="center"/>
              <w:rPr>
                <w:rFonts w:ascii="宋体" w:hAnsi="宋体"/>
              </w:rPr>
            </w:pPr>
          </w:p>
        </w:tc>
        <w:tc>
          <w:tcPr>
            <w:tcW w:w="708" w:type="dxa"/>
            <w:tcBorders>
              <w:top w:val="single" w:sz="2" w:space="0" w:color="auto"/>
              <w:left w:val="single" w:sz="2" w:space="0" w:color="auto"/>
              <w:bottom w:val="single" w:sz="2" w:space="0" w:color="auto"/>
              <w:right w:val="single" w:sz="2" w:space="0" w:color="auto"/>
            </w:tcBorders>
            <w:vAlign w:val="center"/>
          </w:tcPr>
          <w:p w14:paraId="75988786">
            <w:pPr>
              <w:spacing w:line="360" w:lineRule="auto"/>
              <w:jc w:val="center"/>
              <w:rPr>
                <w:rFonts w:ascii="宋体" w:hAnsi="宋体"/>
              </w:rPr>
            </w:pPr>
          </w:p>
        </w:tc>
        <w:tc>
          <w:tcPr>
            <w:tcW w:w="469" w:type="dxa"/>
            <w:tcBorders>
              <w:top w:val="single" w:sz="2" w:space="0" w:color="auto"/>
              <w:left w:val="single" w:sz="2" w:space="0" w:color="auto"/>
              <w:bottom w:val="single" w:sz="2" w:space="0" w:color="auto"/>
              <w:right w:val="single" w:sz="2" w:space="0" w:color="auto"/>
            </w:tcBorders>
            <w:vAlign w:val="center"/>
          </w:tcPr>
          <w:p w14:paraId="47E540C2">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117785BE">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38F33431">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7A125331">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69643924">
            <w:pPr>
              <w:spacing w:line="360" w:lineRule="auto"/>
              <w:jc w:val="center"/>
              <w:rPr>
                <w:rFonts w:ascii="宋体" w:hAnsi="宋体"/>
              </w:rPr>
            </w:pPr>
          </w:p>
        </w:tc>
        <w:tc>
          <w:tcPr>
            <w:tcW w:w="701" w:type="dxa"/>
            <w:tcBorders>
              <w:top w:val="single" w:sz="2" w:space="0" w:color="auto"/>
              <w:left w:val="single" w:sz="2" w:space="0" w:color="auto"/>
              <w:bottom w:val="single" w:sz="2" w:space="0" w:color="auto"/>
              <w:right w:val="single" w:sz="2" w:space="0" w:color="auto"/>
            </w:tcBorders>
            <w:vAlign w:val="center"/>
          </w:tcPr>
          <w:p w14:paraId="1C884E8F">
            <w:pPr>
              <w:spacing w:line="360" w:lineRule="auto"/>
              <w:jc w:val="center"/>
              <w:rPr>
                <w:rFonts w:ascii="宋体" w:hAnsi="宋体"/>
              </w:rPr>
            </w:pPr>
          </w:p>
        </w:tc>
      </w:tr>
      <w:tr w14:paraId="3A9C8FF3">
        <w:tblPrEx>
          <w:tblW w:w="0" w:type="auto"/>
          <w:tblInd w:w="0" w:type="dxa"/>
          <w:tblLayout w:type="fixed"/>
          <w:tblCellMar>
            <w:top w:w="0" w:type="dxa"/>
            <w:left w:w="108" w:type="dxa"/>
            <w:bottom w:w="0" w:type="dxa"/>
            <w:right w:w="108" w:type="dxa"/>
          </w:tblCellMar>
        </w:tblPrEx>
        <w:tc>
          <w:tcPr>
            <w:tcW w:w="845" w:type="dxa"/>
            <w:tcBorders>
              <w:top w:val="single" w:sz="2" w:space="0" w:color="auto"/>
              <w:left w:val="single" w:sz="2" w:space="0" w:color="auto"/>
              <w:bottom w:val="single" w:sz="2" w:space="0" w:color="auto"/>
              <w:right w:val="single" w:sz="2" w:space="0" w:color="auto"/>
            </w:tcBorders>
            <w:vAlign w:val="center"/>
          </w:tcPr>
          <w:p w14:paraId="718EB113">
            <w:pPr>
              <w:spacing w:line="360" w:lineRule="auto"/>
              <w:jc w:val="center"/>
              <w:rPr>
                <w:rFonts w:ascii="宋体" w:hAnsi="宋体"/>
              </w:rPr>
            </w:pPr>
            <w:r>
              <w:rPr>
                <w:rFonts w:ascii="宋体" w:hAnsi="宋体" w:hint="eastAsia"/>
              </w:rPr>
              <w:t>7</w:t>
            </w:r>
          </w:p>
        </w:tc>
        <w:tc>
          <w:tcPr>
            <w:tcW w:w="1806" w:type="dxa"/>
            <w:tcBorders>
              <w:top w:val="single" w:sz="2" w:space="0" w:color="auto"/>
              <w:left w:val="single" w:sz="2" w:space="0" w:color="auto"/>
              <w:bottom w:val="single" w:sz="2" w:space="0" w:color="auto"/>
              <w:right w:val="single" w:sz="2" w:space="0" w:color="auto"/>
            </w:tcBorders>
            <w:vAlign w:val="center"/>
          </w:tcPr>
          <w:p w14:paraId="6F655097">
            <w:pPr>
              <w:spacing w:line="360" w:lineRule="auto"/>
              <w:jc w:val="center"/>
              <w:rPr>
                <w:rFonts w:ascii="宋体" w:hAnsi="宋体"/>
              </w:rPr>
            </w:pPr>
            <w:r>
              <w:rPr>
                <w:rFonts w:ascii="宋体" w:hAnsi="宋体" w:hint="eastAsia"/>
              </w:rPr>
              <w:t>……</w:t>
            </w:r>
          </w:p>
        </w:tc>
        <w:tc>
          <w:tcPr>
            <w:tcW w:w="610" w:type="dxa"/>
            <w:tcBorders>
              <w:top w:val="single" w:sz="2" w:space="0" w:color="auto"/>
              <w:left w:val="single" w:sz="2" w:space="0" w:color="auto"/>
              <w:bottom w:val="single" w:sz="2" w:space="0" w:color="auto"/>
              <w:right w:val="single" w:sz="2" w:space="0" w:color="auto"/>
            </w:tcBorders>
            <w:vAlign w:val="center"/>
          </w:tcPr>
          <w:p w14:paraId="0EEE3E9D">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05805EB3">
            <w:pPr>
              <w:spacing w:line="360" w:lineRule="auto"/>
              <w:jc w:val="center"/>
              <w:rPr>
                <w:rFonts w:ascii="宋体" w:hAnsi="宋体"/>
              </w:rPr>
            </w:pPr>
          </w:p>
        </w:tc>
        <w:tc>
          <w:tcPr>
            <w:tcW w:w="708" w:type="dxa"/>
            <w:tcBorders>
              <w:top w:val="single" w:sz="2" w:space="0" w:color="auto"/>
              <w:left w:val="single" w:sz="2" w:space="0" w:color="auto"/>
              <w:bottom w:val="single" w:sz="2" w:space="0" w:color="auto"/>
              <w:right w:val="single" w:sz="2" w:space="0" w:color="auto"/>
            </w:tcBorders>
            <w:vAlign w:val="center"/>
          </w:tcPr>
          <w:p w14:paraId="69929A21">
            <w:pPr>
              <w:spacing w:line="360" w:lineRule="auto"/>
              <w:jc w:val="center"/>
              <w:rPr>
                <w:rFonts w:ascii="宋体" w:hAnsi="宋体"/>
              </w:rPr>
            </w:pPr>
          </w:p>
        </w:tc>
        <w:tc>
          <w:tcPr>
            <w:tcW w:w="469" w:type="dxa"/>
            <w:tcBorders>
              <w:top w:val="single" w:sz="2" w:space="0" w:color="auto"/>
              <w:left w:val="single" w:sz="2" w:space="0" w:color="auto"/>
              <w:bottom w:val="single" w:sz="2" w:space="0" w:color="auto"/>
              <w:right w:val="single" w:sz="2" w:space="0" w:color="auto"/>
            </w:tcBorders>
            <w:vAlign w:val="center"/>
          </w:tcPr>
          <w:p w14:paraId="00135DC5">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3C2F0E5F">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64082599">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2EFFCDAD">
            <w:pPr>
              <w:spacing w:line="360" w:lineRule="auto"/>
              <w:jc w:val="center"/>
              <w:rPr>
                <w:rFonts w:ascii="宋体" w:hAnsi="宋体"/>
              </w:rPr>
            </w:pPr>
          </w:p>
        </w:tc>
        <w:tc>
          <w:tcPr>
            <w:tcW w:w="704" w:type="dxa"/>
            <w:tcBorders>
              <w:top w:val="single" w:sz="2" w:space="0" w:color="auto"/>
              <w:left w:val="single" w:sz="2" w:space="0" w:color="auto"/>
              <w:bottom w:val="single" w:sz="2" w:space="0" w:color="auto"/>
              <w:right w:val="single" w:sz="2" w:space="0" w:color="auto"/>
            </w:tcBorders>
            <w:vAlign w:val="center"/>
          </w:tcPr>
          <w:p w14:paraId="6452735F">
            <w:pPr>
              <w:spacing w:line="360" w:lineRule="auto"/>
              <w:jc w:val="center"/>
              <w:rPr>
                <w:rFonts w:ascii="宋体" w:hAnsi="宋体"/>
              </w:rPr>
            </w:pPr>
          </w:p>
        </w:tc>
        <w:tc>
          <w:tcPr>
            <w:tcW w:w="701" w:type="dxa"/>
            <w:tcBorders>
              <w:top w:val="single" w:sz="2" w:space="0" w:color="auto"/>
              <w:left w:val="single" w:sz="2" w:space="0" w:color="auto"/>
              <w:bottom w:val="single" w:sz="2" w:space="0" w:color="auto"/>
              <w:right w:val="single" w:sz="2" w:space="0" w:color="auto"/>
            </w:tcBorders>
            <w:vAlign w:val="center"/>
          </w:tcPr>
          <w:p w14:paraId="51A02881">
            <w:pPr>
              <w:spacing w:line="360" w:lineRule="auto"/>
              <w:jc w:val="center"/>
              <w:rPr>
                <w:rFonts w:ascii="宋体" w:hAnsi="宋体"/>
              </w:rPr>
            </w:pPr>
          </w:p>
        </w:tc>
      </w:tr>
    </w:tbl>
    <w:p w14:paraId="56F1AC2F">
      <w:pPr>
        <w:spacing w:line="360" w:lineRule="auto"/>
        <w:rPr>
          <w:rFonts w:ascii="宋体" w:hAnsi="宋体"/>
          <w:kern w:val="2"/>
        </w:rPr>
      </w:pPr>
    </w:p>
    <w:p w14:paraId="17FC1093">
      <w:pPr>
        <w:spacing w:line="360" w:lineRule="auto"/>
        <w:rPr>
          <w:rFonts w:ascii="宋体" w:hAnsi="宋体"/>
          <w:lang w:eastAsia="zh-CN"/>
        </w:rPr>
      </w:pPr>
      <w:r>
        <w:rPr>
          <w:rFonts w:ascii="宋体" w:hAnsi="宋体" w:hint="eastAsia"/>
          <w:lang w:eastAsia="zh-CN"/>
        </w:rPr>
        <w:t>评标委员会全体成员签名：                    日期：    年    月    日</w:t>
      </w:r>
    </w:p>
    <w:p w14:paraId="22F4D656">
      <w:pPr>
        <w:spacing w:line="360" w:lineRule="auto"/>
        <w:rPr>
          <w:rFonts w:ascii="宋体" w:hAnsi="宋体"/>
          <w:b/>
          <w:lang w:eastAsia="zh-CN"/>
        </w:rPr>
      </w:pPr>
    </w:p>
    <w:p w14:paraId="1B8DF224">
      <w:pPr>
        <w:rPr>
          <w:rFonts w:ascii="宋体" w:hAnsi="宋体"/>
          <w:b/>
          <w:lang w:eastAsia="zh-CN"/>
        </w:rPr>
      </w:pPr>
      <w:r>
        <w:rPr>
          <w:rFonts w:ascii="宋体" w:hAnsi="宋体" w:hint="eastAsia"/>
          <w:b/>
          <w:lang w:eastAsia="zh-CN"/>
        </w:rPr>
        <w:br w:type="page"/>
      </w:r>
    </w:p>
    <w:p w14:paraId="0E36BA2F">
      <w:pPr>
        <w:spacing w:line="360" w:lineRule="auto"/>
        <w:rPr>
          <w:rFonts w:ascii="宋体" w:hAnsi="宋体"/>
          <w:b/>
          <w:lang w:eastAsia="zh-CN"/>
        </w:rPr>
      </w:pPr>
    </w:p>
    <w:p w14:paraId="54AFEEB7">
      <w:pPr>
        <w:pStyle w:val="Heading2"/>
        <w:rPr>
          <w:rFonts w:ascii="宋体" w:hAnsi="宋体"/>
          <w:sz w:val="24"/>
          <w:szCs w:val="24"/>
        </w:rPr>
      </w:pPr>
      <w:r>
        <w:rPr>
          <w:rFonts w:ascii="宋体" w:hAnsi="宋体" w:hint="eastAsia"/>
          <w:sz w:val="24"/>
          <w:szCs w:val="24"/>
        </w:rPr>
        <w:t>附表A-3：资格评审记录表</w:t>
      </w:r>
    </w:p>
    <w:p w14:paraId="1A989E0D">
      <w:pPr>
        <w:spacing w:line="360" w:lineRule="auto"/>
        <w:jc w:val="center"/>
        <w:rPr>
          <w:rFonts w:ascii="宋体" w:hAnsi="宋体"/>
          <w:b/>
          <w:lang w:eastAsia="zh-CN"/>
        </w:rPr>
      </w:pPr>
      <w:r>
        <w:rPr>
          <w:rFonts w:ascii="宋体" w:hAnsi="宋体" w:hint="eastAsia"/>
          <w:b/>
          <w:lang w:eastAsia="zh-CN"/>
        </w:rPr>
        <w:t>资格评审记录表</w:t>
      </w:r>
    </w:p>
    <w:p w14:paraId="56BB21AD">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707"/>
        <w:gridCol w:w="1669"/>
        <w:gridCol w:w="453"/>
        <w:gridCol w:w="619"/>
        <w:gridCol w:w="724"/>
        <w:gridCol w:w="724"/>
        <w:gridCol w:w="724"/>
        <w:gridCol w:w="724"/>
        <w:gridCol w:w="724"/>
        <w:gridCol w:w="727"/>
        <w:gridCol w:w="727"/>
      </w:tblGrid>
      <w:tr w14:paraId="730DAE6B">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c>
          <w:tcPr>
            <w:tcW w:w="707" w:type="dxa"/>
            <w:vMerge w:val="restart"/>
            <w:tcBorders>
              <w:top w:val="single" w:sz="2" w:space="0" w:color="auto"/>
              <w:left w:val="single" w:sz="2" w:space="0" w:color="auto"/>
              <w:bottom w:val="single" w:sz="2" w:space="0" w:color="auto"/>
              <w:right w:val="single" w:sz="2" w:space="0" w:color="auto"/>
            </w:tcBorders>
            <w:vAlign w:val="center"/>
          </w:tcPr>
          <w:p w14:paraId="30CB443B">
            <w:pPr>
              <w:spacing w:line="360" w:lineRule="auto"/>
              <w:jc w:val="center"/>
              <w:rPr>
                <w:rFonts w:ascii="宋体" w:hAnsi="宋体"/>
              </w:rPr>
            </w:pPr>
            <w:r>
              <w:rPr>
                <w:rFonts w:ascii="宋体" w:hAnsi="宋体" w:hint="eastAsia"/>
              </w:rPr>
              <w:t>序号</w:t>
            </w:r>
          </w:p>
        </w:tc>
        <w:tc>
          <w:tcPr>
            <w:tcW w:w="1669" w:type="dxa"/>
            <w:vMerge w:val="restart"/>
            <w:tcBorders>
              <w:top w:val="single" w:sz="2" w:space="0" w:color="auto"/>
              <w:left w:val="single" w:sz="2" w:space="0" w:color="auto"/>
              <w:bottom w:val="single" w:sz="2" w:space="0" w:color="auto"/>
              <w:right w:val="single" w:sz="2" w:space="0" w:color="auto"/>
            </w:tcBorders>
            <w:vAlign w:val="center"/>
          </w:tcPr>
          <w:p w14:paraId="2A9804F7">
            <w:pPr>
              <w:spacing w:line="360" w:lineRule="auto"/>
              <w:jc w:val="center"/>
              <w:rPr>
                <w:rFonts w:ascii="宋体" w:hAnsi="宋体"/>
              </w:rPr>
            </w:pPr>
            <w:r>
              <w:rPr>
                <w:rFonts w:ascii="宋体" w:hAnsi="宋体" w:hint="eastAsia"/>
              </w:rPr>
              <w:t>评审因素</w:t>
            </w:r>
          </w:p>
        </w:tc>
        <w:tc>
          <w:tcPr>
            <w:tcW w:w="5419" w:type="dxa"/>
            <w:gridSpan w:val="8"/>
            <w:tcBorders>
              <w:top w:val="single" w:sz="2" w:space="0" w:color="auto"/>
              <w:left w:val="single" w:sz="2" w:space="0" w:color="auto"/>
              <w:bottom w:val="single" w:sz="2" w:space="0" w:color="auto"/>
              <w:right w:val="single" w:sz="2" w:space="0" w:color="auto"/>
            </w:tcBorders>
            <w:vAlign w:val="center"/>
          </w:tcPr>
          <w:p w14:paraId="787DF4C6">
            <w:pPr>
              <w:spacing w:line="360" w:lineRule="auto"/>
              <w:jc w:val="center"/>
              <w:rPr>
                <w:rFonts w:ascii="宋体" w:hAnsi="宋体"/>
                <w:lang w:eastAsia="zh-CN"/>
              </w:rPr>
            </w:pPr>
            <w:r>
              <w:rPr>
                <w:rFonts w:ascii="宋体" w:hAnsi="宋体" w:hint="eastAsia"/>
                <w:lang w:eastAsia="zh-CN"/>
              </w:rPr>
              <w:t>投标人名称及评审意见</w:t>
            </w:r>
          </w:p>
        </w:tc>
        <w:tc>
          <w:tcPr>
            <w:tcW w:w="727" w:type="dxa"/>
            <w:tcBorders>
              <w:top w:val="single" w:sz="2" w:space="0" w:color="auto"/>
              <w:left w:val="single" w:sz="2" w:space="0" w:color="auto"/>
              <w:bottom w:val="single" w:sz="2" w:space="0" w:color="auto"/>
              <w:right w:val="single" w:sz="2" w:space="0" w:color="auto"/>
            </w:tcBorders>
            <w:vAlign w:val="center"/>
          </w:tcPr>
          <w:p w14:paraId="017FC6D3">
            <w:pPr>
              <w:spacing w:line="360" w:lineRule="auto"/>
              <w:jc w:val="center"/>
              <w:rPr>
                <w:rFonts w:ascii="宋体" w:hAnsi="宋体"/>
                <w:lang w:eastAsia="zh-CN"/>
              </w:rPr>
            </w:pPr>
          </w:p>
        </w:tc>
      </w:tr>
      <w:tr w14:paraId="6433C5BE">
        <w:tblPrEx>
          <w:tblW w:w="0" w:type="auto"/>
          <w:tblInd w:w="0" w:type="dxa"/>
          <w:tblLayout w:type="fixed"/>
          <w:tblCellMar>
            <w:top w:w="0" w:type="dxa"/>
            <w:left w:w="108" w:type="dxa"/>
            <w:bottom w:w="0" w:type="dxa"/>
            <w:right w:w="108" w:type="dxa"/>
          </w:tblCellMar>
        </w:tblPrEx>
        <w:tc>
          <w:tcPr>
            <w:tcW w:w="707" w:type="dxa"/>
            <w:vMerge/>
            <w:tcBorders>
              <w:top w:val="single" w:sz="2" w:space="0" w:color="auto"/>
              <w:left w:val="single" w:sz="2" w:space="0" w:color="auto"/>
              <w:bottom w:val="single" w:sz="2" w:space="0" w:color="auto"/>
              <w:right w:val="single" w:sz="2" w:space="0" w:color="auto"/>
            </w:tcBorders>
            <w:vAlign w:val="center"/>
          </w:tcPr>
          <w:p w14:paraId="0D60DA9C">
            <w:pPr>
              <w:rPr>
                <w:rFonts w:ascii="宋体" w:eastAsia="宋体" w:hAnsi="宋体"/>
                <w:kern w:val="2"/>
                <w:lang w:eastAsia="zh-CN"/>
              </w:rPr>
            </w:pPr>
          </w:p>
        </w:tc>
        <w:tc>
          <w:tcPr>
            <w:tcW w:w="1669" w:type="dxa"/>
            <w:vMerge/>
            <w:tcBorders>
              <w:top w:val="single" w:sz="2" w:space="0" w:color="auto"/>
              <w:left w:val="single" w:sz="2" w:space="0" w:color="auto"/>
              <w:bottom w:val="single" w:sz="2" w:space="0" w:color="auto"/>
              <w:right w:val="single" w:sz="2" w:space="0" w:color="auto"/>
            </w:tcBorders>
            <w:vAlign w:val="center"/>
          </w:tcPr>
          <w:p w14:paraId="44936718">
            <w:pPr>
              <w:rPr>
                <w:rFonts w:ascii="宋体" w:eastAsia="宋体" w:hAnsi="宋体"/>
                <w:kern w:val="2"/>
                <w:lang w:eastAsia="zh-CN"/>
              </w:rPr>
            </w:pPr>
          </w:p>
        </w:tc>
        <w:tc>
          <w:tcPr>
            <w:tcW w:w="453" w:type="dxa"/>
            <w:tcBorders>
              <w:top w:val="single" w:sz="2" w:space="0" w:color="auto"/>
              <w:left w:val="single" w:sz="2" w:space="0" w:color="auto"/>
              <w:bottom w:val="single" w:sz="2" w:space="0" w:color="auto"/>
              <w:right w:val="single" w:sz="2" w:space="0" w:color="auto"/>
            </w:tcBorders>
            <w:vAlign w:val="center"/>
          </w:tcPr>
          <w:p w14:paraId="011EA325">
            <w:pPr>
              <w:spacing w:line="360" w:lineRule="auto"/>
              <w:jc w:val="center"/>
              <w:rPr>
                <w:rFonts w:ascii="宋体" w:hAnsi="宋体"/>
                <w:lang w:eastAsia="zh-CN"/>
              </w:rPr>
            </w:pPr>
          </w:p>
        </w:tc>
        <w:tc>
          <w:tcPr>
            <w:tcW w:w="619" w:type="dxa"/>
            <w:tcBorders>
              <w:top w:val="single" w:sz="2" w:space="0" w:color="auto"/>
              <w:left w:val="single" w:sz="2" w:space="0" w:color="auto"/>
              <w:bottom w:val="single" w:sz="2" w:space="0" w:color="auto"/>
              <w:right w:val="single" w:sz="2" w:space="0" w:color="auto"/>
            </w:tcBorders>
            <w:vAlign w:val="center"/>
          </w:tcPr>
          <w:p w14:paraId="0BD24041">
            <w:pPr>
              <w:spacing w:line="360" w:lineRule="auto"/>
              <w:jc w:val="center"/>
              <w:rPr>
                <w:rFonts w:ascii="宋体" w:hAnsi="宋体"/>
                <w:lang w:eastAsia="zh-CN"/>
              </w:rPr>
            </w:pPr>
          </w:p>
        </w:tc>
        <w:tc>
          <w:tcPr>
            <w:tcW w:w="724" w:type="dxa"/>
            <w:tcBorders>
              <w:top w:val="single" w:sz="2" w:space="0" w:color="auto"/>
              <w:left w:val="single" w:sz="2" w:space="0" w:color="auto"/>
              <w:bottom w:val="single" w:sz="2" w:space="0" w:color="auto"/>
              <w:right w:val="single" w:sz="2" w:space="0" w:color="auto"/>
            </w:tcBorders>
            <w:vAlign w:val="center"/>
          </w:tcPr>
          <w:p w14:paraId="53DDC322">
            <w:pPr>
              <w:spacing w:line="360" w:lineRule="auto"/>
              <w:jc w:val="center"/>
              <w:rPr>
                <w:rFonts w:ascii="宋体" w:hAnsi="宋体"/>
                <w:lang w:eastAsia="zh-CN"/>
              </w:rPr>
            </w:pPr>
          </w:p>
        </w:tc>
        <w:tc>
          <w:tcPr>
            <w:tcW w:w="724" w:type="dxa"/>
            <w:tcBorders>
              <w:top w:val="single" w:sz="2" w:space="0" w:color="auto"/>
              <w:left w:val="single" w:sz="2" w:space="0" w:color="auto"/>
              <w:bottom w:val="single" w:sz="2" w:space="0" w:color="auto"/>
              <w:right w:val="single" w:sz="2" w:space="0" w:color="auto"/>
            </w:tcBorders>
            <w:vAlign w:val="center"/>
          </w:tcPr>
          <w:p w14:paraId="6DF2E3E3">
            <w:pPr>
              <w:spacing w:line="360" w:lineRule="auto"/>
              <w:jc w:val="center"/>
              <w:rPr>
                <w:rFonts w:ascii="宋体" w:hAnsi="宋体"/>
                <w:lang w:eastAsia="zh-CN"/>
              </w:rPr>
            </w:pPr>
          </w:p>
        </w:tc>
        <w:tc>
          <w:tcPr>
            <w:tcW w:w="724" w:type="dxa"/>
            <w:tcBorders>
              <w:top w:val="single" w:sz="2" w:space="0" w:color="auto"/>
              <w:left w:val="single" w:sz="2" w:space="0" w:color="auto"/>
              <w:bottom w:val="single" w:sz="2" w:space="0" w:color="auto"/>
              <w:right w:val="single" w:sz="2" w:space="0" w:color="auto"/>
            </w:tcBorders>
            <w:vAlign w:val="center"/>
          </w:tcPr>
          <w:p w14:paraId="2A0F6CA6">
            <w:pPr>
              <w:spacing w:line="360" w:lineRule="auto"/>
              <w:jc w:val="center"/>
              <w:rPr>
                <w:rFonts w:ascii="宋体" w:hAnsi="宋体"/>
                <w:lang w:eastAsia="zh-CN"/>
              </w:rPr>
            </w:pPr>
          </w:p>
        </w:tc>
        <w:tc>
          <w:tcPr>
            <w:tcW w:w="724" w:type="dxa"/>
            <w:tcBorders>
              <w:top w:val="single" w:sz="2" w:space="0" w:color="auto"/>
              <w:left w:val="single" w:sz="2" w:space="0" w:color="auto"/>
              <w:bottom w:val="single" w:sz="2" w:space="0" w:color="auto"/>
              <w:right w:val="single" w:sz="2" w:space="0" w:color="auto"/>
            </w:tcBorders>
            <w:vAlign w:val="center"/>
          </w:tcPr>
          <w:p w14:paraId="4F36F31E">
            <w:pPr>
              <w:spacing w:line="360" w:lineRule="auto"/>
              <w:jc w:val="center"/>
              <w:rPr>
                <w:rFonts w:ascii="宋体" w:hAnsi="宋体"/>
                <w:lang w:eastAsia="zh-CN"/>
              </w:rPr>
            </w:pPr>
          </w:p>
        </w:tc>
        <w:tc>
          <w:tcPr>
            <w:tcW w:w="724" w:type="dxa"/>
            <w:tcBorders>
              <w:top w:val="single" w:sz="2" w:space="0" w:color="auto"/>
              <w:left w:val="single" w:sz="2" w:space="0" w:color="auto"/>
              <w:bottom w:val="single" w:sz="2" w:space="0" w:color="auto"/>
              <w:right w:val="single" w:sz="2" w:space="0" w:color="auto"/>
            </w:tcBorders>
            <w:vAlign w:val="center"/>
          </w:tcPr>
          <w:p w14:paraId="1C48868E">
            <w:pPr>
              <w:spacing w:line="360" w:lineRule="auto"/>
              <w:jc w:val="center"/>
              <w:rPr>
                <w:rFonts w:ascii="宋体" w:hAnsi="宋体"/>
                <w:lang w:eastAsia="zh-CN"/>
              </w:rPr>
            </w:pPr>
          </w:p>
        </w:tc>
        <w:tc>
          <w:tcPr>
            <w:tcW w:w="727" w:type="dxa"/>
            <w:tcBorders>
              <w:top w:val="single" w:sz="2" w:space="0" w:color="auto"/>
              <w:left w:val="single" w:sz="2" w:space="0" w:color="auto"/>
              <w:bottom w:val="single" w:sz="2" w:space="0" w:color="auto"/>
              <w:right w:val="single" w:sz="2" w:space="0" w:color="auto"/>
            </w:tcBorders>
            <w:vAlign w:val="center"/>
          </w:tcPr>
          <w:p w14:paraId="1359C13D">
            <w:pPr>
              <w:spacing w:line="360" w:lineRule="auto"/>
              <w:jc w:val="center"/>
              <w:rPr>
                <w:rFonts w:ascii="宋体" w:hAnsi="宋体"/>
                <w:lang w:eastAsia="zh-CN"/>
              </w:rPr>
            </w:pPr>
          </w:p>
        </w:tc>
        <w:tc>
          <w:tcPr>
            <w:tcW w:w="727" w:type="dxa"/>
            <w:tcBorders>
              <w:top w:val="single" w:sz="2" w:space="0" w:color="auto"/>
              <w:left w:val="single" w:sz="2" w:space="0" w:color="auto"/>
              <w:bottom w:val="single" w:sz="2" w:space="0" w:color="auto"/>
              <w:right w:val="single" w:sz="2" w:space="0" w:color="auto"/>
            </w:tcBorders>
            <w:vAlign w:val="center"/>
          </w:tcPr>
          <w:p w14:paraId="238B158E">
            <w:pPr>
              <w:spacing w:line="360" w:lineRule="auto"/>
              <w:jc w:val="center"/>
              <w:rPr>
                <w:rFonts w:ascii="宋体" w:hAnsi="宋体"/>
                <w:lang w:eastAsia="zh-CN"/>
              </w:rPr>
            </w:pPr>
          </w:p>
        </w:tc>
      </w:tr>
      <w:tr w14:paraId="75F5140B">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10BF9A63">
            <w:pPr>
              <w:spacing w:line="360" w:lineRule="auto"/>
              <w:jc w:val="center"/>
              <w:rPr>
                <w:rFonts w:ascii="宋体" w:hAnsi="宋体"/>
              </w:rPr>
            </w:pPr>
            <w:r>
              <w:rPr>
                <w:rFonts w:ascii="宋体" w:hAnsi="宋体" w:hint="eastAsia"/>
              </w:rPr>
              <w:t>1</w:t>
            </w:r>
          </w:p>
        </w:tc>
        <w:tc>
          <w:tcPr>
            <w:tcW w:w="1669" w:type="dxa"/>
            <w:tcBorders>
              <w:top w:val="single" w:sz="2" w:space="0" w:color="auto"/>
              <w:left w:val="single" w:sz="2" w:space="0" w:color="auto"/>
              <w:bottom w:val="single" w:sz="2" w:space="0" w:color="auto"/>
              <w:right w:val="single" w:sz="2" w:space="0" w:color="auto"/>
            </w:tcBorders>
            <w:vAlign w:val="center"/>
          </w:tcPr>
          <w:p w14:paraId="1DB574EC">
            <w:pPr>
              <w:spacing w:line="360" w:lineRule="auto"/>
              <w:jc w:val="center"/>
              <w:rPr>
                <w:rFonts w:ascii="宋体" w:hAnsi="宋体"/>
              </w:rPr>
            </w:pPr>
            <w:r>
              <w:rPr>
                <w:rFonts w:ascii="宋体" w:hAnsi="宋体" w:hint="eastAsia"/>
              </w:rPr>
              <w:t>营业执照</w:t>
            </w:r>
          </w:p>
        </w:tc>
        <w:tc>
          <w:tcPr>
            <w:tcW w:w="453" w:type="dxa"/>
            <w:tcBorders>
              <w:top w:val="single" w:sz="2" w:space="0" w:color="auto"/>
              <w:left w:val="single" w:sz="2" w:space="0" w:color="auto"/>
              <w:bottom w:val="single" w:sz="2" w:space="0" w:color="auto"/>
              <w:right w:val="single" w:sz="2" w:space="0" w:color="auto"/>
            </w:tcBorders>
            <w:vAlign w:val="center"/>
          </w:tcPr>
          <w:p w14:paraId="6E58D577">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60FD627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8E4254E">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D3FE854">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0C292D9">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86677FB">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F1C2BE1">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33008CB9">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7DC8BF3E">
            <w:pPr>
              <w:spacing w:line="360" w:lineRule="auto"/>
              <w:jc w:val="center"/>
              <w:rPr>
                <w:rFonts w:ascii="宋体" w:hAnsi="宋体"/>
              </w:rPr>
            </w:pPr>
          </w:p>
        </w:tc>
      </w:tr>
      <w:tr w14:paraId="1966A4A9">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495DD85A">
            <w:pPr>
              <w:spacing w:line="360" w:lineRule="auto"/>
              <w:jc w:val="center"/>
              <w:rPr>
                <w:rFonts w:ascii="宋体" w:hAnsi="宋体"/>
              </w:rPr>
            </w:pPr>
            <w:r>
              <w:rPr>
                <w:rFonts w:ascii="宋体" w:hAnsi="宋体" w:hint="eastAsia"/>
              </w:rPr>
              <w:t>2</w:t>
            </w:r>
          </w:p>
        </w:tc>
        <w:tc>
          <w:tcPr>
            <w:tcW w:w="1669" w:type="dxa"/>
            <w:tcBorders>
              <w:top w:val="single" w:sz="2" w:space="0" w:color="auto"/>
              <w:left w:val="single" w:sz="2" w:space="0" w:color="auto"/>
              <w:bottom w:val="single" w:sz="2" w:space="0" w:color="auto"/>
              <w:right w:val="single" w:sz="2" w:space="0" w:color="auto"/>
            </w:tcBorders>
            <w:vAlign w:val="center"/>
          </w:tcPr>
          <w:p w14:paraId="4A82DEBD">
            <w:pPr>
              <w:spacing w:line="360" w:lineRule="auto"/>
              <w:jc w:val="center"/>
              <w:rPr>
                <w:rFonts w:ascii="宋体" w:hAnsi="宋体"/>
              </w:rPr>
            </w:pPr>
            <w:r>
              <w:rPr>
                <w:rFonts w:ascii="宋体" w:hAnsi="宋体" w:hint="eastAsia"/>
              </w:rPr>
              <w:t>安全生产许可证</w:t>
            </w:r>
          </w:p>
        </w:tc>
        <w:tc>
          <w:tcPr>
            <w:tcW w:w="453" w:type="dxa"/>
            <w:tcBorders>
              <w:top w:val="single" w:sz="2" w:space="0" w:color="auto"/>
              <w:left w:val="single" w:sz="2" w:space="0" w:color="auto"/>
              <w:bottom w:val="single" w:sz="2" w:space="0" w:color="auto"/>
              <w:right w:val="single" w:sz="2" w:space="0" w:color="auto"/>
            </w:tcBorders>
            <w:vAlign w:val="center"/>
          </w:tcPr>
          <w:p w14:paraId="44698775">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515F76B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F7DBF6C">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565DAC9">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C41D706">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3CACFCC">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33E201E">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3EE2570E">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1A0BF8F4">
            <w:pPr>
              <w:spacing w:line="360" w:lineRule="auto"/>
              <w:jc w:val="center"/>
              <w:rPr>
                <w:rFonts w:ascii="宋体" w:hAnsi="宋体"/>
              </w:rPr>
            </w:pPr>
          </w:p>
        </w:tc>
      </w:tr>
      <w:tr w14:paraId="79D55764">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0C5F75AB">
            <w:pPr>
              <w:spacing w:line="360" w:lineRule="auto"/>
              <w:jc w:val="center"/>
              <w:rPr>
                <w:rFonts w:ascii="宋体" w:hAnsi="宋体"/>
              </w:rPr>
            </w:pPr>
            <w:r>
              <w:rPr>
                <w:rFonts w:ascii="宋体" w:hAnsi="宋体" w:hint="eastAsia"/>
              </w:rPr>
              <w:t>3</w:t>
            </w:r>
          </w:p>
        </w:tc>
        <w:tc>
          <w:tcPr>
            <w:tcW w:w="1669" w:type="dxa"/>
            <w:tcBorders>
              <w:top w:val="single" w:sz="2" w:space="0" w:color="auto"/>
              <w:left w:val="single" w:sz="2" w:space="0" w:color="auto"/>
              <w:bottom w:val="single" w:sz="2" w:space="0" w:color="auto"/>
              <w:right w:val="single" w:sz="2" w:space="0" w:color="auto"/>
            </w:tcBorders>
            <w:vAlign w:val="center"/>
          </w:tcPr>
          <w:p w14:paraId="7D4115ED">
            <w:pPr>
              <w:spacing w:line="360" w:lineRule="auto"/>
              <w:jc w:val="center"/>
              <w:rPr>
                <w:rFonts w:ascii="宋体" w:hAnsi="宋体"/>
              </w:rPr>
            </w:pPr>
            <w:r>
              <w:rPr>
                <w:rFonts w:ascii="宋体" w:hAnsi="宋体" w:hint="eastAsia"/>
              </w:rPr>
              <w:t>资质等级</w:t>
            </w:r>
          </w:p>
        </w:tc>
        <w:tc>
          <w:tcPr>
            <w:tcW w:w="453" w:type="dxa"/>
            <w:tcBorders>
              <w:top w:val="single" w:sz="2" w:space="0" w:color="auto"/>
              <w:left w:val="single" w:sz="2" w:space="0" w:color="auto"/>
              <w:bottom w:val="single" w:sz="2" w:space="0" w:color="auto"/>
              <w:right w:val="single" w:sz="2" w:space="0" w:color="auto"/>
            </w:tcBorders>
            <w:vAlign w:val="center"/>
          </w:tcPr>
          <w:p w14:paraId="317F75E8">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3D81E1D0">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76EFE17">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72A6DB5">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11A65CF">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29131DB">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461D491">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026E6491">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6B3CBB33">
            <w:pPr>
              <w:spacing w:line="360" w:lineRule="auto"/>
              <w:jc w:val="center"/>
              <w:rPr>
                <w:rFonts w:ascii="宋体" w:hAnsi="宋体"/>
              </w:rPr>
            </w:pPr>
          </w:p>
        </w:tc>
      </w:tr>
      <w:tr w14:paraId="0B42C810">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1CA64CC2">
            <w:pPr>
              <w:spacing w:line="360" w:lineRule="auto"/>
              <w:jc w:val="center"/>
              <w:rPr>
                <w:rFonts w:ascii="宋体" w:hAnsi="宋体"/>
              </w:rPr>
            </w:pPr>
            <w:r>
              <w:rPr>
                <w:rFonts w:ascii="宋体" w:hAnsi="宋体" w:hint="eastAsia"/>
              </w:rPr>
              <w:t>4</w:t>
            </w:r>
          </w:p>
        </w:tc>
        <w:tc>
          <w:tcPr>
            <w:tcW w:w="1669" w:type="dxa"/>
            <w:tcBorders>
              <w:top w:val="single" w:sz="2" w:space="0" w:color="auto"/>
              <w:left w:val="single" w:sz="2" w:space="0" w:color="auto"/>
              <w:bottom w:val="single" w:sz="2" w:space="0" w:color="auto"/>
              <w:right w:val="single" w:sz="2" w:space="0" w:color="auto"/>
            </w:tcBorders>
            <w:vAlign w:val="center"/>
          </w:tcPr>
          <w:p w14:paraId="0E2F79A3">
            <w:pPr>
              <w:spacing w:line="360" w:lineRule="auto"/>
              <w:jc w:val="center"/>
              <w:rPr>
                <w:rFonts w:ascii="宋体" w:hAnsi="宋体"/>
              </w:rPr>
            </w:pPr>
            <w:r>
              <w:rPr>
                <w:rFonts w:ascii="宋体" w:hAnsi="宋体" w:hint="eastAsia"/>
              </w:rPr>
              <w:t>财务状况</w:t>
            </w:r>
          </w:p>
        </w:tc>
        <w:tc>
          <w:tcPr>
            <w:tcW w:w="453" w:type="dxa"/>
            <w:tcBorders>
              <w:top w:val="single" w:sz="2" w:space="0" w:color="auto"/>
              <w:left w:val="single" w:sz="2" w:space="0" w:color="auto"/>
              <w:bottom w:val="single" w:sz="2" w:space="0" w:color="auto"/>
              <w:right w:val="single" w:sz="2" w:space="0" w:color="auto"/>
            </w:tcBorders>
            <w:vAlign w:val="center"/>
          </w:tcPr>
          <w:p w14:paraId="1BB084DB">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1CD191C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04C11CA">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E909FBE">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6B8F66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E936A0C">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88F9E80">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04021CCF">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3B438A60">
            <w:pPr>
              <w:spacing w:line="360" w:lineRule="auto"/>
              <w:jc w:val="center"/>
              <w:rPr>
                <w:rFonts w:ascii="宋体" w:hAnsi="宋体"/>
              </w:rPr>
            </w:pPr>
          </w:p>
        </w:tc>
      </w:tr>
      <w:tr w14:paraId="02F40AB8">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48B04FBC">
            <w:pPr>
              <w:spacing w:line="360" w:lineRule="auto"/>
              <w:jc w:val="center"/>
              <w:rPr>
                <w:rFonts w:ascii="宋体" w:hAnsi="宋体"/>
              </w:rPr>
            </w:pPr>
            <w:r>
              <w:rPr>
                <w:rFonts w:ascii="宋体" w:hAnsi="宋体" w:hint="eastAsia"/>
              </w:rPr>
              <w:t>5</w:t>
            </w:r>
          </w:p>
        </w:tc>
        <w:tc>
          <w:tcPr>
            <w:tcW w:w="1669" w:type="dxa"/>
            <w:tcBorders>
              <w:top w:val="single" w:sz="2" w:space="0" w:color="auto"/>
              <w:left w:val="single" w:sz="2" w:space="0" w:color="auto"/>
              <w:bottom w:val="single" w:sz="2" w:space="0" w:color="auto"/>
              <w:right w:val="single" w:sz="2" w:space="0" w:color="auto"/>
            </w:tcBorders>
            <w:vAlign w:val="center"/>
          </w:tcPr>
          <w:p w14:paraId="2059C968">
            <w:pPr>
              <w:spacing w:line="360" w:lineRule="auto"/>
              <w:jc w:val="center"/>
              <w:rPr>
                <w:rFonts w:ascii="宋体" w:hAnsi="宋体"/>
              </w:rPr>
            </w:pPr>
            <w:r>
              <w:rPr>
                <w:rFonts w:ascii="宋体" w:hAnsi="宋体" w:hint="eastAsia"/>
              </w:rPr>
              <w:t>类似项目业绩</w:t>
            </w:r>
          </w:p>
        </w:tc>
        <w:tc>
          <w:tcPr>
            <w:tcW w:w="453" w:type="dxa"/>
            <w:tcBorders>
              <w:top w:val="single" w:sz="2" w:space="0" w:color="auto"/>
              <w:left w:val="single" w:sz="2" w:space="0" w:color="auto"/>
              <w:bottom w:val="single" w:sz="2" w:space="0" w:color="auto"/>
              <w:right w:val="single" w:sz="2" w:space="0" w:color="auto"/>
            </w:tcBorders>
            <w:vAlign w:val="center"/>
          </w:tcPr>
          <w:p w14:paraId="70DECD47">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3C2FAC30">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46BEB07">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4D2B395">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679860E">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275DAAB">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21AACFA">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4E642D09">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1FBD0D8E">
            <w:pPr>
              <w:spacing w:line="360" w:lineRule="auto"/>
              <w:jc w:val="center"/>
              <w:rPr>
                <w:rFonts w:ascii="宋体" w:hAnsi="宋体"/>
              </w:rPr>
            </w:pPr>
          </w:p>
        </w:tc>
      </w:tr>
      <w:tr w14:paraId="5CEBA104">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77AE2EEC">
            <w:pPr>
              <w:spacing w:line="360" w:lineRule="auto"/>
              <w:jc w:val="center"/>
              <w:rPr>
                <w:rFonts w:ascii="宋体" w:hAnsi="宋体"/>
              </w:rPr>
            </w:pPr>
            <w:r>
              <w:rPr>
                <w:rFonts w:ascii="宋体" w:hAnsi="宋体" w:hint="eastAsia"/>
              </w:rPr>
              <w:t>6</w:t>
            </w:r>
          </w:p>
        </w:tc>
        <w:tc>
          <w:tcPr>
            <w:tcW w:w="1669" w:type="dxa"/>
            <w:tcBorders>
              <w:top w:val="single" w:sz="2" w:space="0" w:color="auto"/>
              <w:left w:val="single" w:sz="2" w:space="0" w:color="auto"/>
              <w:bottom w:val="single" w:sz="2" w:space="0" w:color="auto"/>
              <w:right w:val="single" w:sz="2" w:space="0" w:color="auto"/>
            </w:tcBorders>
            <w:vAlign w:val="center"/>
          </w:tcPr>
          <w:p w14:paraId="7B70372D">
            <w:pPr>
              <w:spacing w:line="360" w:lineRule="auto"/>
              <w:jc w:val="center"/>
              <w:rPr>
                <w:rFonts w:ascii="宋体" w:hAnsi="宋体"/>
              </w:rPr>
            </w:pPr>
            <w:r>
              <w:rPr>
                <w:rFonts w:ascii="宋体" w:hAnsi="宋体" w:hint="eastAsia"/>
              </w:rPr>
              <w:t>信誉</w:t>
            </w:r>
          </w:p>
        </w:tc>
        <w:tc>
          <w:tcPr>
            <w:tcW w:w="453" w:type="dxa"/>
            <w:tcBorders>
              <w:top w:val="single" w:sz="2" w:space="0" w:color="auto"/>
              <w:left w:val="single" w:sz="2" w:space="0" w:color="auto"/>
              <w:bottom w:val="single" w:sz="2" w:space="0" w:color="auto"/>
              <w:right w:val="single" w:sz="2" w:space="0" w:color="auto"/>
            </w:tcBorders>
            <w:vAlign w:val="center"/>
          </w:tcPr>
          <w:p w14:paraId="6BDF2102">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1150AFF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A66F3F2">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3E300BE2">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A1A0616">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1777415">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0A64A5D">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32C8C32A">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5098340F">
            <w:pPr>
              <w:spacing w:line="360" w:lineRule="auto"/>
              <w:jc w:val="center"/>
              <w:rPr>
                <w:rFonts w:ascii="宋体" w:hAnsi="宋体"/>
              </w:rPr>
            </w:pPr>
          </w:p>
        </w:tc>
      </w:tr>
      <w:tr w14:paraId="4645F054">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26336C14">
            <w:pPr>
              <w:spacing w:line="360" w:lineRule="auto"/>
              <w:jc w:val="center"/>
              <w:rPr>
                <w:rFonts w:ascii="宋体" w:hAnsi="宋体"/>
              </w:rPr>
            </w:pPr>
            <w:r>
              <w:rPr>
                <w:rFonts w:ascii="宋体" w:hAnsi="宋体" w:hint="eastAsia"/>
              </w:rPr>
              <w:t>7</w:t>
            </w:r>
          </w:p>
        </w:tc>
        <w:tc>
          <w:tcPr>
            <w:tcW w:w="1669" w:type="dxa"/>
            <w:tcBorders>
              <w:top w:val="single" w:sz="2" w:space="0" w:color="auto"/>
              <w:left w:val="single" w:sz="2" w:space="0" w:color="auto"/>
              <w:bottom w:val="single" w:sz="2" w:space="0" w:color="auto"/>
              <w:right w:val="single" w:sz="2" w:space="0" w:color="auto"/>
            </w:tcBorders>
            <w:vAlign w:val="center"/>
          </w:tcPr>
          <w:p w14:paraId="3A143208">
            <w:pPr>
              <w:spacing w:line="360" w:lineRule="auto"/>
              <w:jc w:val="center"/>
              <w:rPr>
                <w:rFonts w:ascii="宋体" w:hAnsi="宋体"/>
              </w:rPr>
            </w:pPr>
            <w:r>
              <w:rPr>
                <w:rFonts w:ascii="宋体" w:hAnsi="宋体" w:hint="eastAsia"/>
              </w:rPr>
              <w:t>项目经理</w:t>
            </w:r>
          </w:p>
        </w:tc>
        <w:tc>
          <w:tcPr>
            <w:tcW w:w="453" w:type="dxa"/>
            <w:tcBorders>
              <w:top w:val="single" w:sz="2" w:space="0" w:color="auto"/>
              <w:left w:val="single" w:sz="2" w:space="0" w:color="auto"/>
              <w:bottom w:val="single" w:sz="2" w:space="0" w:color="auto"/>
              <w:right w:val="single" w:sz="2" w:space="0" w:color="auto"/>
            </w:tcBorders>
            <w:vAlign w:val="center"/>
          </w:tcPr>
          <w:p w14:paraId="532E4CCC">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3208DFFC">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382D90BB">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BED9CD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3F648CC1">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FF6B4FA">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37250ECD">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3F42AE6D">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740A410D">
            <w:pPr>
              <w:spacing w:line="360" w:lineRule="auto"/>
              <w:jc w:val="center"/>
              <w:rPr>
                <w:rFonts w:ascii="宋体" w:hAnsi="宋体"/>
              </w:rPr>
            </w:pPr>
          </w:p>
        </w:tc>
      </w:tr>
      <w:tr w14:paraId="1D216CBB">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09F92067">
            <w:pPr>
              <w:spacing w:line="360" w:lineRule="auto"/>
              <w:jc w:val="center"/>
              <w:rPr>
                <w:rFonts w:ascii="宋体" w:hAnsi="宋体"/>
              </w:rPr>
            </w:pPr>
            <w:r>
              <w:rPr>
                <w:rFonts w:ascii="宋体" w:hAnsi="宋体" w:hint="eastAsia"/>
              </w:rPr>
              <w:t>8</w:t>
            </w:r>
          </w:p>
        </w:tc>
        <w:tc>
          <w:tcPr>
            <w:tcW w:w="1669" w:type="dxa"/>
            <w:tcBorders>
              <w:top w:val="single" w:sz="2" w:space="0" w:color="auto"/>
              <w:left w:val="single" w:sz="2" w:space="0" w:color="auto"/>
              <w:bottom w:val="single" w:sz="2" w:space="0" w:color="auto"/>
              <w:right w:val="single" w:sz="2" w:space="0" w:color="auto"/>
            </w:tcBorders>
            <w:vAlign w:val="center"/>
          </w:tcPr>
          <w:p w14:paraId="33897D4A">
            <w:pPr>
              <w:spacing w:line="360" w:lineRule="auto"/>
              <w:jc w:val="center"/>
              <w:rPr>
                <w:rFonts w:ascii="宋体" w:hAnsi="宋体"/>
              </w:rPr>
            </w:pPr>
            <w:r>
              <w:rPr>
                <w:rFonts w:ascii="宋体" w:hAnsi="宋体" w:hint="eastAsia"/>
              </w:rPr>
              <w:t>技术负责人</w:t>
            </w:r>
          </w:p>
        </w:tc>
        <w:tc>
          <w:tcPr>
            <w:tcW w:w="453" w:type="dxa"/>
            <w:tcBorders>
              <w:top w:val="single" w:sz="2" w:space="0" w:color="auto"/>
              <w:left w:val="single" w:sz="2" w:space="0" w:color="auto"/>
              <w:bottom w:val="single" w:sz="2" w:space="0" w:color="auto"/>
              <w:right w:val="single" w:sz="2" w:space="0" w:color="auto"/>
            </w:tcBorders>
            <w:vAlign w:val="center"/>
          </w:tcPr>
          <w:p w14:paraId="1DB6BC67">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1827BB94">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C7A36E5">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53BE68B">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C879126">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8F7B9B0">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DD77A50">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02DC95C1">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117CDF89">
            <w:pPr>
              <w:spacing w:line="360" w:lineRule="auto"/>
              <w:jc w:val="center"/>
              <w:rPr>
                <w:rFonts w:ascii="宋体" w:hAnsi="宋体"/>
              </w:rPr>
            </w:pPr>
          </w:p>
        </w:tc>
      </w:tr>
      <w:tr w14:paraId="699C1411">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3313E848">
            <w:pPr>
              <w:spacing w:line="360" w:lineRule="auto"/>
              <w:jc w:val="center"/>
              <w:rPr>
                <w:rFonts w:ascii="宋体" w:hAnsi="宋体"/>
              </w:rPr>
            </w:pPr>
            <w:r>
              <w:rPr>
                <w:rFonts w:ascii="宋体" w:hAnsi="宋体" w:hint="eastAsia"/>
              </w:rPr>
              <w:t>9</w:t>
            </w:r>
          </w:p>
        </w:tc>
        <w:tc>
          <w:tcPr>
            <w:tcW w:w="1669" w:type="dxa"/>
            <w:tcBorders>
              <w:top w:val="single" w:sz="2" w:space="0" w:color="auto"/>
              <w:left w:val="single" w:sz="2" w:space="0" w:color="auto"/>
              <w:bottom w:val="single" w:sz="2" w:space="0" w:color="auto"/>
              <w:right w:val="single" w:sz="2" w:space="0" w:color="auto"/>
            </w:tcBorders>
            <w:vAlign w:val="center"/>
          </w:tcPr>
          <w:p w14:paraId="11A18209">
            <w:pPr>
              <w:spacing w:line="360" w:lineRule="auto"/>
              <w:jc w:val="center"/>
              <w:rPr>
                <w:rFonts w:ascii="宋体" w:hAnsi="宋体"/>
              </w:rPr>
            </w:pPr>
            <w:r>
              <w:rPr>
                <w:rFonts w:ascii="宋体" w:hAnsi="宋体" w:hint="eastAsia"/>
              </w:rPr>
              <w:t>其他要求</w:t>
            </w:r>
          </w:p>
        </w:tc>
        <w:tc>
          <w:tcPr>
            <w:tcW w:w="453" w:type="dxa"/>
            <w:tcBorders>
              <w:top w:val="single" w:sz="2" w:space="0" w:color="auto"/>
              <w:left w:val="single" w:sz="2" w:space="0" w:color="auto"/>
              <w:bottom w:val="single" w:sz="2" w:space="0" w:color="auto"/>
              <w:right w:val="single" w:sz="2" w:space="0" w:color="auto"/>
            </w:tcBorders>
            <w:vAlign w:val="center"/>
          </w:tcPr>
          <w:p w14:paraId="17F4BACE">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31BB0200">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1AEBE44">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8443372">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31E8DD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435F118">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8952D0F">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16108680">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7765AECF">
            <w:pPr>
              <w:spacing w:line="360" w:lineRule="auto"/>
              <w:jc w:val="center"/>
              <w:rPr>
                <w:rFonts w:ascii="宋体" w:hAnsi="宋体"/>
              </w:rPr>
            </w:pPr>
          </w:p>
        </w:tc>
      </w:tr>
      <w:tr w14:paraId="65F54D8D">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50A387BF">
            <w:pPr>
              <w:spacing w:line="360" w:lineRule="auto"/>
              <w:jc w:val="center"/>
              <w:rPr>
                <w:rFonts w:ascii="宋体" w:hAnsi="宋体"/>
              </w:rPr>
            </w:pPr>
            <w:r>
              <w:rPr>
                <w:rFonts w:ascii="宋体" w:hAnsi="宋体" w:hint="eastAsia"/>
              </w:rPr>
              <w:t>10</w:t>
            </w:r>
          </w:p>
        </w:tc>
        <w:tc>
          <w:tcPr>
            <w:tcW w:w="1669" w:type="dxa"/>
            <w:tcBorders>
              <w:top w:val="single" w:sz="2" w:space="0" w:color="auto"/>
              <w:left w:val="single" w:sz="2" w:space="0" w:color="auto"/>
              <w:bottom w:val="single" w:sz="2" w:space="0" w:color="auto"/>
              <w:right w:val="single" w:sz="2" w:space="0" w:color="auto"/>
            </w:tcBorders>
            <w:vAlign w:val="center"/>
          </w:tcPr>
          <w:p w14:paraId="3086478A">
            <w:pPr>
              <w:spacing w:line="360" w:lineRule="auto"/>
              <w:jc w:val="center"/>
              <w:rPr>
                <w:rFonts w:ascii="宋体" w:hAnsi="宋体"/>
              </w:rPr>
            </w:pPr>
            <w:r>
              <w:rPr>
                <w:rFonts w:ascii="宋体" w:hAnsi="宋体" w:hint="eastAsia"/>
              </w:rPr>
              <w:t>联合体投标人</w:t>
            </w:r>
          </w:p>
        </w:tc>
        <w:tc>
          <w:tcPr>
            <w:tcW w:w="453" w:type="dxa"/>
            <w:tcBorders>
              <w:top w:val="single" w:sz="2" w:space="0" w:color="auto"/>
              <w:left w:val="single" w:sz="2" w:space="0" w:color="auto"/>
              <w:bottom w:val="single" w:sz="2" w:space="0" w:color="auto"/>
              <w:right w:val="single" w:sz="2" w:space="0" w:color="auto"/>
            </w:tcBorders>
            <w:vAlign w:val="center"/>
          </w:tcPr>
          <w:p w14:paraId="7EB77090">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4A7EC00B">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3BB17CD8">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D17717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844512C">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64E191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F016885">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627C3B20">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789B41C4">
            <w:pPr>
              <w:spacing w:line="360" w:lineRule="auto"/>
              <w:jc w:val="center"/>
              <w:rPr>
                <w:rFonts w:ascii="宋体" w:hAnsi="宋体"/>
              </w:rPr>
            </w:pPr>
          </w:p>
        </w:tc>
      </w:tr>
      <w:tr w14:paraId="7F2A458F">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483F0E58">
            <w:pPr>
              <w:spacing w:line="360" w:lineRule="auto"/>
              <w:jc w:val="center"/>
              <w:rPr>
                <w:rFonts w:ascii="宋体" w:hAnsi="宋体"/>
              </w:rPr>
            </w:pPr>
            <w:r>
              <w:rPr>
                <w:rFonts w:ascii="宋体" w:hAnsi="宋体" w:hint="eastAsia"/>
              </w:rPr>
              <w:t>11</w:t>
            </w:r>
          </w:p>
        </w:tc>
        <w:tc>
          <w:tcPr>
            <w:tcW w:w="1669" w:type="dxa"/>
            <w:tcBorders>
              <w:top w:val="single" w:sz="2" w:space="0" w:color="auto"/>
              <w:left w:val="single" w:sz="2" w:space="0" w:color="auto"/>
              <w:bottom w:val="single" w:sz="2" w:space="0" w:color="auto"/>
              <w:right w:val="single" w:sz="2" w:space="0" w:color="auto"/>
            </w:tcBorders>
            <w:vAlign w:val="center"/>
          </w:tcPr>
          <w:p w14:paraId="6323E417">
            <w:pPr>
              <w:spacing w:line="360" w:lineRule="auto"/>
              <w:jc w:val="center"/>
              <w:rPr>
                <w:rFonts w:ascii="宋体" w:hAnsi="宋体"/>
              </w:rPr>
            </w:pPr>
            <w:r>
              <w:rPr>
                <w:rFonts w:ascii="宋体" w:hAnsi="宋体" w:hint="eastAsia"/>
              </w:rPr>
              <w:t>投标要求</w:t>
            </w:r>
          </w:p>
        </w:tc>
        <w:tc>
          <w:tcPr>
            <w:tcW w:w="453" w:type="dxa"/>
            <w:tcBorders>
              <w:top w:val="single" w:sz="2" w:space="0" w:color="auto"/>
              <w:left w:val="single" w:sz="2" w:space="0" w:color="auto"/>
              <w:bottom w:val="single" w:sz="2" w:space="0" w:color="auto"/>
              <w:right w:val="single" w:sz="2" w:space="0" w:color="auto"/>
            </w:tcBorders>
            <w:vAlign w:val="center"/>
          </w:tcPr>
          <w:p w14:paraId="70CC5CDF">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481AAC5A">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37004A51">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B6A473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329EE620">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63F4F0C">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44AC6C1">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502BA387">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3803BDCF">
            <w:pPr>
              <w:spacing w:line="360" w:lineRule="auto"/>
              <w:jc w:val="center"/>
              <w:rPr>
                <w:rFonts w:ascii="宋体" w:hAnsi="宋体"/>
              </w:rPr>
            </w:pPr>
          </w:p>
        </w:tc>
      </w:tr>
      <w:tr w14:paraId="5B0E5110">
        <w:tblPrEx>
          <w:tblW w:w="0" w:type="auto"/>
          <w:tblInd w:w="0" w:type="dxa"/>
          <w:tblLayout w:type="fixed"/>
          <w:tblCellMar>
            <w:top w:w="0" w:type="dxa"/>
            <w:left w:w="108" w:type="dxa"/>
            <w:bottom w:w="0" w:type="dxa"/>
            <w:right w:w="108" w:type="dxa"/>
          </w:tblCellMar>
        </w:tblPrEx>
        <w:tc>
          <w:tcPr>
            <w:tcW w:w="707" w:type="dxa"/>
            <w:tcBorders>
              <w:top w:val="single" w:sz="2" w:space="0" w:color="auto"/>
              <w:left w:val="single" w:sz="2" w:space="0" w:color="auto"/>
              <w:bottom w:val="single" w:sz="2" w:space="0" w:color="auto"/>
              <w:right w:val="single" w:sz="2" w:space="0" w:color="auto"/>
            </w:tcBorders>
            <w:vAlign w:val="center"/>
          </w:tcPr>
          <w:p w14:paraId="7FDCA75A">
            <w:pPr>
              <w:spacing w:line="360" w:lineRule="auto"/>
              <w:jc w:val="center"/>
              <w:rPr>
                <w:rFonts w:ascii="宋体" w:hAnsi="宋体"/>
              </w:rPr>
            </w:pPr>
            <w:r>
              <w:rPr>
                <w:rFonts w:ascii="宋体" w:hAnsi="宋体" w:hint="eastAsia"/>
              </w:rPr>
              <w:t>12</w:t>
            </w:r>
          </w:p>
        </w:tc>
        <w:tc>
          <w:tcPr>
            <w:tcW w:w="1669" w:type="dxa"/>
            <w:tcBorders>
              <w:top w:val="single" w:sz="2" w:space="0" w:color="auto"/>
              <w:left w:val="single" w:sz="2" w:space="0" w:color="auto"/>
              <w:bottom w:val="single" w:sz="2" w:space="0" w:color="auto"/>
              <w:right w:val="single" w:sz="2" w:space="0" w:color="auto"/>
            </w:tcBorders>
            <w:vAlign w:val="center"/>
          </w:tcPr>
          <w:p w14:paraId="14458891">
            <w:pPr>
              <w:spacing w:line="360" w:lineRule="auto"/>
              <w:jc w:val="center"/>
              <w:rPr>
                <w:rFonts w:ascii="宋体" w:hAnsi="宋体"/>
              </w:rPr>
            </w:pPr>
            <w:r>
              <w:rPr>
                <w:rFonts w:ascii="宋体" w:hAnsi="宋体" w:hint="eastAsia"/>
              </w:rPr>
              <w:t>……</w:t>
            </w:r>
          </w:p>
        </w:tc>
        <w:tc>
          <w:tcPr>
            <w:tcW w:w="453" w:type="dxa"/>
            <w:tcBorders>
              <w:top w:val="single" w:sz="2" w:space="0" w:color="auto"/>
              <w:left w:val="single" w:sz="2" w:space="0" w:color="auto"/>
              <w:bottom w:val="single" w:sz="2" w:space="0" w:color="auto"/>
              <w:right w:val="single" w:sz="2" w:space="0" w:color="auto"/>
            </w:tcBorders>
            <w:vAlign w:val="center"/>
          </w:tcPr>
          <w:p w14:paraId="553EA273">
            <w:pPr>
              <w:spacing w:line="360" w:lineRule="auto"/>
              <w:jc w:val="center"/>
              <w:rPr>
                <w:rFonts w:ascii="宋体" w:hAnsi="宋体"/>
              </w:rPr>
            </w:pPr>
          </w:p>
        </w:tc>
        <w:tc>
          <w:tcPr>
            <w:tcW w:w="619" w:type="dxa"/>
            <w:tcBorders>
              <w:top w:val="single" w:sz="2" w:space="0" w:color="auto"/>
              <w:left w:val="single" w:sz="2" w:space="0" w:color="auto"/>
              <w:bottom w:val="single" w:sz="2" w:space="0" w:color="auto"/>
              <w:right w:val="single" w:sz="2" w:space="0" w:color="auto"/>
            </w:tcBorders>
            <w:vAlign w:val="center"/>
          </w:tcPr>
          <w:p w14:paraId="1255D13B">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9A08B2C">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8E38E4C">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3AF9D1C8">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7548D3B">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DE00C1C">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00318575">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10740E65">
            <w:pPr>
              <w:spacing w:line="360" w:lineRule="auto"/>
              <w:jc w:val="center"/>
              <w:rPr>
                <w:rFonts w:ascii="宋体" w:hAnsi="宋体"/>
              </w:rPr>
            </w:pPr>
          </w:p>
        </w:tc>
      </w:tr>
    </w:tbl>
    <w:p w14:paraId="2CFC28C8">
      <w:pPr>
        <w:spacing w:line="360" w:lineRule="auto"/>
        <w:rPr>
          <w:rFonts w:ascii="宋体" w:hAnsi="宋体"/>
          <w:kern w:val="2"/>
        </w:rPr>
      </w:pPr>
    </w:p>
    <w:p w14:paraId="101534B4">
      <w:pPr>
        <w:spacing w:line="360" w:lineRule="auto"/>
        <w:rPr>
          <w:rFonts w:ascii="宋体" w:hAnsi="宋体"/>
          <w:lang w:eastAsia="zh-CN"/>
        </w:rPr>
      </w:pPr>
      <w:r>
        <w:rPr>
          <w:rFonts w:ascii="宋体" w:hAnsi="宋体" w:hint="eastAsia"/>
          <w:lang w:eastAsia="zh-CN"/>
        </w:rPr>
        <w:t>评标委员会全体成员签名：               日期：      年    月    日</w:t>
      </w:r>
    </w:p>
    <w:p w14:paraId="11B0D0F2">
      <w:pPr>
        <w:spacing w:line="360" w:lineRule="auto"/>
        <w:rPr>
          <w:rFonts w:ascii="宋体" w:hAnsi="宋体"/>
          <w:lang w:eastAsia="zh-CN"/>
        </w:rPr>
      </w:pPr>
      <w:r>
        <w:rPr>
          <w:rFonts w:ascii="宋体" w:hAnsi="宋体" w:hint="eastAsia"/>
          <w:lang w:eastAsia="zh-CN"/>
        </w:rPr>
        <w:t xml:space="preserve">    </w:t>
      </w:r>
    </w:p>
    <w:p w14:paraId="5558383B">
      <w:pPr>
        <w:rPr>
          <w:rFonts w:ascii="宋体" w:hAnsi="宋体"/>
          <w:lang w:eastAsia="zh-CN"/>
        </w:rPr>
      </w:pPr>
      <w:r>
        <w:rPr>
          <w:rFonts w:ascii="宋体" w:hAnsi="宋体" w:hint="eastAsia"/>
          <w:lang w:eastAsia="zh-CN"/>
        </w:rPr>
        <w:br w:type="page"/>
      </w:r>
    </w:p>
    <w:p w14:paraId="5E6CAAA9">
      <w:pPr>
        <w:spacing w:line="360" w:lineRule="auto"/>
        <w:rPr>
          <w:rFonts w:ascii="宋体" w:hAnsi="宋体"/>
          <w:lang w:eastAsia="zh-CN"/>
        </w:rPr>
      </w:pPr>
    </w:p>
    <w:p w14:paraId="6F6931D3">
      <w:pPr>
        <w:pStyle w:val="Heading2"/>
        <w:rPr>
          <w:rFonts w:ascii="宋体" w:hAnsi="宋体"/>
          <w:sz w:val="24"/>
          <w:szCs w:val="24"/>
        </w:rPr>
      </w:pPr>
      <w:r>
        <w:rPr>
          <w:rFonts w:ascii="宋体" w:hAnsi="宋体" w:hint="eastAsia"/>
          <w:sz w:val="24"/>
          <w:szCs w:val="24"/>
        </w:rPr>
        <w:t>附表A-4：响应性评审记录表</w:t>
      </w:r>
    </w:p>
    <w:p w14:paraId="57D7E68E">
      <w:pPr>
        <w:spacing w:line="360" w:lineRule="auto"/>
        <w:jc w:val="center"/>
        <w:rPr>
          <w:rFonts w:ascii="宋体" w:hAnsi="宋体"/>
          <w:b/>
          <w:lang w:eastAsia="zh-CN"/>
        </w:rPr>
      </w:pPr>
      <w:r>
        <w:rPr>
          <w:rFonts w:ascii="宋体" w:hAnsi="宋体" w:hint="eastAsia"/>
          <w:b/>
          <w:lang w:eastAsia="zh-CN"/>
        </w:rPr>
        <w:t>响应性评审记录表</w:t>
      </w:r>
    </w:p>
    <w:p w14:paraId="67B3E9DD">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617"/>
        <w:gridCol w:w="1651"/>
        <w:gridCol w:w="567"/>
        <w:gridCol w:w="616"/>
        <w:gridCol w:w="724"/>
        <w:gridCol w:w="724"/>
        <w:gridCol w:w="724"/>
        <w:gridCol w:w="724"/>
        <w:gridCol w:w="724"/>
        <w:gridCol w:w="724"/>
        <w:gridCol w:w="727"/>
      </w:tblGrid>
      <w:tr w14:paraId="0536956E">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c>
          <w:tcPr>
            <w:tcW w:w="617" w:type="dxa"/>
            <w:vMerge w:val="restart"/>
            <w:tcBorders>
              <w:top w:val="single" w:sz="2" w:space="0" w:color="auto"/>
              <w:left w:val="single" w:sz="2" w:space="0" w:color="auto"/>
              <w:bottom w:val="single" w:sz="2" w:space="0" w:color="auto"/>
              <w:right w:val="single" w:sz="2" w:space="0" w:color="auto"/>
            </w:tcBorders>
            <w:vAlign w:val="center"/>
          </w:tcPr>
          <w:p w14:paraId="1473D2A1">
            <w:pPr>
              <w:spacing w:line="360" w:lineRule="auto"/>
              <w:jc w:val="center"/>
              <w:rPr>
                <w:rFonts w:ascii="宋体" w:hAnsi="宋体"/>
              </w:rPr>
            </w:pPr>
            <w:r>
              <w:rPr>
                <w:rFonts w:ascii="宋体" w:hAnsi="宋体" w:hint="eastAsia"/>
              </w:rPr>
              <w:t>序号</w:t>
            </w:r>
          </w:p>
        </w:tc>
        <w:tc>
          <w:tcPr>
            <w:tcW w:w="1651" w:type="dxa"/>
            <w:vMerge w:val="restart"/>
            <w:tcBorders>
              <w:top w:val="single" w:sz="2" w:space="0" w:color="auto"/>
              <w:left w:val="single" w:sz="2" w:space="0" w:color="auto"/>
              <w:bottom w:val="single" w:sz="2" w:space="0" w:color="auto"/>
              <w:right w:val="single" w:sz="2" w:space="0" w:color="auto"/>
            </w:tcBorders>
            <w:vAlign w:val="center"/>
          </w:tcPr>
          <w:p w14:paraId="5260F16A">
            <w:pPr>
              <w:spacing w:line="360" w:lineRule="auto"/>
              <w:jc w:val="center"/>
              <w:rPr>
                <w:rFonts w:ascii="宋体" w:hAnsi="宋体"/>
              </w:rPr>
            </w:pPr>
            <w:r>
              <w:rPr>
                <w:rFonts w:ascii="宋体" w:hAnsi="宋体" w:hint="eastAsia"/>
              </w:rPr>
              <w:t>评审因素</w:t>
            </w:r>
          </w:p>
        </w:tc>
        <w:tc>
          <w:tcPr>
            <w:tcW w:w="6254" w:type="dxa"/>
            <w:gridSpan w:val="9"/>
            <w:tcBorders>
              <w:top w:val="single" w:sz="2" w:space="0" w:color="auto"/>
              <w:left w:val="single" w:sz="2" w:space="0" w:color="auto"/>
              <w:bottom w:val="single" w:sz="2" w:space="0" w:color="auto"/>
              <w:right w:val="single" w:sz="2" w:space="0" w:color="auto"/>
            </w:tcBorders>
            <w:vAlign w:val="center"/>
          </w:tcPr>
          <w:p w14:paraId="532FF8D7">
            <w:pPr>
              <w:spacing w:line="360" w:lineRule="auto"/>
              <w:jc w:val="center"/>
              <w:rPr>
                <w:rFonts w:ascii="宋体" w:hAnsi="宋体"/>
                <w:lang w:eastAsia="zh-CN"/>
              </w:rPr>
            </w:pPr>
            <w:r>
              <w:rPr>
                <w:rFonts w:ascii="宋体" w:hAnsi="宋体" w:hint="eastAsia"/>
                <w:lang w:eastAsia="zh-CN"/>
              </w:rPr>
              <w:t>投标人名称及评审意见</w:t>
            </w:r>
          </w:p>
        </w:tc>
      </w:tr>
      <w:tr w14:paraId="584F6090">
        <w:tblPrEx>
          <w:tblW w:w="0" w:type="auto"/>
          <w:tblInd w:w="0" w:type="dxa"/>
          <w:tblLayout w:type="fixed"/>
          <w:tblCellMar>
            <w:top w:w="0" w:type="dxa"/>
            <w:left w:w="108" w:type="dxa"/>
            <w:bottom w:w="0" w:type="dxa"/>
            <w:right w:w="108" w:type="dxa"/>
          </w:tblCellMar>
        </w:tblPrEx>
        <w:tc>
          <w:tcPr>
            <w:tcW w:w="617" w:type="dxa"/>
            <w:vMerge/>
            <w:tcBorders>
              <w:top w:val="single" w:sz="2" w:space="0" w:color="auto"/>
              <w:left w:val="single" w:sz="2" w:space="0" w:color="auto"/>
              <w:bottom w:val="single" w:sz="2" w:space="0" w:color="auto"/>
              <w:right w:val="single" w:sz="2" w:space="0" w:color="auto"/>
            </w:tcBorders>
            <w:vAlign w:val="center"/>
          </w:tcPr>
          <w:p w14:paraId="5427C0BF">
            <w:pPr>
              <w:rPr>
                <w:rFonts w:ascii="宋体" w:eastAsia="宋体" w:hAnsi="宋体"/>
                <w:kern w:val="2"/>
                <w:lang w:eastAsia="zh-CN"/>
              </w:rPr>
            </w:pPr>
          </w:p>
        </w:tc>
        <w:tc>
          <w:tcPr>
            <w:tcW w:w="1651" w:type="dxa"/>
            <w:vMerge/>
            <w:tcBorders>
              <w:top w:val="single" w:sz="2" w:space="0" w:color="auto"/>
              <w:left w:val="single" w:sz="2" w:space="0" w:color="auto"/>
              <w:bottom w:val="single" w:sz="2" w:space="0" w:color="auto"/>
              <w:right w:val="single" w:sz="2" w:space="0" w:color="auto"/>
            </w:tcBorders>
            <w:vAlign w:val="center"/>
          </w:tcPr>
          <w:p w14:paraId="39CA8B55">
            <w:pPr>
              <w:rPr>
                <w:rFonts w:ascii="宋体" w:eastAsia="宋体" w:hAnsi="宋体"/>
                <w:kern w:val="2"/>
                <w:lang w:eastAsia="zh-CN"/>
              </w:rPr>
            </w:pPr>
          </w:p>
        </w:tc>
        <w:tc>
          <w:tcPr>
            <w:tcW w:w="567" w:type="dxa"/>
            <w:tcBorders>
              <w:top w:val="single" w:sz="2" w:space="0" w:color="auto"/>
              <w:left w:val="single" w:sz="2" w:space="0" w:color="auto"/>
              <w:bottom w:val="single" w:sz="2" w:space="0" w:color="auto"/>
              <w:right w:val="single" w:sz="2" w:space="0" w:color="auto"/>
            </w:tcBorders>
            <w:vAlign w:val="center"/>
          </w:tcPr>
          <w:p w14:paraId="40C6AD0C">
            <w:pPr>
              <w:spacing w:line="360" w:lineRule="auto"/>
              <w:jc w:val="center"/>
              <w:rPr>
                <w:rFonts w:ascii="宋体" w:hAnsi="宋体"/>
                <w:lang w:eastAsia="zh-CN"/>
              </w:rPr>
            </w:pPr>
          </w:p>
        </w:tc>
        <w:tc>
          <w:tcPr>
            <w:tcW w:w="616" w:type="dxa"/>
            <w:tcBorders>
              <w:top w:val="single" w:sz="2" w:space="0" w:color="auto"/>
              <w:left w:val="single" w:sz="2" w:space="0" w:color="auto"/>
              <w:bottom w:val="single" w:sz="2" w:space="0" w:color="auto"/>
              <w:right w:val="single" w:sz="2" w:space="0" w:color="auto"/>
            </w:tcBorders>
            <w:vAlign w:val="center"/>
          </w:tcPr>
          <w:p w14:paraId="6BCE88C6">
            <w:pPr>
              <w:spacing w:line="360" w:lineRule="auto"/>
              <w:jc w:val="center"/>
              <w:rPr>
                <w:rFonts w:ascii="宋体" w:hAnsi="宋体"/>
                <w:lang w:eastAsia="zh-CN"/>
              </w:rPr>
            </w:pPr>
          </w:p>
        </w:tc>
        <w:tc>
          <w:tcPr>
            <w:tcW w:w="724" w:type="dxa"/>
            <w:tcBorders>
              <w:top w:val="single" w:sz="2" w:space="0" w:color="auto"/>
              <w:left w:val="single" w:sz="2" w:space="0" w:color="auto"/>
              <w:bottom w:val="single" w:sz="2" w:space="0" w:color="auto"/>
              <w:right w:val="single" w:sz="2" w:space="0" w:color="auto"/>
            </w:tcBorders>
            <w:vAlign w:val="center"/>
          </w:tcPr>
          <w:p w14:paraId="6D907DA0">
            <w:pPr>
              <w:spacing w:line="360" w:lineRule="auto"/>
              <w:jc w:val="center"/>
              <w:rPr>
                <w:rFonts w:ascii="宋体" w:hAnsi="宋体"/>
                <w:lang w:eastAsia="zh-CN"/>
              </w:rPr>
            </w:pPr>
          </w:p>
        </w:tc>
        <w:tc>
          <w:tcPr>
            <w:tcW w:w="724" w:type="dxa"/>
            <w:tcBorders>
              <w:top w:val="single" w:sz="2" w:space="0" w:color="auto"/>
              <w:left w:val="single" w:sz="2" w:space="0" w:color="auto"/>
              <w:bottom w:val="single" w:sz="2" w:space="0" w:color="auto"/>
              <w:right w:val="single" w:sz="2" w:space="0" w:color="auto"/>
            </w:tcBorders>
            <w:vAlign w:val="center"/>
          </w:tcPr>
          <w:p w14:paraId="6FD24CF4">
            <w:pPr>
              <w:spacing w:line="360" w:lineRule="auto"/>
              <w:jc w:val="center"/>
              <w:rPr>
                <w:rFonts w:ascii="宋体" w:hAnsi="宋体"/>
                <w:lang w:eastAsia="zh-CN"/>
              </w:rPr>
            </w:pPr>
          </w:p>
        </w:tc>
        <w:tc>
          <w:tcPr>
            <w:tcW w:w="724" w:type="dxa"/>
            <w:tcBorders>
              <w:top w:val="single" w:sz="2" w:space="0" w:color="auto"/>
              <w:left w:val="single" w:sz="2" w:space="0" w:color="auto"/>
              <w:bottom w:val="single" w:sz="2" w:space="0" w:color="auto"/>
              <w:right w:val="single" w:sz="2" w:space="0" w:color="auto"/>
            </w:tcBorders>
            <w:vAlign w:val="center"/>
          </w:tcPr>
          <w:p w14:paraId="43833BB4">
            <w:pPr>
              <w:spacing w:line="360" w:lineRule="auto"/>
              <w:jc w:val="center"/>
              <w:rPr>
                <w:rFonts w:ascii="宋体" w:hAnsi="宋体"/>
                <w:lang w:eastAsia="zh-CN"/>
              </w:rPr>
            </w:pPr>
          </w:p>
        </w:tc>
        <w:tc>
          <w:tcPr>
            <w:tcW w:w="724" w:type="dxa"/>
            <w:tcBorders>
              <w:top w:val="single" w:sz="2" w:space="0" w:color="auto"/>
              <w:left w:val="single" w:sz="2" w:space="0" w:color="auto"/>
              <w:bottom w:val="single" w:sz="2" w:space="0" w:color="auto"/>
              <w:right w:val="single" w:sz="2" w:space="0" w:color="auto"/>
            </w:tcBorders>
            <w:vAlign w:val="center"/>
          </w:tcPr>
          <w:p w14:paraId="352ED3D6">
            <w:pPr>
              <w:spacing w:line="360" w:lineRule="auto"/>
              <w:jc w:val="center"/>
              <w:rPr>
                <w:rFonts w:ascii="宋体" w:hAnsi="宋体"/>
                <w:lang w:eastAsia="zh-CN"/>
              </w:rPr>
            </w:pPr>
          </w:p>
        </w:tc>
        <w:tc>
          <w:tcPr>
            <w:tcW w:w="724" w:type="dxa"/>
            <w:tcBorders>
              <w:top w:val="single" w:sz="2" w:space="0" w:color="auto"/>
              <w:left w:val="single" w:sz="2" w:space="0" w:color="auto"/>
              <w:bottom w:val="single" w:sz="2" w:space="0" w:color="auto"/>
              <w:right w:val="single" w:sz="2" w:space="0" w:color="auto"/>
            </w:tcBorders>
            <w:vAlign w:val="center"/>
          </w:tcPr>
          <w:p w14:paraId="368581AE">
            <w:pPr>
              <w:spacing w:line="360" w:lineRule="auto"/>
              <w:jc w:val="center"/>
              <w:rPr>
                <w:rFonts w:ascii="宋体" w:hAnsi="宋体"/>
                <w:lang w:eastAsia="zh-CN"/>
              </w:rPr>
            </w:pPr>
          </w:p>
        </w:tc>
        <w:tc>
          <w:tcPr>
            <w:tcW w:w="724" w:type="dxa"/>
            <w:tcBorders>
              <w:top w:val="single" w:sz="2" w:space="0" w:color="auto"/>
              <w:left w:val="single" w:sz="2" w:space="0" w:color="auto"/>
              <w:bottom w:val="single" w:sz="2" w:space="0" w:color="auto"/>
              <w:right w:val="single" w:sz="2" w:space="0" w:color="auto"/>
            </w:tcBorders>
            <w:vAlign w:val="center"/>
          </w:tcPr>
          <w:p w14:paraId="661F6841">
            <w:pPr>
              <w:spacing w:line="360" w:lineRule="auto"/>
              <w:jc w:val="center"/>
              <w:rPr>
                <w:rFonts w:ascii="宋体" w:hAnsi="宋体"/>
                <w:lang w:eastAsia="zh-CN"/>
              </w:rPr>
            </w:pPr>
          </w:p>
        </w:tc>
        <w:tc>
          <w:tcPr>
            <w:tcW w:w="727" w:type="dxa"/>
            <w:tcBorders>
              <w:top w:val="single" w:sz="2" w:space="0" w:color="auto"/>
              <w:left w:val="single" w:sz="2" w:space="0" w:color="auto"/>
              <w:bottom w:val="single" w:sz="2" w:space="0" w:color="auto"/>
              <w:right w:val="single" w:sz="2" w:space="0" w:color="auto"/>
            </w:tcBorders>
            <w:vAlign w:val="center"/>
          </w:tcPr>
          <w:p w14:paraId="45932072">
            <w:pPr>
              <w:spacing w:line="360" w:lineRule="auto"/>
              <w:jc w:val="center"/>
              <w:rPr>
                <w:rFonts w:ascii="宋体" w:hAnsi="宋体"/>
                <w:lang w:eastAsia="zh-CN"/>
              </w:rPr>
            </w:pPr>
          </w:p>
        </w:tc>
      </w:tr>
      <w:tr w14:paraId="32DC3ECA">
        <w:tblPrEx>
          <w:tblW w:w="0" w:type="auto"/>
          <w:tblInd w:w="0" w:type="dxa"/>
          <w:tblLayout w:type="fixed"/>
          <w:tblCellMar>
            <w:top w:w="0" w:type="dxa"/>
            <w:left w:w="108" w:type="dxa"/>
            <w:bottom w:w="0" w:type="dxa"/>
            <w:right w:w="108" w:type="dxa"/>
          </w:tblCellMar>
        </w:tblPrEx>
        <w:tc>
          <w:tcPr>
            <w:tcW w:w="617" w:type="dxa"/>
            <w:tcBorders>
              <w:top w:val="single" w:sz="2" w:space="0" w:color="auto"/>
              <w:left w:val="single" w:sz="2" w:space="0" w:color="auto"/>
              <w:bottom w:val="single" w:sz="2" w:space="0" w:color="auto"/>
              <w:right w:val="single" w:sz="2" w:space="0" w:color="auto"/>
            </w:tcBorders>
            <w:vAlign w:val="center"/>
          </w:tcPr>
          <w:p w14:paraId="693CF71B">
            <w:pPr>
              <w:spacing w:line="360" w:lineRule="auto"/>
              <w:jc w:val="center"/>
              <w:rPr>
                <w:rFonts w:ascii="宋体" w:hAnsi="宋体"/>
              </w:rPr>
            </w:pPr>
            <w:r>
              <w:rPr>
                <w:rFonts w:ascii="宋体" w:hAnsi="宋体" w:hint="eastAsia"/>
              </w:rPr>
              <w:t>1</w:t>
            </w:r>
          </w:p>
        </w:tc>
        <w:tc>
          <w:tcPr>
            <w:tcW w:w="1651" w:type="dxa"/>
            <w:tcBorders>
              <w:top w:val="single" w:sz="2" w:space="0" w:color="auto"/>
              <w:left w:val="single" w:sz="2" w:space="0" w:color="auto"/>
              <w:bottom w:val="single" w:sz="2" w:space="0" w:color="auto"/>
              <w:right w:val="single" w:sz="2" w:space="0" w:color="auto"/>
            </w:tcBorders>
            <w:vAlign w:val="center"/>
          </w:tcPr>
          <w:p w14:paraId="0155F4D8">
            <w:pPr>
              <w:spacing w:line="360" w:lineRule="auto"/>
              <w:jc w:val="center"/>
              <w:rPr>
                <w:rFonts w:ascii="宋体" w:hAnsi="宋体"/>
              </w:rPr>
            </w:pPr>
            <w:r>
              <w:rPr>
                <w:rFonts w:ascii="宋体" w:hAnsi="宋体" w:hint="eastAsia"/>
              </w:rPr>
              <w:t>投标内容</w:t>
            </w:r>
          </w:p>
        </w:tc>
        <w:tc>
          <w:tcPr>
            <w:tcW w:w="567" w:type="dxa"/>
            <w:tcBorders>
              <w:top w:val="single" w:sz="2" w:space="0" w:color="auto"/>
              <w:left w:val="single" w:sz="2" w:space="0" w:color="auto"/>
              <w:bottom w:val="single" w:sz="2" w:space="0" w:color="auto"/>
              <w:right w:val="single" w:sz="2" w:space="0" w:color="auto"/>
            </w:tcBorders>
            <w:vAlign w:val="center"/>
          </w:tcPr>
          <w:p w14:paraId="463781C3">
            <w:pPr>
              <w:spacing w:line="360" w:lineRule="auto"/>
              <w:jc w:val="center"/>
              <w:rPr>
                <w:rFonts w:ascii="宋体" w:hAnsi="宋体"/>
              </w:rPr>
            </w:pPr>
          </w:p>
        </w:tc>
        <w:tc>
          <w:tcPr>
            <w:tcW w:w="616" w:type="dxa"/>
            <w:tcBorders>
              <w:top w:val="single" w:sz="2" w:space="0" w:color="auto"/>
              <w:left w:val="single" w:sz="2" w:space="0" w:color="auto"/>
              <w:bottom w:val="single" w:sz="2" w:space="0" w:color="auto"/>
              <w:right w:val="single" w:sz="2" w:space="0" w:color="auto"/>
            </w:tcBorders>
            <w:vAlign w:val="center"/>
          </w:tcPr>
          <w:p w14:paraId="2D14109E">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5A5CCA2">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DA91177">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9E96E15">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024145E">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767E801">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D66DF76">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573E0A69">
            <w:pPr>
              <w:spacing w:line="360" w:lineRule="auto"/>
              <w:jc w:val="center"/>
              <w:rPr>
                <w:rFonts w:ascii="宋体" w:hAnsi="宋体"/>
              </w:rPr>
            </w:pPr>
          </w:p>
        </w:tc>
      </w:tr>
      <w:tr w14:paraId="7B091F5D">
        <w:tblPrEx>
          <w:tblW w:w="0" w:type="auto"/>
          <w:tblInd w:w="0" w:type="dxa"/>
          <w:tblLayout w:type="fixed"/>
          <w:tblCellMar>
            <w:top w:w="0" w:type="dxa"/>
            <w:left w:w="108" w:type="dxa"/>
            <w:bottom w:w="0" w:type="dxa"/>
            <w:right w:w="108" w:type="dxa"/>
          </w:tblCellMar>
        </w:tblPrEx>
        <w:tc>
          <w:tcPr>
            <w:tcW w:w="617" w:type="dxa"/>
            <w:tcBorders>
              <w:top w:val="single" w:sz="2" w:space="0" w:color="auto"/>
              <w:left w:val="single" w:sz="2" w:space="0" w:color="auto"/>
              <w:bottom w:val="single" w:sz="2" w:space="0" w:color="auto"/>
              <w:right w:val="single" w:sz="2" w:space="0" w:color="auto"/>
            </w:tcBorders>
            <w:vAlign w:val="center"/>
          </w:tcPr>
          <w:p w14:paraId="00019200">
            <w:pPr>
              <w:spacing w:line="360" w:lineRule="auto"/>
              <w:jc w:val="center"/>
              <w:rPr>
                <w:rFonts w:ascii="宋体" w:hAnsi="宋体"/>
              </w:rPr>
            </w:pPr>
            <w:r>
              <w:rPr>
                <w:rFonts w:ascii="宋体" w:hAnsi="宋体" w:hint="eastAsia"/>
              </w:rPr>
              <w:t>2</w:t>
            </w:r>
          </w:p>
        </w:tc>
        <w:tc>
          <w:tcPr>
            <w:tcW w:w="1651" w:type="dxa"/>
            <w:tcBorders>
              <w:top w:val="single" w:sz="2" w:space="0" w:color="auto"/>
              <w:left w:val="single" w:sz="2" w:space="0" w:color="auto"/>
              <w:bottom w:val="single" w:sz="2" w:space="0" w:color="auto"/>
              <w:right w:val="single" w:sz="2" w:space="0" w:color="auto"/>
            </w:tcBorders>
            <w:vAlign w:val="center"/>
          </w:tcPr>
          <w:p w14:paraId="787A71A6">
            <w:pPr>
              <w:spacing w:line="360" w:lineRule="auto"/>
              <w:jc w:val="center"/>
              <w:rPr>
                <w:rFonts w:ascii="宋体" w:hAnsi="宋体"/>
              </w:rPr>
            </w:pPr>
            <w:r>
              <w:rPr>
                <w:rFonts w:ascii="宋体" w:hAnsi="宋体" w:hint="eastAsia"/>
              </w:rPr>
              <w:t>工期</w:t>
            </w:r>
          </w:p>
        </w:tc>
        <w:tc>
          <w:tcPr>
            <w:tcW w:w="567" w:type="dxa"/>
            <w:tcBorders>
              <w:top w:val="single" w:sz="2" w:space="0" w:color="auto"/>
              <w:left w:val="single" w:sz="2" w:space="0" w:color="auto"/>
              <w:bottom w:val="single" w:sz="2" w:space="0" w:color="auto"/>
              <w:right w:val="single" w:sz="2" w:space="0" w:color="auto"/>
            </w:tcBorders>
            <w:vAlign w:val="center"/>
          </w:tcPr>
          <w:p w14:paraId="62C0383F">
            <w:pPr>
              <w:spacing w:line="360" w:lineRule="auto"/>
              <w:jc w:val="center"/>
              <w:rPr>
                <w:rFonts w:ascii="宋体" w:hAnsi="宋体"/>
              </w:rPr>
            </w:pPr>
          </w:p>
        </w:tc>
        <w:tc>
          <w:tcPr>
            <w:tcW w:w="616" w:type="dxa"/>
            <w:tcBorders>
              <w:top w:val="single" w:sz="2" w:space="0" w:color="auto"/>
              <w:left w:val="single" w:sz="2" w:space="0" w:color="auto"/>
              <w:bottom w:val="single" w:sz="2" w:space="0" w:color="auto"/>
              <w:right w:val="single" w:sz="2" w:space="0" w:color="auto"/>
            </w:tcBorders>
            <w:vAlign w:val="center"/>
          </w:tcPr>
          <w:p w14:paraId="288A27E5">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3FAC6FA">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D739404">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9EF7097">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32ED3B9">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2E51B5B">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FB78482">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61A2449C">
            <w:pPr>
              <w:spacing w:line="360" w:lineRule="auto"/>
              <w:jc w:val="center"/>
              <w:rPr>
                <w:rFonts w:ascii="宋体" w:hAnsi="宋体"/>
              </w:rPr>
            </w:pPr>
          </w:p>
        </w:tc>
      </w:tr>
      <w:tr w14:paraId="21CE1C11">
        <w:tblPrEx>
          <w:tblW w:w="0" w:type="auto"/>
          <w:tblInd w:w="0" w:type="dxa"/>
          <w:tblLayout w:type="fixed"/>
          <w:tblCellMar>
            <w:top w:w="0" w:type="dxa"/>
            <w:left w:w="108" w:type="dxa"/>
            <w:bottom w:w="0" w:type="dxa"/>
            <w:right w:w="108" w:type="dxa"/>
          </w:tblCellMar>
        </w:tblPrEx>
        <w:tc>
          <w:tcPr>
            <w:tcW w:w="617" w:type="dxa"/>
            <w:tcBorders>
              <w:top w:val="single" w:sz="2" w:space="0" w:color="auto"/>
              <w:left w:val="single" w:sz="2" w:space="0" w:color="auto"/>
              <w:bottom w:val="single" w:sz="2" w:space="0" w:color="auto"/>
              <w:right w:val="single" w:sz="2" w:space="0" w:color="auto"/>
            </w:tcBorders>
            <w:vAlign w:val="center"/>
          </w:tcPr>
          <w:p w14:paraId="68AD4D43">
            <w:pPr>
              <w:spacing w:line="360" w:lineRule="auto"/>
              <w:jc w:val="center"/>
              <w:rPr>
                <w:rFonts w:ascii="宋体" w:hAnsi="宋体"/>
              </w:rPr>
            </w:pPr>
            <w:r>
              <w:rPr>
                <w:rFonts w:ascii="宋体" w:hAnsi="宋体" w:hint="eastAsia"/>
              </w:rPr>
              <w:t>3</w:t>
            </w:r>
          </w:p>
        </w:tc>
        <w:tc>
          <w:tcPr>
            <w:tcW w:w="1651" w:type="dxa"/>
            <w:tcBorders>
              <w:top w:val="single" w:sz="2" w:space="0" w:color="auto"/>
              <w:left w:val="single" w:sz="2" w:space="0" w:color="auto"/>
              <w:bottom w:val="single" w:sz="2" w:space="0" w:color="auto"/>
              <w:right w:val="single" w:sz="2" w:space="0" w:color="auto"/>
            </w:tcBorders>
            <w:vAlign w:val="center"/>
          </w:tcPr>
          <w:p w14:paraId="4028B976">
            <w:pPr>
              <w:spacing w:line="360" w:lineRule="auto"/>
              <w:jc w:val="center"/>
              <w:rPr>
                <w:rFonts w:ascii="宋体" w:hAnsi="宋体"/>
              </w:rPr>
            </w:pPr>
            <w:r>
              <w:rPr>
                <w:rFonts w:ascii="宋体" w:hAnsi="宋体" w:hint="eastAsia"/>
              </w:rPr>
              <w:t>工程质量</w:t>
            </w:r>
          </w:p>
        </w:tc>
        <w:tc>
          <w:tcPr>
            <w:tcW w:w="567" w:type="dxa"/>
            <w:tcBorders>
              <w:top w:val="single" w:sz="2" w:space="0" w:color="auto"/>
              <w:left w:val="single" w:sz="2" w:space="0" w:color="auto"/>
              <w:bottom w:val="single" w:sz="2" w:space="0" w:color="auto"/>
              <w:right w:val="single" w:sz="2" w:space="0" w:color="auto"/>
            </w:tcBorders>
            <w:vAlign w:val="center"/>
          </w:tcPr>
          <w:p w14:paraId="5F936333">
            <w:pPr>
              <w:spacing w:line="360" w:lineRule="auto"/>
              <w:jc w:val="center"/>
              <w:rPr>
                <w:rFonts w:ascii="宋体" w:hAnsi="宋体"/>
              </w:rPr>
            </w:pPr>
          </w:p>
        </w:tc>
        <w:tc>
          <w:tcPr>
            <w:tcW w:w="616" w:type="dxa"/>
            <w:tcBorders>
              <w:top w:val="single" w:sz="2" w:space="0" w:color="auto"/>
              <w:left w:val="single" w:sz="2" w:space="0" w:color="auto"/>
              <w:bottom w:val="single" w:sz="2" w:space="0" w:color="auto"/>
              <w:right w:val="single" w:sz="2" w:space="0" w:color="auto"/>
            </w:tcBorders>
            <w:vAlign w:val="center"/>
          </w:tcPr>
          <w:p w14:paraId="47DC734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2E6DB26">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3A35BF9">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64C6798">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6032C3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0891A1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934FFF7">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7D4593D9">
            <w:pPr>
              <w:spacing w:line="360" w:lineRule="auto"/>
              <w:jc w:val="center"/>
              <w:rPr>
                <w:rFonts w:ascii="宋体" w:hAnsi="宋体"/>
              </w:rPr>
            </w:pPr>
          </w:p>
        </w:tc>
      </w:tr>
      <w:tr w14:paraId="188B8F8A">
        <w:tblPrEx>
          <w:tblW w:w="0" w:type="auto"/>
          <w:tblInd w:w="0" w:type="dxa"/>
          <w:tblLayout w:type="fixed"/>
          <w:tblCellMar>
            <w:top w:w="0" w:type="dxa"/>
            <w:left w:w="108" w:type="dxa"/>
            <w:bottom w:w="0" w:type="dxa"/>
            <w:right w:w="108" w:type="dxa"/>
          </w:tblCellMar>
        </w:tblPrEx>
        <w:tc>
          <w:tcPr>
            <w:tcW w:w="617" w:type="dxa"/>
            <w:tcBorders>
              <w:top w:val="single" w:sz="2" w:space="0" w:color="auto"/>
              <w:left w:val="single" w:sz="2" w:space="0" w:color="auto"/>
              <w:bottom w:val="single" w:sz="2" w:space="0" w:color="auto"/>
              <w:right w:val="single" w:sz="2" w:space="0" w:color="auto"/>
            </w:tcBorders>
            <w:vAlign w:val="center"/>
          </w:tcPr>
          <w:p w14:paraId="06C36CAA">
            <w:pPr>
              <w:spacing w:line="360" w:lineRule="auto"/>
              <w:jc w:val="center"/>
              <w:rPr>
                <w:rFonts w:ascii="宋体" w:hAnsi="宋体"/>
              </w:rPr>
            </w:pPr>
            <w:r>
              <w:rPr>
                <w:rFonts w:ascii="宋体" w:hAnsi="宋体" w:hint="eastAsia"/>
              </w:rPr>
              <w:t>4</w:t>
            </w:r>
          </w:p>
        </w:tc>
        <w:tc>
          <w:tcPr>
            <w:tcW w:w="1651" w:type="dxa"/>
            <w:tcBorders>
              <w:top w:val="single" w:sz="2" w:space="0" w:color="auto"/>
              <w:left w:val="single" w:sz="2" w:space="0" w:color="auto"/>
              <w:bottom w:val="single" w:sz="2" w:space="0" w:color="auto"/>
              <w:right w:val="single" w:sz="2" w:space="0" w:color="auto"/>
            </w:tcBorders>
            <w:vAlign w:val="center"/>
          </w:tcPr>
          <w:p w14:paraId="128B4633">
            <w:pPr>
              <w:spacing w:line="360" w:lineRule="auto"/>
              <w:jc w:val="center"/>
              <w:rPr>
                <w:rFonts w:ascii="宋体" w:hAnsi="宋体"/>
              </w:rPr>
            </w:pPr>
            <w:r>
              <w:rPr>
                <w:rFonts w:ascii="宋体" w:hAnsi="宋体" w:hint="eastAsia"/>
              </w:rPr>
              <w:t>投标有效期</w:t>
            </w:r>
          </w:p>
        </w:tc>
        <w:tc>
          <w:tcPr>
            <w:tcW w:w="567" w:type="dxa"/>
            <w:tcBorders>
              <w:top w:val="single" w:sz="2" w:space="0" w:color="auto"/>
              <w:left w:val="single" w:sz="2" w:space="0" w:color="auto"/>
              <w:bottom w:val="single" w:sz="2" w:space="0" w:color="auto"/>
              <w:right w:val="single" w:sz="2" w:space="0" w:color="auto"/>
            </w:tcBorders>
            <w:vAlign w:val="center"/>
          </w:tcPr>
          <w:p w14:paraId="79FFD18F">
            <w:pPr>
              <w:spacing w:line="360" w:lineRule="auto"/>
              <w:jc w:val="center"/>
              <w:rPr>
                <w:rFonts w:ascii="宋体" w:hAnsi="宋体"/>
              </w:rPr>
            </w:pPr>
          </w:p>
        </w:tc>
        <w:tc>
          <w:tcPr>
            <w:tcW w:w="616" w:type="dxa"/>
            <w:tcBorders>
              <w:top w:val="single" w:sz="2" w:space="0" w:color="auto"/>
              <w:left w:val="single" w:sz="2" w:space="0" w:color="auto"/>
              <w:bottom w:val="single" w:sz="2" w:space="0" w:color="auto"/>
              <w:right w:val="single" w:sz="2" w:space="0" w:color="auto"/>
            </w:tcBorders>
            <w:vAlign w:val="center"/>
          </w:tcPr>
          <w:p w14:paraId="04C0D11D">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336F79B5">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02C16DE">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DE7D380">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680C1EC">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253416F">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D4D363D">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4294F758">
            <w:pPr>
              <w:spacing w:line="360" w:lineRule="auto"/>
              <w:jc w:val="center"/>
              <w:rPr>
                <w:rFonts w:ascii="宋体" w:hAnsi="宋体"/>
              </w:rPr>
            </w:pPr>
          </w:p>
        </w:tc>
      </w:tr>
      <w:tr w14:paraId="447325CF">
        <w:tblPrEx>
          <w:tblW w:w="0" w:type="auto"/>
          <w:tblInd w:w="0" w:type="dxa"/>
          <w:tblLayout w:type="fixed"/>
          <w:tblCellMar>
            <w:top w:w="0" w:type="dxa"/>
            <w:left w:w="108" w:type="dxa"/>
            <w:bottom w:w="0" w:type="dxa"/>
            <w:right w:w="108" w:type="dxa"/>
          </w:tblCellMar>
        </w:tblPrEx>
        <w:tc>
          <w:tcPr>
            <w:tcW w:w="617" w:type="dxa"/>
            <w:tcBorders>
              <w:top w:val="single" w:sz="2" w:space="0" w:color="auto"/>
              <w:left w:val="single" w:sz="2" w:space="0" w:color="auto"/>
              <w:bottom w:val="single" w:sz="2" w:space="0" w:color="auto"/>
              <w:right w:val="single" w:sz="2" w:space="0" w:color="auto"/>
            </w:tcBorders>
            <w:vAlign w:val="center"/>
          </w:tcPr>
          <w:p w14:paraId="1EBE0D53">
            <w:pPr>
              <w:spacing w:line="360" w:lineRule="auto"/>
              <w:jc w:val="center"/>
              <w:rPr>
                <w:rFonts w:ascii="宋体" w:hAnsi="宋体"/>
              </w:rPr>
            </w:pPr>
            <w:r>
              <w:rPr>
                <w:rFonts w:ascii="宋体" w:hAnsi="宋体" w:hint="eastAsia"/>
              </w:rPr>
              <w:t>5</w:t>
            </w:r>
          </w:p>
        </w:tc>
        <w:tc>
          <w:tcPr>
            <w:tcW w:w="1651" w:type="dxa"/>
            <w:tcBorders>
              <w:top w:val="single" w:sz="2" w:space="0" w:color="auto"/>
              <w:left w:val="single" w:sz="2" w:space="0" w:color="auto"/>
              <w:bottom w:val="single" w:sz="2" w:space="0" w:color="auto"/>
              <w:right w:val="single" w:sz="2" w:space="0" w:color="auto"/>
            </w:tcBorders>
            <w:vAlign w:val="center"/>
          </w:tcPr>
          <w:p w14:paraId="0A8A3B16">
            <w:pPr>
              <w:spacing w:line="360" w:lineRule="auto"/>
              <w:jc w:val="center"/>
              <w:rPr>
                <w:rFonts w:ascii="宋体" w:hAnsi="宋体"/>
              </w:rPr>
            </w:pPr>
            <w:r>
              <w:rPr>
                <w:rFonts w:ascii="宋体" w:hAnsi="宋体" w:hint="eastAsia"/>
              </w:rPr>
              <w:t>投标保证金</w:t>
            </w:r>
          </w:p>
        </w:tc>
        <w:tc>
          <w:tcPr>
            <w:tcW w:w="567" w:type="dxa"/>
            <w:tcBorders>
              <w:top w:val="single" w:sz="2" w:space="0" w:color="auto"/>
              <w:left w:val="single" w:sz="2" w:space="0" w:color="auto"/>
              <w:bottom w:val="single" w:sz="2" w:space="0" w:color="auto"/>
              <w:right w:val="single" w:sz="2" w:space="0" w:color="auto"/>
            </w:tcBorders>
            <w:vAlign w:val="center"/>
          </w:tcPr>
          <w:p w14:paraId="715B15C8">
            <w:pPr>
              <w:spacing w:line="360" w:lineRule="auto"/>
              <w:jc w:val="center"/>
              <w:rPr>
                <w:rFonts w:ascii="宋体" w:hAnsi="宋体"/>
              </w:rPr>
            </w:pPr>
          </w:p>
        </w:tc>
        <w:tc>
          <w:tcPr>
            <w:tcW w:w="616" w:type="dxa"/>
            <w:tcBorders>
              <w:top w:val="single" w:sz="2" w:space="0" w:color="auto"/>
              <w:left w:val="single" w:sz="2" w:space="0" w:color="auto"/>
              <w:bottom w:val="single" w:sz="2" w:space="0" w:color="auto"/>
              <w:right w:val="single" w:sz="2" w:space="0" w:color="auto"/>
            </w:tcBorders>
            <w:vAlign w:val="center"/>
          </w:tcPr>
          <w:p w14:paraId="55DFF7B4">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9191CC6">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3E52B1F6">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62B14D7">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DBD89A0">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01D952E">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FA13BFE">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27AEAFFF">
            <w:pPr>
              <w:spacing w:line="360" w:lineRule="auto"/>
              <w:jc w:val="center"/>
              <w:rPr>
                <w:rFonts w:ascii="宋体" w:hAnsi="宋体"/>
              </w:rPr>
            </w:pPr>
          </w:p>
        </w:tc>
      </w:tr>
      <w:tr w14:paraId="6D0EAADD">
        <w:tblPrEx>
          <w:tblW w:w="0" w:type="auto"/>
          <w:tblInd w:w="0" w:type="dxa"/>
          <w:tblLayout w:type="fixed"/>
          <w:tblCellMar>
            <w:top w:w="0" w:type="dxa"/>
            <w:left w:w="108" w:type="dxa"/>
            <w:bottom w:w="0" w:type="dxa"/>
            <w:right w:w="108" w:type="dxa"/>
          </w:tblCellMar>
        </w:tblPrEx>
        <w:tc>
          <w:tcPr>
            <w:tcW w:w="617" w:type="dxa"/>
            <w:tcBorders>
              <w:top w:val="single" w:sz="2" w:space="0" w:color="auto"/>
              <w:left w:val="single" w:sz="2" w:space="0" w:color="auto"/>
              <w:bottom w:val="single" w:sz="2" w:space="0" w:color="auto"/>
              <w:right w:val="single" w:sz="2" w:space="0" w:color="auto"/>
            </w:tcBorders>
            <w:vAlign w:val="center"/>
          </w:tcPr>
          <w:p w14:paraId="4C9ACBEC">
            <w:pPr>
              <w:spacing w:line="360" w:lineRule="auto"/>
              <w:jc w:val="center"/>
              <w:rPr>
                <w:rFonts w:ascii="宋体" w:hAnsi="宋体"/>
              </w:rPr>
            </w:pPr>
            <w:r>
              <w:rPr>
                <w:rFonts w:ascii="宋体" w:hAnsi="宋体" w:hint="eastAsia"/>
              </w:rPr>
              <w:t>6</w:t>
            </w:r>
          </w:p>
        </w:tc>
        <w:tc>
          <w:tcPr>
            <w:tcW w:w="1651" w:type="dxa"/>
            <w:tcBorders>
              <w:top w:val="single" w:sz="2" w:space="0" w:color="auto"/>
              <w:left w:val="single" w:sz="2" w:space="0" w:color="auto"/>
              <w:bottom w:val="single" w:sz="2" w:space="0" w:color="auto"/>
              <w:right w:val="single" w:sz="2" w:space="0" w:color="auto"/>
            </w:tcBorders>
            <w:vAlign w:val="center"/>
          </w:tcPr>
          <w:p w14:paraId="0B6EFC3F">
            <w:pPr>
              <w:spacing w:line="360" w:lineRule="auto"/>
              <w:jc w:val="center"/>
              <w:rPr>
                <w:rFonts w:ascii="宋体" w:hAnsi="宋体"/>
              </w:rPr>
            </w:pPr>
            <w:r>
              <w:rPr>
                <w:rFonts w:ascii="宋体" w:hAnsi="宋体" w:hint="eastAsia"/>
              </w:rPr>
              <w:t>权利义务</w:t>
            </w:r>
          </w:p>
        </w:tc>
        <w:tc>
          <w:tcPr>
            <w:tcW w:w="567" w:type="dxa"/>
            <w:tcBorders>
              <w:top w:val="single" w:sz="2" w:space="0" w:color="auto"/>
              <w:left w:val="single" w:sz="2" w:space="0" w:color="auto"/>
              <w:bottom w:val="single" w:sz="2" w:space="0" w:color="auto"/>
              <w:right w:val="single" w:sz="2" w:space="0" w:color="auto"/>
            </w:tcBorders>
            <w:vAlign w:val="center"/>
          </w:tcPr>
          <w:p w14:paraId="096B0EC4">
            <w:pPr>
              <w:spacing w:line="360" w:lineRule="auto"/>
              <w:jc w:val="center"/>
              <w:rPr>
                <w:rFonts w:ascii="宋体" w:hAnsi="宋体"/>
              </w:rPr>
            </w:pPr>
          </w:p>
        </w:tc>
        <w:tc>
          <w:tcPr>
            <w:tcW w:w="616" w:type="dxa"/>
            <w:tcBorders>
              <w:top w:val="single" w:sz="2" w:space="0" w:color="auto"/>
              <w:left w:val="single" w:sz="2" w:space="0" w:color="auto"/>
              <w:bottom w:val="single" w:sz="2" w:space="0" w:color="auto"/>
              <w:right w:val="single" w:sz="2" w:space="0" w:color="auto"/>
            </w:tcBorders>
            <w:vAlign w:val="center"/>
          </w:tcPr>
          <w:p w14:paraId="4B7FC113">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1325DE1">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EE4F3B6">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8AA90A8">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ADD264A">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479C382">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6BEEB08">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0DB15D3E">
            <w:pPr>
              <w:spacing w:line="360" w:lineRule="auto"/>
              <w:jc w:val="center"/>
              <w:rPr>
                <w:rFonts w:ascii="宋体" w:hAnsi="宋体"/>
              </w:rPr>
            </w:pPr>
          </w:p>
        </w:tc>
      </w:tr>
      <w:tr w14:paraId="672DEC73">
        <w:tblPrEx>
          <w:tblW w:w="0" w:type="auto"/>
          <w:tblInd w:w="0" w:type="dxa"/>
          <w:tblLayout w:type="fixed"/>
          <w:tblCellMar>
            <w:top w:w="0" w:type="dxa"/>
            <w:left w:w="108" w:type="dxa"/>
            <w:bottom w:w="0" w:type="dxa"/>
            <w:right w:w="108" w:type="dxa"/>
          </w:tblCellMar>
        </w:tblPrEx>
        <w:tc>
          <w:tcPr>
            <w:tcW w:w="617" w:type="dxa"/>
            <w:tcBorders>
              <w:top w:val="single" w:sz="2" w:space="0" w:color="auto"/>
              <w:left w:val="single" w:sz="2" w:space="0" w:color="auto"/>
              <w:bottom w:val="single" w:sz="2" w:space="0" w:color="auto"/>
              <w:right w:val="single" w:sz="2" w:space="0" w:color="auto"/>
            </w:tcBorders>
            <w:vAlign w:val="center"/>
          </w:tcPr>
          <w:p w14:paraId="40447BCD">
            <w:pPr>
              <w:spacing w:line="360" w:lineRule="auto"/>
              <w:jc w:val="center"/>
              <w:rPr>
                <w:rFonts w:ascii="宋体" w:hAnsi="宋体"/>
              </w:rPr>
            </w:pPr>
            <w:r>
              <w:rPr>
                <w:rFonts w:ascii="宋体" w:hAnsi="宋体" w:hint="eastAsia"/>
              </w:rPr>
              <w:t>7</w:t>
            </w:r>
          </w:p>
        </w:tc>
        <w:tc>
          <w:tcPr>
            <w:tcW w:w="1651" w:type="dxa"/>
            <w:tcBorders>
              <w:top w:val="single" w:sz="2" w:space="0" w:color="auto"/>
              <w:left w:val="single" w:sz="2" w:space="0" w:color="auto"/>
              <w:bottom w:val="single" w:sz="2" w:space="0" w:color="auto"/>
              <w:right w:val="single" w:sz="2" w:space="0" w:color="auto"/>
            </w:tcBorders>
            <w:vAlign w:val="center"/>
          </w:tcPr>
          <w:p w14:paraId="39F79218">
            <w:pPr>
              <w:spacing w:line="360" w:lineRule="auto"/>
              <w:jc w:val="center"/>
              <w:rPr>
                <w:rFonts w:ascii="宋体" w:hAnsi="宋体"/>
              </w:rPr>
            </w:pPr>
            <w:r>
              <w:rPr>
                <w:rFonts w:ascii="宋体" w:hAnsi="宋体" w:hint="eastAsia"/>
              </w:rPr>
              <w:t>已标价工程量清单</w:t>
            </w:r>
          </w:p>
        </w:tc>
        <w:tc>
          <w:tcPr>
            <w:tcW w:w="567" w:type="dxa"/>
            <w:tcBorders>
              <w:top w:val="single" w:sz="2" w:space="0" w:color="auto"/>
              <w:left w:val="single" w:sz="2" w:space="0" w:color="auto"/>
              <w:bottom w:val="single" w:sz="2" w:space="0" w:color="auto"/>
              <w:right w:val="single" w:sz="2" w:space="0" w:color="auto"/>
            </w:tcBorders>
            <w:vAlign w:val="center"/>
          </w:tcPr>
          <w:p w14:paraId="4FB29063">
            <w:pPr>
              <w:spacing w:line="360" w:lineRule="auto"/>
              <w:jc w:val="center"/>
              <w:rPr>
                <w:rFonts w:ascii="宋体" w:hAnsi="宋体"/>
              </w:rPr>
            </w:pPr>
          </w:p>
        </w:tc>
        <w:tc>
          <w:tcPr>
            <w:tcW w:w="616" w:type="dxa"/>
            <w:tcBorders>
              <w:top w:val="single" w:sz="2" w:space="0" w:color="auto"/>
              <w:left w:val="single" w:sz="2" w:space="0" w:color="auto"/>
              <w:bottom w:val="single" w:sz="2" w:space="0" w:color="auto"/>
              <w:right w:val="single" w:sz="2" w:space="0" w:color="auto"/>
            </w:tcBorders>
            <w:vAlign w:val="center"/>
          </w:tcPr>
          <w:p w14:paraId="2F3034C2">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7B04D14">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0F03A71">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7D83F8B">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8DA9AB1">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D808F5D">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9BBA224">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30A13576">
            <w:pPr>
              <w:spacing w:line="360" w:lineRule="auto"/>
              <w:jc w:val="center"/>
              <w:rPr>
                <w:rFonts w:ascii="宋体" w:hAnsi="宋体"/>
              </w:rPr>
            </w:pPr>
          </w:p>
        </w:tc>
      </w:tr>
      <w:tr w14:paraId="56D48E94">
        <w:tblPrEx>
          <w:tblW w:w="0" w:type="auto"/>
          <w:tblInd w:w="0" w:type="dxa"/>
          <w:tblLayout w:type="fixed"/>
          <w:tblCellMar>
            <w:top w:w="0" w:type="dxa"/>
            <w:left w:w="108" w:type="dxa"/>
            <w:bottom w:w="0" w:type="dxa"/>
            <w:right w:w="108" w:type="dxa"/>
          </w:tblCellMar>
        </w:tblPrEx>
        <w:tc>
          <w:tcPr>
            <w:tcW w:w="617" w:type="dxa"/>
            <w:tcBorders>
              <w:top w:val="single" w:sz="2" w:space="0" w:color="auto"/>
              <w:left w:val="single" w:sz="2" w:space="0" w:color="auto"/>
              <w:bottom w:val="single" w:sz="2" w:space="0" w:color="auto"/>
              <w:right w:val="single" w:sz="2" w:space="0" w:color="auto"/>
            </w:tcBorders>
            <w:vAlign w:val="center"/>
          </w:tcPr>
          <w:p w14:paraId="2622415C">
            <w:pPr>
              <w:spacing w:line="360" w:lineRule="auto"/>
              <w:jc w:val="center"/>
              <w:rPr>
                <w:rFonts w:ascii="宋体" w:hAnsi="宋体"/>
              </w:rPr>
            </w:pPr>
            <w:r>
              <w:rPr>
                <w:rFonts w:ascii="宋体" w:hAnsi="宋体" w:hint="eastAsia"/>
              </w:rPr>
              <w:t>8</w:t>
            </w:r>
          </w:p>
        </w:tc>
        <w:tc>
          <w:tcPr>
            <w:tcW w:w="1651" w:type="dxa"/>
            <w:tcBorders>
              <w:top w:val="single" w:sz="2" w:space="0" w:color="auto"/>
              <w:left w:val="single" w:sz="2" w:space="0" w:color="auto"/>
              <w:bottom w:val="single" w:sz="2" w:space="0" w:color="auto"/>
              <w:right w:val="single" w:sz="2" w:space="0" w:color="auto"/>
            </w:tcBorders>
            <w:vAlign w:val="center"/>
          </w:tcPr>
          <w:p w14:paraId="220ED96E">
            <w:pPr>
              <w:spacing w:line="360" w:lineRule="auto"/>
              <w:jc w:val="center"/>
              <w:rPr>
                <w:rFonts w:ascii="宋体" w:hAnsi="宋体"/>
              </w:rPr>
            </w:pPr>
            <w:r>
              <w:rPr>
                <w:rFonts w:ascii="宋体" w:hAnsi="宋体" w:hint="eastAsia"/>
              </w:rPr>
              <w:t>技术标准和要求</w:t>
            </w:r>
          </w:p>
        </w:tc>
        <w:tc>
          <w:tcPr>
            <w:tcW w:w="567" w:type="dxa"/>
            <w:tcBorders>
              <w:top w:val="single" w:sz="2" w:space="0" w:color="auto"/>
              <w:left w:val="single" w:sz="2" w:space="0" w:color="auto"/>
              <w:bottom w:val="single" w:sz="2" w:space="0" w:color="auto"/>
              <w:right w:val="single" w:sz="2" w:space="0" w:color="auto"/>
            </w:tcBorders>
            <w:vAlign w:val="center"/>
          </w:tcPr>
          <w:p w14:paraId="47735545">
            <w:pPr>
              <w:spacing w:line="360" w:lineRule="auto"/>
              <w:jc w:val="center"/>
              <w:rPr>
                <w:rFonts w:ascii="宋体" w:hAnsi="宋体"/>
              </w:rPr>
            </w:pPr>
          </w:p>
        </w:tc>
        <w:tc>
          <w:tcPr>
            <w:tcW w:w="616" w:type="dxa"/>
            <w:tcBorders>
              <w:top w:val="single" w:sz="2" w:space="0" w:color="auto"/>
              <w:left w:val="single" w:sz="2" w:space="0" w:color="auto"/>
              <w:bottom w:val="single" w:sz="2" w:space="0" w:color="auto"/>
              <w:right w:val="single" w:sz="2" w:space="0" w:color="auto"/>
            </w:tcBorders>
            <w:vAlign w:val="center"/>
          </w:tcPr>
          <w:p w14:paraId="77375BC8">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2D83168">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E65F686">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5C4C4FE">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1F9952E">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181F8D8">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0524B90">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22A4DF93">
            <w:pPr>
              <w:spacing w:line="360" w:lineRule="auto"/>
              <w:jc w:val="center"/>
              <w:rPr>
                <w:rFonts w:ascii="宋体" w:hAnsi="宋体"/>
              </w:rPr>
            </w:pPr>
          </w:p>
        </w:tc>
      </w:tr>
      <w:tr w14:paraId="3BB73977">
        <w:tblPrEx>
          <w:tblW w:w="0" w:type="auto"/>
          <w:tblInd w:w="0" w:type="dxa"/>
          <w:tblLayout w:type="fixed"/>
          <w:tblCellMar>
            <w:top w:w="0" w:type="dxa"/>
            <w:left w:w="108" w:type="dxa"/>
            <w:bottom w:w="0" w:type="dxa"/>
            <w:right w:w="108" w:type="dxa"/>
          </w:tblCellMar>
        </w:tblPrEx>
        <w:tc>
          <w:tcPr>
            <w:tcW w:w="617" w:type="dxa"/>
            <w:tcBorders>
              <w:top w:val="single" w:sz="2" w:space="0" w:color="auto"/>
              <w:left w:val="single" w:sz="2" w:space="0" w:color="auto"/>
              <w:bottom w:val="single" w:sz="2" w:space="0" w:color="auto"/>
              <w:right w:val="single" w:sz="2" w:space="0" w:color="auto"/>
            </w:tcBorders>
            <w:vAlign w:val="center"/>
          </w:tcPr>
          <w:p w14:paraId="6D088FDF">
            <w:pPr>
              <w:spacing w:line="360" w:lineRule="auto"/>
              <w:jc w:val="center"/>
              <w:rPr>
                <w:rFonts w:ascii="宋体" w:hAnsi="宋体"/>
              </w:rPr>
            </w:pPr>
            <w:r>
              <w:rPr>
                <w:rFonts w:ascii="宋体" w:hAnsi="宋体" w:hint="eastAsia"/>
              </w:rPr>
              <w:t>9</w:t>
            </w:r>
          </w:p>
        </w:tc>
        <w:tc>
          <w:tcPr>
            <w:tcW w:w="1651" w:type="dxa"/>
            <w:tcBorders>
              <w:top w:val="single" w:sz="2" w:space="0" w:color="auto"/>
              <w:left w:val="single" w:sz="2" w:space="0" w:color="auto"/>
              <w:bottom w:val="single" w:sz="2" w:space="0" w:color="auto"/>
              <w:right w:val="single" w:sz="2" w:space="0" w:color="auto"/>
            </w:tcBorders>
          </w:tcPr>
          <w:p w14:paraId="704479D2">
            <w:pPr>
              <w:spacing w:line="360" w:lineRule="auto"/>
              <w:jc w:val="center"/>
              <w:rPr>
                <w:rFonts w:ascii="宋体" w:hAnsi="宋体"/>
              </w:rPr>
            </w:pPr>
            <w:r>
              <w:rPr>
                <w:rFonts w:hint="eastAsia"/>
              </w:rPr>
              <w:t>分包计划</w:t>
            </w:r>
          </w:p>
        </w:tc>
        <w:tc>
          <w:tcPr>
            <w:tcW w:w="567" w:type="dxa"/>
            <w:tcBorders>
              <w:top w:val="single" w:sz="2" w:space="0" w:color="auto"/>
              <w:left w:val="single" w:sz="2" w:space="0" w:color="auto"/>
              <w:bottom w:val="single" w:sz="2" w:space="0" w:color="auto"/>
              <w:right w:val="single" w:sz="2" w:space="0" w:color="auto"/>
            </w:tcBorders>
            <w:vAlign w:val="center"/>
          </w:tcPr>
          <w:p w14:paraId="7B99DF5D">
            <w:pPr>
              <w:spacing w:line="360" w:lineRule="auto"/>
              <w:jc w:val="center"/>
              <w:rPr>
                <w:rFonts w:ascii="宋体" w:hAnsi="宋体"/>
              </w:rPr>
            </w:pPr>
          </w:p>
        </w:tc>
        <w:tc>
          <w:tcPr>
            <w:tcW w:w="616" w:type="dxa"/>
            <w:tcBorders>
              <w:top w:val="single" w:sz="2" w:space="0" w:color="auto"/>
              <w:left w:val="single" w:sz="2" w:space="0" w:color="auto"/>
              <w:bottom w:val="single" w:sz="2" w:space="0" w:color="auto"/>
              <w:right w:val="single" w:sz="2" w:space="0" w:color="auto"/>
            </w:tcBorders>
            <w:vAlign w:val="center"/>
          </w:tcPr>
          <w:p w14:paraId="7B9ACF5C">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A512644">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41BD651">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ABF1B1D">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A62C1BC">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785B37E">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4613B9D3">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5699ECE5">
            <w:pPr>
              <w:spacing w:line="360" w:lineRule="auto"/>
              <w:jc w:val="center"/>
              <w:rPr>
                <w:rFonts w:ascii="宋体" w:hAnsi="宋体"/>
              </w:rPr>
            </w:pPr>
          </w:p>
        </w:tc>
      </w:tr>
      <w:tr w14:paraId="4B5B825A">
        <w:tblPrEx>
          <w:tblW w:w="0" w:type="auto"/>
          <w:tblInd w:w="0" w:type="dxa"/>
          <w:tblLayout w:type="fixed"/>
          <w:tblCellMar>
            <w:top w:w="0" w:type="dxa"/>
            <w:left w:w="108" w:type="dxa"/>
            <w:bottom w:w="0" w:type="dxa"/>
            <w:right w:w="108" w:type="dxa"/>
          </w:tblCellMar>
        </w:tblPrEx>
        <w:tc>
          <w:tcPr>
            <w:tcW w:w="617" w:type="dxa"/>
            <w:tcBorders>
              <w:top w:val="single" w:sz="2" w:space="0" w:color="auto"/>
              <w:left w:val="single" w:sz="2" w:space="0" w:color="auto"/>
              <w:bottom w:val="single" w:sz="2" w:space="0" w:color="auto"/>
              <w:right w:val="single" w:sz="2" w:space="0" w:color="auto"/>
            </w:tcBorders>
            <w:vAlign w:val="center"/>
          </w:tcPr>
          <w:p w14:paraId="05878619">
            <w:pPr>
              <w:spacing w:line="360" w:lineRule="auto"/>
              <w:jc w:val="center"/>
              <w:rPr>
                <w:rFonts w:ascii="宋体" w:hAnsi="宋体"/>
              </w:rPr>
            </w:pPr>
            <w:r>
              <w:rPr>
                <w:rFonts w:ascii="宋体" w:hAnsi="宋体" w:hint="eastAsia"/>
              </w:rPr>
              <w:t>10</w:t>
            </w:r>
          </w:p>
        </w:tc>
        <w:tc>
          <w:tcPr>
            <w:tcW w:w="1651" w:type="dxa"/>
            <w:tcBorders>
              <w:top w:val="single" w:sz="2" w:space="0" w:color="auto"/>
              <w:left w:val="single" w:sz="2" w:space="0" w:color="auto"/>
              <w:bottom w:val="single" w:sz="2" w:space="0" w:color="auto"/>
              <w:right w:val="single" w:sz="2" w:space="0" w:color="auto"/>
            </w:tcBorders>
          </w:tcPr>
          <w:p w14:paraId="585ABAFD">
            <w:pPr>
              <w:spacing w:line="360" w:lineRule="auto"/>
              <w:jc w:val="center"/>
              <w:rPr>
                <w:rFonts w:ascii="宋体" w:hAnsi="宋体"/>
              </w:rPr>
            </w:pPr>
            <w:r>
              <w:rPr>
                <w:rFonts w:hint="eastAsia"/>
              </w:rPr>
              <w:t>最高限价</w:t>
            </w:r>
          </w:p>
        </w:tc>
        <w:tc>
          <w:tcPr>
            <w:tcW w:w="567" w:type="dxa"/>
            <w:tcBorders>
              <w:top w:val="single" w:sz="2" w:space="0" w:color="auto"/>
              <w:left w:val="single" w:sz="2" w:space="0" w:color="auto"/>
              <w:bottom w:val="single" w:sz="2" w:space="0" w:color="auto"/>
              <w:right w:val="single" w:sz="2" w:space="0" w:color="auto"/>
            </w:tcBorders>
            <w:vAlign w:val="center"/>
          </w:tcPr>
          <w:p w14:paraId="7D73118C">
            <w:pPr>
              <w:spacing w:line="360" w:lineRule="auto"/>
              <w:jc w:val="center"/>
              <w:rPr>
                <w:rFonts w:ascii="宋体" w:hAnsi="宋体"/>
              </w:rPr>
            </w:pPr>
          </w:p>
        </w:tc>
        <w:tc>
          <w:tcPr>
            <w:tcW w:w="616" w:type="dxa"/>
            <w:tcBorders>
              <w:top w:val="single" w:sz="2" w:space="0" w:color="auto"/>
              <w:left w:val="single" w:sz="2" w:space="0" w:color="auto"/>
              <w:bottom w:val="single" w:sz="2" w:space="0" w:color="auto"/>
              <w:right w:val="single" w:sz="2" w:space="0" w:color="auto"/>
            </w:tcBorders>
            <w:vAlign w:val="center"/>
          </w:tcPr>
          <w:p w14:paraId="3071F7FA">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30B30C2">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3277780">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12CFA38">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AE82067">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C8AE7C7">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5965EC63">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57A75459">
            <w:pPr>
              <w:spacing w:line="360" w:lineRule="auto"/>
              <w:jc w:val="center"/>
              <w:rPr>
                <w:rFonts w:ascii="宋体" w:hAnsi="宋体"/>
              </w:rPr>
            </w:pPr>
          </w:p>
        </w:tc>
      </w:tr>
      <w:tr w14:paraId="01D39DEA">
        <w:tblPrEx>
          <w:tblW w:w="0" w:type="auto"/>
          <w:tblInd w:w="0" w:type="dxa"/>
          <w:tblLayout w:type="fixed"/>
          <w:tblCellMar>
            <w:top w:w="0" w:type="dxa"/>
            <w:left w:w="108" w:type="dxa"/>
            <w:bottom w:w="0" w:type="dxa"/>
            <w:right w:w="108" w:type="dxa"/>
          </w:tblCellMar>
        </w:tblPrEx>
        <w:tc>
          <w:tcPr>
            <w:tcW w:w="617" w:type="dxa"/>
            <w:tcBorders>
              <w:top w:val="single" w:sz="2" w:space="0" w:color="auto"/>
              <w:left w:val="single" w:sz="2" w:space="0" w:color="auto"/>
              <w:bottom w:val="single" w:sz="2" w:space="0" w:color="auto"/>
              <w:right w:val="single" w:sz="2" w:space="0" w:color="auto"/>
            </w:tcBorders>
            <w:vAlign w:val="center"/>
          </w:tcPr>
          <w:p w14:paraId="3AED3DCB">
            <w:pPr>
              <w:spacing w:line="360" w:lineRule="auto"/>
              <w:jc w:val="center"/>
              <w:rPr>
                <w:rFonts w:ascii="宋体" w:hAnsi="宋体"/>
              </w:rPr>
            </w:pPr>
            <w:r>
              <w:rPr>
                <w:rFonts w:ascii="宋体" w:hAnsi="宋体" w:hint="eastAsia"/>
              </w:rPr>
              <w:t>11</w:t>
            </w:r>
          </w:p>
        </w:tc>
        <w:tc>
          <w:tcPr>
            <w:tcW w:w="1651" w:type="dxa"/>
            <w:tcBorders>
              <w:top w:val="single" w:sz="2" w:space="0" w:color="auto"/>
              <w:left w:val="single" w:sz="2" w:space="0" w:color="auto"/>
              <w:bottom w:val="single" w:sz="2" w:space="0" w:color="auto"/>
              <w:right w:val="single" w:sz="2" w:space="0" w:color="auto"/>
            </w:tcBorders>
            <w:vAlign w:val="center"/>
          </w:tcPr>
          <w:p w14:paraId="782E417E">
            <w:pPr>
              <w:spacing w:line="360" w:lineRule="auto"/>
              <w:jc w:val="center"/>
              <w:rPr>
                <w:rFonts w:ascii="宋体" w:hAnsi="宋体"/>
              </w:rPr>
            </w:pPr>
            <w:r>
              <w:rPr>
                <w:rFonts w:ascii="宋体" w:hAnsi="宋体" w:hint="eastAsia"/>
              </w:rPr>
              <w:t>……</w:t>
            </w:r>
          </w:p>
        </w:tc>
        <w:tc>
          <w:tcPr>
            <w:tcW w:w="567" w:type="dxa"/>
            <w:tcBorders>
              <w:top w:val="single" w:sz="2" w:space="0" w:color="auto"/>
              <w:left w:val="single" w:sz="2" w:space="0" w:color="auto"/>
              <w:bottom w:val="single" w:sz="2" w:space="0" w:color="auto"/>
              <w:right w:val="single" w:sz="2" w:space="0" w:color="auto"/>
            </w:tcBorders>
            <w:vAlign w:val="center"/>
          </w:tcPr>
          <w:p w14:paraId="58680E26">
            <w:pPr>
              <w:spacing w:line="360" w:lineRule="auto"/>
              <w:jc w:val="center"/>
              <w:rPr>
                <w:rFonts w:ascii="宋体" w:hAnsi="宋体"/>
              </w:rPr>
            </w:pPr>
          </w:p>
        </w:tc>
        <w:tc>
          <w:tcPr>
            <w:tcW w:w="616" w:type="dxa"/>
            <w:tcBorders>
              <w:top w:val="single" w:sz="2" w:space="0" w:color="auto"/>
              <w:left w:val="single" w:sz="2" w:space="0" w:color="auto"/>
              <w:bottom w:val="single" w:sz="2" w:space="0" w:color="auto"/>
              <w:right w:val="single" w:sz="2" w:space="0" w:color="auto"/>
            </w:tcBorders>
            <w:vAlign w:val="center"/>
          </w:tcPr>
          <w:p w14:paraId="31C80542">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0B77FDBB">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26588119">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14A66E6A">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7A45C720">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266B3EF">
            <w:pPr>
              <w:spacing w:line="360" w:lineRule="auto"/>
              <w:jc w:val="center"/>
              <w:rPr>
                <w:rFonts w:ascii="宋体" w:hAnsi="宋体"/>
              </w:rPr>
            </w:pPr>
          </w:p>
        </w:tc>
        <w:tc>
          <w:tcPr>
            <w:tcW w:w="724" w:type="dxa"/>
            <w:tcBorders>
              <w:top w:val="single" w:sz="2" w:space="0" w:color="auto"/>
              <w:left w:val="single" w:sz="2" w:space="0" w:color="auto"/>
              <w:bottom w:val="single" w:sz="2" w:space="0" w:color="auto"/>
              <w:right w:val="single" w:sz="2" w:space="0" w:color="auto"/>
            </w:tcBorders>
            <w:vAlign w:val="center"/>
          </w:tcPr>
          <w:p w14:paraId="6AAA146D">
            <w:pPr>
              <w:spacing w:line="360" w:lineRule="auto"/>
              <w:jc w:val="center"/>
              <w:rPr>
                <w:rFonts w:ascii="宋体" w:hAnsi="宋体"/>
              </w:rPr>
            </w:pPr>
          </w:p>
        </w:tc>
        <w:tc>
          <w:tcPr>
            <w:tcW w:w="727" w:type="dxa"/>
            <w:tcBorders>
              <w:top w:val="single" w:sz="2" w:space="0" w:color="auto"/>
              <w:left w:val="single" w:sz="2" w:space="0" w:color="auto"/>
              <w:bottom w:val="single" w:sz="2" w:space="0" w:color="auto"/>
              <w:right w:val="single" w:sz="2" w:space="0" w:color="auto"/>
            </w:tcBorders>
            <w:vAlign w:val="center"/>
          </w:tcPr>
          <w:p w14:paraId="414243E5">
            <w:pPr>
              <w:spacing w:line="360" w:lineRule="auto"/>
              <w:jc w:val="center"/>
              <w:rPr>
                <w:rFonts w:ascii="宋体" w:hAnsi="宋体"/>
              </w:rPr>
            </w:pPr>
          </w:p>
        </w:tc>
      </w:tr>
    </w:tbl>
    <w:p w14:paraId="1785CAC0">
      <w:pPr>
        <w:spacing w:line="360" w:lineRule="auto"/>
        <w:rPr>
          <w:rFonts w:ascii="宋体" w:hAnsi="宋体"/>
          <w:kern w:val="2"/>
        </w:rPr>
      </w:pPr>
    </w:p>
    <w:p w14:paraId="6BE1B530">
      <w:pPr>
        <w:spacing w:line="360" w:lineRule="auto"/>
        <w:rPr>
          <w:rFonts w:ascii="宋体" w:hAnsi="宋体"/>
          <w:lang w:eastAsia="zh-CN"/>
        </w:rPr>
      </w:pPr>
      <w:r>
        <w:rPr>
          <w:rFonts w:ascii="宋体" w:hAnsi="宋体" w:hint="eastAsia"/>
          <w:lang w:eastAsia="zh-CN"/>
        </w:rPr>
        <w:t>评标委员会全体成员签名：                  日期：      年    月    日</w:t>
      </w:r>
    </w:p>
    <w:p w14:paraId="2A54E187">
      <w:pPr>
        <w:spacing w:line="360" w:lineRule="auto"/>
        <w:rPr>
          <w:rFonts w:ascii="宋体" w:hAnsi="宋体"/>
          <w:b/>
          <w:lang w:eastAsia="zh-CN"/>
        </w:rPr>
      </w:pPr>
    </w:p>
    <w:p w14:paraId="390E4E45">
      <w:pPr>
        <w:rPr>
          <w:rFonts w:ascii="宋体" w:hAnsi="宋体"/>
          <w:b/>
          <w:lang w:eastAsia="zh-CN"/>
        </w:rPr>
      </w:pPr>
      <w:r>
        <w:rPr>
          <w:rFonts w:ascii="宋体" w:hAnsi="宋体" w:hint="eastAsia"/>
          <w:b/>
          <w:lang w:eastAsia="zh-CN"/>
        </w:rPr>
        <w:br w:type="page"/>
      </w:r>
    </w:p>
    <w:p w14:paraId="1FD8CAC8">
      <w:pPr>
        <w:rPr>
          <w:rFonts w:ascii="宋体" w:hAnsi="宋体"/>
          <w:b/>
          <w:lang w:eastAsia="zh-CN"/>
        </w:rPr>
      </w:pPr>
    </w:p>
    <w:p w14:paraId="1B4430F0">
      <w:pPr>
        <w:pStyle w:val="Heading2"/>
        <w:rPr>
          <w:rFonts w:ascii="宋体" w:hAnsi="宋体"/>
          <w:sz w:val="24"/>
          <w:szCs w:val="24"/>
        </w:rPr>
      </w:pPr>
      <w:r>
        <w:rPr>
          <w:rFonts w:ascii="宋体" w:hAnsi="宋体" w:hint="eastAsia"/>
          <w:sz w:val="24"/>
          <w:szCs w:val="24"/>
        </w:rPr>
        <w:t>附表A-5：施工组织设计评审记录表</w:t>
      </w:r>
    </w:p>
    <w:p w14:paraId="726E3FCB">
      <w:pPr>
        <w:spacing w:line="360" w:lineRule="auto"/>
        <w:jc w:val="center"/>
        <w:rPr>
          <w:rFonts w:ascii="宋体" w:hAnsi="宋体"/>
          <w:b/>
          <w:lang w:eastAsia="zh-CN"/>
        </w:rPr>
      </w:pPr>
      <w:r>
        <w:rPr>
          <w:rFonts w:ascii="宋体" w:hAnsi="宋体" w:hint="eastAsia"/>
          <w:b/>
          <w:lang w:eastAsia="zh-CN"/>
        </w:rPr>
        <w:t>施工组织设计评审记录表</w:t>
      </w:r>
    </w:p>
    <w:p w14:paraId="11FE42BC">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614"/>
        <w:gridCol w:w="1643"/>
        <w:gridCol w:w="740"/>
        <w:gridCol w:w="691"/>
        <w:gridCol w:w="691"/>
        <w:gridCol w:w="691"/>
        <w:gridCol w:w="691"/>
        <w:gridCol w:w="691"/>
        <w:gridCol w:w="691"/>
        <w:gridCol w:w="691"/>
        <w:gridCol w:w="688"/>
      </w:tblGrid>
      <w:tr w14:paraId="0F7B3B56">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c>
          <w:tcPr>
            <w:tcW w:w="614" w:type="dxa"/>
            <w:vMerge w:val="restart"/>
            <w:tcBorders>
              <w:top w:val="single" w:sz="2" w:space="0" w:color="auto"/>
              <w:left w:val="single" w:sz="2" w:space="0" w:color="auto"/>
              <w:bottom w:val="single" w:sz="2" w:space="0" w:color="auto"/>
              <w:right w:val="single" w:sz="2" w:space="0" w:color="auto"/>
            </w:tcBorders>
            <w:vAlign w:val="center"/>
          </w:tcPr>
          <w:p w14:paraId="0623501D">
            <w:pPr>
              <w:spacing w:line="360" w:lineRule="auto"/>
              <w:jc w:val="center"/>
              <w:rPr>
                <w:rFonts w:ascii="宋体" w:hAnsi="宋体"/>
              </w:rPr>
            </w:pPr>
            <w:r>
              <w:rPr>
                <w:rFonts w:ascii="宋体" w:hAnsi="宋体" w:hint="eastAsia"/>
              </w:rPr>
              <w:t>序号</w:t>
            </w:r>
          </w:p>
        </w:tc>
        <w:tc>
          <w:tcPr>
            <w:tcW w:w="1643" w:type="dxa"/>
            <w:vMerge w:val="restart"/>
            <w:tcBorders>
              <w:top w:val="single" w:sz="2" w:space="0" w:color="auto"/>
              <w:left w:val="single" w:sz="2" w:space="0" w:color="auto"/>
              <w:bottom w:val="single" w:sz="2" w:space="0" w:color="auto"/>
              <w:right w:val="single" w:sz="2" w:space="0" w:color="auto"/>
            </w:tcBorders>
            <w:vAlign w:val="center"/>
          </w:tcPr>
          <w:p w14:paraId="1FD68074">
            <w:pPr>
              <w:spacing w:line="360" w:lineRule="auto"/>
              <w:jc w:val="center"/>
              <w:rPr>
                <w:rFonts w:ascii="宋体" w:hAnsi="宋体"/>
              </w:rPr>
            </w:pPr>
            <w:r>
              <w:rPr>
                <w:rFonts w:ascii="宋体" w:hAnsi="宋体" w:hint="eastAsia"/>
              </w:rPr>
              <w:t>评分项目</w:t>
            </w:r>
          </w:p>
        </w:tc>
        <w:tc>
          <w:tcPr>
            <w:tcW w:w="740" w:type="dxa"/>
            <w:vMerge w:val="restart"/>
            <w:tcBorders>
              <w:top w:val="single" w:sz="2" w:space="0" w:color="auto"/>
              <w:left w:val="single" w:sz="2" w:space="0" w:color="auto"/>
              <w:bottom w:val="single" w:sz="2" w:space="0" w:color="auto"/>
              <w:right w:val="single" w:sz="2" w:space="0" w:color="auto"/>
            </w:tcBorders>
            <w:vAlign w:val="center"/>
          </w:tcPr>
          <w:p w14:paraId="176114F7">
            <w:pPr>
              <w:spacing w:line="360" w:lineRule="auto"/>
              <w:jc w:val="center"/>
              <w:rPr>
                <w:rFonts w:ascii="宋体" w:hAnsi="宋体"/>
              </w:rPr>
            </w:pPr>
            <w:r>
              <w:rPr>
                <w:rFonts w:ascii="宋体" w:hAnsi="宋体" w:hint="eastAsia"/>
              </w:rPr>
              <w:t>标准分</w:t>
            </w:r>
          </w:p>
        </w:tc>
        <w:tc>
          <w:tcPr>
            <w:tcW w:w="5525" w:type="dxa"/>
            <w:gridSpan w:val="8"/>
            <w:tcBorders>
              <w:top w:val="single" w:sz="2" w:space="0" w:color="auto"/>
              <w:left w:val="single" w:sz="2" w:space="0" w:color="auto"/>
              <w:bottom w:val="single" w:sz="2" w:space="0" w:color="auto"/>
              <w:right w:val="single" w:sz="2" w:space="0" w:color="auto"/>
            </w:tcBorders>
            <w:vAlign w:val="center"/>
          </w:tcPr>
          <w:p w14:paraId="0BB6A82A">
            <w:pPr>
              <w:spacing w:line="360" w:lineRule="auto"/>
              <w:jc w:val="center"/>
              <w:rPr>
                <w:rFonts w:ascii="宋体" w:hAnsi="宋体"/>
              </w:rPr>
            </w:pPr>
            <w:r>
              <w:rPr>
                <w:rFonts w:ascii="宋体" w:hAnsi="宋体" w:hint="eastAsia"/>
              </w:rPr>
              <w:t>投标人名称代码</w:t>
            </w:r>
          </w:p>
        </w:tc>
      </w:tr>
      <w:tr w14:paraId="493DA2D7">
        <w:tblPrEx>
          <w:tblW w:w="0" w:type="auto"/>
          <w:tblInd w:w="0" w:type="dxa"/>
          <w:tblLayout w:type="fixed"/>
          <w:tblCellMar>
            <w:top w:w="0" w:type="dxa"/>
            <w:left w:w="108" w:type="dxa"/>
            <w:bottom w:w="0" w:type="dxa"/>
            <w:right w:w="108" w:type="dxa"/>
          </w:tblCellMar>
        </w:tblPrEx>
        <w:tc>
          <w:tcPr>
            <w:tcW w:w="2997" w:type="dxa"/>
            <w:vMerge/>
            <w:tcBorders>
              <w:top w:val="single" w:sz="2" w:space="0" w:color="auto"/>
              <w:left w:val="single" w:sz="2" w:space="0" w:color="auto"/>
              <w:bottom w:val="single" w:sz="2" w:space="0" w:color="auto"/>
              <w:right w:val="single" w:sz="2" w:space="0" w:color="auto"/>
            </w:tcBorders>
            <w:vAlign w:val="center"/>
          </w:tcPr>
          <w:p w14:paraId="1797A72B">
            <w:pPr>
              <w:rPr>
                <w:rFonts w:ascii="宋体" w:eastAsia="宋体" w:hAnsi="宋体"/>
                <w:kern w:val="2"/>
              </w:rPr>
            </w:pPr>
          </w:p>
        </w:tc>
        <w:tc>
          <w:tcPr>
            <w:tcW w:w="1643" w:type="dxa"/>
            <w:vMerge/>
            <w:tcBorders>
              <w:top w:val="single" w:sz="2" w:space="0" w:color="auto"/>
              <w:left w:val="single" w:sz="2" w:space="0" w:color="auto"/>
              <w:bottom w:val="single" w:sz="2" w:space="0" w:color="auto"/>
              <w:right w:val="single" w:sz="2" w:space="0" w:color="auto"/>
            </w:tcBorders>
            <w:vAlign w:val="center"/>
          </w:tcPr>
          <w:p w14:paraId="615A40D0">
            <w:pPr>
              <w:rPr>
                <w:rFonts w:ascii="宋体" w:eastAsia="宋体" w:hAnsi="宋体"/>
                <w:kern w:val="2"/>
              </w:rPr>
            </w:pPr>
          </w:p>
        </w:tc>
        <w:tc>
          <w:tcPr>
            <w:tcW w:w="740" w:type="dxa"/>
            <w:vMerge/>
            <w:tcBorders>
              <w:top w:val="single" w:sz="2" w:space="0" w:color="auto"/>
              <w:left w:val="single" w:sz="2" w:space="0" w:color="auto"/>
              <w:bottom w:val="single" w:sz="2" w:space="0" w:color="auto"/>
              <w:right w:val="single" w:sz="2" w:space="0" w:color="auto"/>
            </w:tcBorders>
            <w:vAlign w:val="center"/>
          </w:tcPr>
          <w:p w14:paraId="5220A0D9">
            <w:pPr>
              <w:rPr>
                <w:rFonts w:ascii="宋体" w:eastAsia="宋体" w:hAnsi="宋体"/>
                <w:kern w:val="2"/>
              </w:rPr>
            </w:pPr>
          </w:p>
        </w:tc>
        <w:tc>
          <w:tcPr>
            <w:tcW w:w="691" w:type="dxa"/>
            <w:tcBorders>
              <w:top w:val="single" w:sz="2" w:space="0" w:color="auto"/>
              <w:left w:val="single" w:sz="2" w:space="0" w:color="auto"/>
              <w:bottom w:val="single" w:sz="2" w:space="0" w:color="auto"/>
              <w:right w:val="single" w:sz="2" w:space="0" w:color="auto"/>
            </w:tcBorders>
            <w:vAlign w:val="center"/>
          </w:tcPr>
          <w:p w14:paraId="07FC846C">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3806845C">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9420B79">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EA9CE96">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57C17E18">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EE52843">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29CF9429">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766B063B">
            <w:pPr>
              <w:spacing w:line="360" w:lineRule="auto"/>
              <w:jc w:val="center"/>
              <w:rPr>
                <w:rFonts w:ascii="宋体" w:hAnsi="宋体"/>
              </w:rPr>
            </w:pPr>
          </w:p>
        </w:tc>
      </w:tr>
      <w:tr w14:paraId="0B60612C">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2918FADA">
            <w:pPr>
              <w:spacing w:line="360" w:lineRule="auto"/>
              <w:jc w:val="center"/>
              <w:rPr>
                <w:rFonts w:ascii="宋体" w:hAnsi="宋体"/>
              </w:rPr>
            </w:pPr>
            <w:r>
              <w:rPr>
                <w:rFonts w:ascii="宋体" w:hAnsi="宋体" w:hint="eastAsia"/>
              </w:rPr>
              <w:t>1</w:t>
            </w:r>
          </w:p>
        </w:tc>
        <w:tc>
          <w:tcPr>
            <w:tcW w:w="1643" w:type="dxa"/>
            <w:tcBorders>
              <w:top w:val="single" w:sz="2" w:space="0" w:color="auto"/>
              <w:left w:val="single" w:sz="2" w:space="0" w:color="auto"/>
              <w:bottom w:val="single" w:sz="2" w:space="0" w:color="auto"/>
              <w:right w:val="single" w:sz="2" w:space="0" w:color="auto"/>
            </w:tcBorders>
            <w:vAlign w:val="center"/>
          </w:tcPr>
          <w:p w14:paraId="5FAD1589">
            <w:pPr>
              <w:spacing w:line="360" w:lineRule="auto"/>
              <w:jc w:val="center"/>
              <w:rPr>
                <w:rFonts w:ascii="宋体" w:hAnsi="宋体"/>
                <w:lang w:eastAsia="zh-CN"/>
              </w:rPr>
            </w:pPr>
            <w:r>
              <w:rPr>
                <w:rFonts w:ascii="宋体" w:hAnsi="宋体" w:hint="eastAsia"/>
                <w:lang w:eastAsia="zh-CN"/>
              </w:rPr>
              <w:t>内容完整性和编制水平</w:t>
            </w:r>
          </w:p>
        </w:tc>
        <w:tc>
          <w:tcPr>
            <w:tcW w:w="740" w:type="dxa"/>
            <w:tcBorders>
              <w:top w:val="single" w:sz="2" w:space="0" w:color="auto"/>
              <w:left w:val="single" w:sz="2" w:space="0" w:color="auto"/>
              <w:bottom w:val="single" w:sz="2" w:space="0" w:color="auto"/>
              <w:right w:val="single" w:sz="2" w:space="0" w:color="auto"/>
            </w:tcBorders>
            <w:vAlign w:val="center"/>
          </w:tcPr>
          <w:p w14:paraId="381E40FC">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42DE9437">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52DD25BF">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713E3252">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6F8D62E2">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654C507B">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44FA2C79">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60CC92FE">
            <w:pPr>
              <w:spacing w:line="360" w:lineRule="auto"/>
              <w:jc w:val="center"/>
              <w:rPr>
                <w:rFonts w:ascii="宋体" w:hAnsi="宋体"/>
                <w:lang w:eastAsia="zh-CN"/>
              </w:rPr>
            </w:pPr>
          </w:p>
        </w:tc>
        <w:tc>
          <w:tcPr>
            <w:tcW w:w="688" w:type="dxa"/>
            <w:tcBorders>
              <w:top w:val="single" w:sz="2" w:space="0" w:color="auto"/>
              <w:left w:val="single" w:sz="2" w:space="0" w:color="auto"/>
              <w:bottom w:val="single" w:sz="2" w:space="0" w:color="auto"/>
              <w:right w:val="single" w:sz="2" w:space="0" w:color="auto"/>
            </w:tcBorders>
            <w:vAlign w:val="center"/>
          </w:tcPr>
          <w:p w14:paraId="75F1F428">
            <w:pPr>
              <w:spacing w:line="360" w:lineRule="auto"/>
              <w:jc w:val="center"/>
              <w:rPr>
                <w:rFonts w:ascii="宋体" w:hAnsi="宋体"/>
                <w:lang w:eastAsia="zh-CN"/>
              </w:rPr>
            </w:pPr>
          </w:p>
        </w:tc>
      </w:tr>
      <w:tr w14:paraId="213270B0">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748426BA">
            <w:pPr>
              <w:spacing w:line="360" w:lineRule="auto"/>
              <w:jc w:val="center"/>
              <w:rPr>
                <w:rFonts w:ascii="宋体" w:hAnsi="宋体"/>
              </w:rPr>
            </w:pPr>
            <w:r>
              <w:rPr>
                <w:rFonts w:ascii="宋体" w:hAnsi="宋体" w:hint="eastAsia"/>
              </w:rPr>
              <w:t>2</w:t>
            </w:r>
          </w:p>
        </w:tc>
        <w:tc>
          <w:tcPr>
            <w:tcW w:w="1643" w:type="dxa"/>
            <w:tcBorders>
              <w:top w:val="single" w:sz="2" w:space="0" w:color="auto"/>
              <w:left w:val="single" w:sz="2" w:space="0" w:color="auto"/>
              <w:bottom w:val="single" w:sz="2" w:space="0" w:color="auto"/>
              <w:right w:val="single" w:sz="2" w:space="0" w:color="auto"/>
            </w:tcBorders>
            <w:vAlign w:val="center"/>
          </w:tcPr>
          <w:p w14:paraId="1B18143C">
            <w:pPr>
              <w:spacing w:line="360" w:lineRule="auto"/>
              <w:jc w:val="center"/>
              <w:rPr>
                <w:rFonts w:ascii="宋体" w:hAnsi="宋体"/>
              </w:rPr>
            </w:pPr>
            <w:r>
              <w:rPr>
                <w:rFonts w:ascii="宋体" w:hAnsi="宋体" w:hint="eastAsia"/>
              </w:rPr>
              <w:t>施工方案与技术措施</w:t>
            </w:r>
          </w:p>
        </w:tc>
        <w:tc>
          <w:tcPr>
            <w:tcW w:w="740" w:type="dxa"/>
            <w:tcBorders>
              <w:top w:val="single" w:sz="2" w:space="0" w:color="auto"/>
              <w:left w:val="single" w:sz="2" w:space="0" w:color="auto"/>
              <w:bottom w:val="single" w:sz="2" w:space="0" w:color="auto"/>
              <w:right w:val="single" w:sz="2" w:space="0" w:color="auto"/>
            </w:tcBorders>
            <w:vAlign w:val="center"/>
          </w:tcPr>
          <w:p w14:paraId="18332E66">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8F27D65">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9D7E0A5">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A72D049">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7D4064D7">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039D913B">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39EA2FB4">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E0F035D">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52710A0C">
            <w:pPr>
              <w:spacing w:line="360" w:lineRule="auto"/>
              <w:jc w:val="center"/>
              <w:rPr>
                <w:rFonts w:ascii="宋体" w:hAnsi="宋体"/>
              </w:rPr>
            </w:pPr>
          </w:p>
        </w:tc>
      </w:tr>
      <w:tr w14:paraId="67C9BBA5">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1B38B2C8">
            <w:pPr>
              <w:spacing w:line="360" w:lineRule="auto"/>
              <w:jc w:val="center"/>
              <w:rPr>
                <w:rFonts w:ascii="宋体" w:hAnsi="宋体"/>
              </w:rPr>
            </w:pPr>
            <w:r>
              <w:rPr>
                <w:rFonts w:ascii="宋体" w:hAnsi="宋体" w:hint="eastAsia"/>
              </w:rPr>
              <w:t>3</w:t>
            </w:r>
          </w:p>
        </w:tc>
        <w:tc>
          <w:tcPr>
            <w:tcW w:w="1643" w:type="dxa"/>
            <w:tcBorders>
              <w:top w:val="single" w:sz="2" w:space="0" w:color="auto"/>
              <w:left w:val="single" w:sz="2" w:space="0" w:color="auto"/>
              <w:bottom w:val="single" w:sz="2" w:space="0" w:color="auto"/>
              <w:right w:val="single" w:sz="2" w:space="0" w:color="auto"/>
            </w:tcBorders>
            <w:vAlign w:val="center"/>
          </w:tcPr>
          <w:p w14:paraId="7DB0543F">
            <w:pPr>
              <w:spacing w:line="360" w:lineRule="auto"/>
              <w:jc w:val="center"/>
              <w:rPr>
                <w:rFonts w:ascii="宋体" w:hAnsi="宋体"/>
              </w:rPr>
            </w:pPr>
            <w:r>
              <w:rPr>
                <w:rFonts w:ascii="宋体" w:hAnsi="宋体" w:hint="eastAsia"/>
              </w:rPr>
              <w:t>质量管理体系与措施</w:t>
            </w:r>
          </w:p>
        </w:tc>
        <w:tc>
          <w:tcPr>
            <w:tcW w:w="740" w:type="dxa"/>
            <w:tcBorders>
              <w:top w:val="single" w:sz="2" w:space="0" w:color="auto"/>
              <w:left w:val="single" w:sz="2" w:space="0" w:color="auto"/>
              <w:bottom w:val="single" w:sz="2" w:space="0" w:color="auto"/>
              <w:right w:val="single" w:sz="2" w:space="0" w:color="auto"/>
            </w:tcBorders>
            <w:vAlign w:val="center"/>
          </w:tcPr>
          <w:p w14:paraId="00705E8B">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7591013D">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51FD738">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5D85A976">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9F493C2">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0F33A900">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B7E1FE0">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50E9256">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79B569C8">
            <w:pPr>
              <w:spacing w:line="360" w:lineRule="auto"/>
              <w:jc w:val="center"/>
              <w:rPr>
                <w:rFonts w:ascii="宋体" w:hAnsi="宋体"/>
              </w:rPr>
            </w:pPr>
          </w:p>
        </w:tc>
      </w:tr>
      <w:tr w14:paraId="460C5D85">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5D2B5B0A">
            <w:pPr>
              <w:spacing w:line="360" w:lineRule="auto"/>
              <w:jc w:val="center"/>
              <w:rPr>
                <w:rFonts w:ascii="宋体" w:hAnsi="宋体"/>
              </w:rPr>
            </w:pPr>
            <w:r>
              <w:rPr>
                <w:rFonts w:ascii="宋体" w:hAnsi="宋体" w:hint="eastAsia"/>
              </w:rPr>
              <w:t>4</w:t>
            </w:r>
          </w:p>
        </w:tc>
        <w:tc>
          <w:tcPr>
            <w:tcW w:w="1643" w:type="dxa"/>
            <w:tcBorders>
              <w:top w:val="single" w:sz="2" w:space="0" w:color="auto"/>
              <w:left w:val="single" w:sz="2" w:space="0" w:color="auto"/>
              <w:bottom w:val="single" w:sz="2" w:space="0" w:color="auto"/>
              <w:right w:val="single" w:sz="2" w:space="0" w:color="auto"/>
            </w:tcBorders>
            <w:vAlign w:val="center"/>
          </w:tcPr>
          <w:p w14:paraId="3B07B699">
            <w:pPr>
              <w:spacing w:line="360" w:lineRule="auto"/>
              <w:jc w:val="center"/>
              <w:rPr>
                <w:rFonts w:ascii="宋体" w:hAnsi="宋体"/>
              </w:rPr>
            </w:pPr>
            <w:r>
              <w:rPr>
                <w:rFonts w:ascii="宋体" w:hAnsi="宋体" w:hint="eastAsia"/>
              </w:rPr>
              <w:t>安全管理体系与措施</w:t>
            </w:r>
          </w:p>
        </w:tc>
        <w:tc>
          <w:tcPr>
            <w:tcW w:w="740" w:type="dxa"/>
            <w:tcBorders>
              <w:top w:val="single" w:sz="2" w:space="0" w:color="auto"/>
              <w:left w:val="single" w:sz="2" w:space="0" w:color="auto"/>
              <w:bottom w:val="single" w:sz="2" w:space="0" w:color="auto"/>
              <w:right w:val="single" w:sz="2" w:space="0" w:color="auto"/>
            </w:tcBorders>
            <w:vAlign w:val="center"/>
          </w:tcPr>
          <w:p w14:paraId="79DA44A2">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5DE19F06">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26B8B382">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0AFBE34F">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719518FD">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308136E7">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384CEC9">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46D20BC">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30555E0E">
            <w:pPr>
              <w:spacing w:line="360" w:lineRule="auto"/>
              <w:jc w:val="center"/>
              <w:rPr>
                <w:rFonts w:ascii="宋体" w:hAnsi="宋体"/>
              </w:rPr>
            </w:pPr>
          </w:p>
        </w:tc>
      </w:tr>
      <w:tr w14:paraId="77488E92">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323C31A5">
            <w:pPr>
              <w:spacing w:line="360" w:lineRule="auto"/>
              <w:jc w:val="center"/>
              <w:rPr>
                <w:rFonts w:ascii="宋体" w:hAnsi="宋体"/>
              </w:rPr>
            </w:pPr>
            <w:r>
              <w:rPr>
                <w:rFonts w:ascii="宋体" w:hAnsi="宋体" w:hint="eastAsia"/>
              </w:rPr>
              <w:t>5</w:t>
            </w:r>
          </w:p>
        </w:tc>
        <w:tc>
          <w:tcPr>
            <w:tcW w:w="1643" w:type="dxa"/>
            <w:tcBorders>
              <w:top w:val="single" w:sz="2" w:space="0" w:color="auto"/>
              <w:left w:val="single" w:sz="2" w:space="0" w:color="auto"/>
              <w:bottom w:val="single" w:sz="2" w:space="0" w:color="auto"/>
              <w:right w:val="single" w:sz="2" w:space="0" w:color="auto"/>
            </w:tcBorders>
            <w:vAlign w:val="center"/>
          </w:tcPr>
          <w:p w14:paraId="3CD97912">
            <w:pPr>
              <w:spacing w:line="360" w:lineRule="auto"/>
              <w:jc w:val="center"/>
              <w:rPr>
                <w:rFonts w:ascii="宋体" w:hAnsi="宋体"/>
                <w:lang w:eastAsia="zh-CN"/>
              </w:rPr>
            </w:pPr>
            <w:r>
              <w:rPr>
                <w:rFonts w:ascii="宋体" w:hAnsi="宋体" w:hint="eastAsia"/>
                <w:lang w:eastAsia="zh-CN"/>
              </w:rPr>
              <w:t>环境保护管理体系与措施</w:t>
            </w:r>
          </w:p>
        </w:tc>
        <w:tc>
          <w:tcPr>
            <w:tcW w:w="740" w:type="dxa"/>
            <w:tcBorders>
              <w:top w:val="single" w:sz="2" w:space="0" w:color="auto"/>
              <w:left w:val="single" w:sz="2" w:space="0" w:color="auto"/>
              <w:bottom w:val="single" w:sz="2" w:space="0" w:color="auto"/>
              <w:right w:val="single" w:sz="2" w:space="0" w:color="auto"/>
            </w:tcBorders>
            <w:vAlign w:val="center"/>
          </w:tcPr>
          <w:p w14:paraId="716409D9">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42982771">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3915DC80">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428A18FD">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0416B793">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6C1F31E6">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6D513FF0">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585F3E14">
            <w:pPr>
              <w:spacing w:line="360" w:lineRule="auto"/>
              <w:jc w:val="center"/>
              <w:rPr>
                <w:rFonts w:ascii="宋体" w:hAnsi="宋体"/>
                <w:lang w:eastAsia="zh-CN"/>
              </w:rPr>
            </w:pPr>
          </w:p>
        </w:tc>
        <w:tc>
          <w:tcPr>
            <w:tcW w:w="688" w:type="dxa"/>
            <w:tcBorders>
              <w:top w:val="single" w:sz="2" w:space="0" w:color="auto"/>
              <w:left w:val="single" w:sz="2" w:space="0" w:color="auto"/>
              <w:bottom w:val="single" w:sz="2" w:space="0" w:color="auto"/>
              <w:right w:val="single" w:sz="2" w:space="0" w:color="auto"/>
            </w:tcBorders>
            <w:vAlign w:val="center"/>
          </w:tcPr>
          <w:p w14:paraId="5A87D651">
            <w:pPr>
              <w:spacing w:line="360" w:lineRule="auto"/>
              <w:jc w:val="center"/>
              <w:rPr>
                <w:rFonts w:ascii="宋体" w:hAnsi="宋体"/>
                <w:lang w:eastAsia="zh-CN"/>
              </w:rPr>
            </w:pPr>
          </w:p>
        </w:tc>
      </w:tr>
      <w:tr w14:paraId="50208290">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08F4121D">
            <w:pPr>
              <w:spacing w:line="360" w:lineRule="auto"/>
              <w:jc w:val="center"/>
              <w:rPr>
                <w:rFonts w:ascii="宋体" w:hAnsi="宋体"/>
              </w:rPr>
            </w:pPr>
            <w:r>
              <w:rPr>
                <w:rFonts w:ascii="宋体" w:hAnsi="宋体" w:hint="eastAsia"/>
              </w:rPr>
              <w:t>6</w:t>
            </w:r>
          </w:p>
        </w:tc>
        <w:tc>
          <w:tcPr>
            <w:tcW w:w="1643" w:type="dxa"/>
            <w:tcBorders>
              <w:top w:val="single" w:sz="2" w:space="0" w:color="auto"/>
              <w:left w:val="single" w:sz="2" w:space="0" w:color="auto"/>
              <w:bottom w:val="single" w:sz="2" w:space="0" w:color="auto"/>
              <w:right w:val="single" w:sz="2" w:space="0" w:color="auto"/>
            </w:tcBorders>
            <w:vAlign w:val="center"/>
          </w:tcPr>
          <w:p w14:paraId="5EAE4234">
            <w:pPr>
              <w:spacing w:line="360" w:lineRule="auto"/>
              <w:jc w:val="center"/>
              <w:rPr>
                <w:rFonts w:ascii="宋体" w:hAnsi="宋体"/>
              </w:rPr>
            </w:pPr>
            <w:r>
              <w:rPr>
                <w:rFonts w:ascii="宋体" w:hAnsi="宋体" w:hint="eastAsia"/>
              </w:rPr>
              <w:t>工程进度计划与措施</w:t>
            </w:r>
          </w:p>
        </w:tc>
        <w:tc>
          <w:tcPr>
            <w:tcW w:w="740" w:type="dxa"/>
            <w:tcBorders>
              <w:top w:val="single" w:sz="2" w:space="0" w:color="auto"/>
              <w:left w:val="single" w:sz="2" w:space="0" w:color="auto"/>
              <w:bottom w:val="single" w:sz="2" w:space="0" w:color="auto"/>
              <w:right w:val="single" w:sz="2" w:space="0" w:color="auto"/>
            </w:tcBorders>
            <w:vAlign w:val="center"/>
          </w:tcPr>
          <w:p w14:paraId="75C367F6">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F6FC7A7">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52CB8A04">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BFFD403">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E17ADCE">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3425586F">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078F3CA2">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52831E4">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738E387F">
            <w:pPr>
              <w:spacing w:line="360" w:lineRule="auto"/>
              <w:jc w:val="center"/>
              <w:rPr>
                <w:rFonts w:ascii="宋体" w:hAnsi="宋体"/>
              </w:rPr>
            </w:pPr>
          </w:p>
        </w:tc>
      </w:tr>
      <w:tr w14:paraId="41635081">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0132942F">
            <w:pPr>
              <w:spacing w:line="360" w:lineRule="auto"/>
              <w:jc w:val="center"/>
              <w:rPr>
                <w:rFonts w:ascii="宋体" w:hAnsi="宋体"/>
              </w:rPr>
            </w:pPr>
            <w:r>
              <w:rPr>
                <w:rFonts w:ascii="宋体" w:hAnsi="宋体" w:hint="eastAsia"/>
              </w:rPr>
              <w:t>7</w:t>
            </w:r>
          </w:p>
        </w:tc>
        <w:tc>
          <w:tcPr>
            <w:tcW w:w="1643" w:type="dxa"/>
            <w:tcBorders>
              <w:top w:val="single" w:sz="2" w:space="0" w:color="auto"/>
              <w:left w:val="single" w:sz="2" w:space="0" w:color="auto"/>
              <w:bottom w:val="single" w:sz="2" w:space="0" w:color="auto"/>
              <w:right w:val="single" w:sz="2" w:space="0" w:color="auto"/>
            </w:tcBorders>
            <w:vAlign w:val="center"/>
          </w:tcPr>
          <w:p w14:paraId="001080CA">
            <w:pPr>
              <w:spacing w:line="360" w:lineRule="auto"/>
              <w:jc w:val="center"/>
              <w:rPr>
                <w:rFonts w:ascii="宋体" w:hAnsi="宋体"/>
              </w:rPr>
            </w:pPr>
            <w:r>
              <w:rPr>
                <w:rFonts w:ascii="宋体" w:hAnsi="宋体" w:hint="eastAsia"/>
              </w:rPr>
              <w:t>资源配备计划</w:t>
            </w:r>
          </w:p>
        </w:tc>
        <w:tc>
          <w:tcPr>
            <w:tcW w:w="740" w:type="dxa"/>
            <w:tcBorders>
              <w:top w:val="single" w:sz="2" w:space="0" w:color="auto"/>
              <w:left w:val="single" w:sz="2" w:space="0" w:color="auto"/>
              <w:bottom w:val="single" w:sz="2" w:space="0" w:color="auto"/>
              <w:right w:val="single" w:sz="2" w:space="0" w:color="auto"/>
            </w:tcBorders>
            <w:vAlign w:val="center"/>
          </w:tcPr>
          <w:p w14:paraId="165262E5">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5D57A4D3">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9C06B94">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06E701B">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0BF0D8A1">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1AFD3FC">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1F0ADCA">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52E460B3">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72155978">
            <w:pPr>
              <w:spacing w:line="360" w:lineRule="auto"/>
              <w:jc w:val="center"/>
              <w:rPr>
                <w:rFonts w:ascii="宋体" w:hAnsi="宋体"/>
              </w:rPr>
            </w:pPr>
          </w:p>
        </w:tc>
      </w:tr>
      <w:tr w14:paraId="590B0D3C">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2B339BE8">
            <w:pPr>
              <w:spacing w:line="360" w:lineRule="auto"/>
              <w:jc w:val="center"/>
              <w:rPr>
                <w:rFonts w:ascii="宋体" w:hAnsi="宋体"/>
              </w:rPr>
            </w:pPr>
            <w:r>
              <w:rPr>
                <w:rFonts w:ascii="宋体" w:hAnsi="宋体" w:hint="eastAsia"/>
              </w:rPr>
              <w:t>8</w:t>
            </w:r>
          </w:p>
        </w:tc>
        <w:tc>
          <w:tcPr>
            <w:tcW w:w="1643" w:type="dxa"/>
            <w:tcBorders>
              <w:top w:val="single" w:sz="2" w:space="0" w:color="auto"/>
              <w:left w:val="single" w:sz="2" w:space="0" w:color="auto"/>
              <w:bottom w:val="single" w:sz="2" w:space="0" w:color="auto"/>
              <w:right w:val="single" w:sz="2" w:space="0" w:color="auto"/>
            </w:tcBorders>
            <w:vAlign w:val="center"/>
          </w:tcPr>
          <w:p w14:paraId="0DB484DA">
            <w:pPr>
              <w:spacing w:line="360" w:lineRule="auto"/>
              <w:jc w:val="center"/>
              <w:rPr>
                <w:rFonts w:ascii="宋体" w:hAnsi="宋体"/>
              </w:rPr>
            </w:pPr>
            <w:r>
              <w:rPr>
                <w:rFonts w:ascii="宋体" w:hAnsi="宋体" w:hint="eastAsia"/>
              </w:rPr>
              <w:t>……</w:t>
            </w:r>
          </w:p>
        </w:tc>
        <w:tc>
          <w:tcPr>
            <w:tcW w:w="740" w:type="dxa"/>
            <w:tcBorders>
              <w:top w:val="single" w:sz="2" w:space="0" w:color="auto"/>
              <w:left w:val="single" w:sz="2" w:space="0" w:color="auto"/>
              <w:bottom w:val="single" w:sz="2" w:space="0" w:color="auto"/>
              <w:right w:val="single" w:sz="2" w:space="0" w:color="auto"/>
            </w:tcBorders>
            <w:vAlign w:val="center"/>
          </w:tcPr>
          <w:p w14:paraId="2A9E4A63">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5B436097">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BFAFE47">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3978CF2A">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11BF397">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00B99D12">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30A47FD4">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26410649">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65C446D2">
            <w:pPr>
              <w:spacing w:line="360" w:lineRule="auto"/>
              <w:jc w:val="center"/>
              <w:rPr>
                <w:rFonts w:ascii="宋体" w:hAnsi="宋体"/>
              </w:rPr>
            </w:pPr>
          </w:p>
        </w:tc>
      </w:tr>
      <w:tr w14:paraId="5585C5B0">
        <w:tblPrEx>
          <w:tblW w:w="0" w:type="auto"/>
          <w:tblInd w:w="0" w:type="dxa"/>
          <w:tblLayout w:type="fixed"/>
          <w:tblCellMar>
            <w:top w:w="0" w:type="dxa"/>
            <w:left w:w="108" w:type="dxa"/>
            <w:bottom w:w="0" w:type="dxa"/>
            <w:right w:w="108" w:type="dxa"/>
          </w:tblCellMar>
        </w:tblPrEx>
        <w:tc>
          <w:tcPr>
            <w:tcW w:w="2997" w:type="dxa"/>
            <w:gridSpan w:val="3"/>
            <w:tcBorders>
              <w:top w:val="single" w:sz="2" w:space="0" w:color="auto"/>
              <w:left w:val="single" w:sz="2" w:space="0" w:color="auto"/>
              <w:bottom w:val="single" w:sz="2" w:space="0" w:color="auto"/>
              <w:right w:val="single" w:sz="2" w:space="0" w:color="auto"/>
            </w:tcBorders>
            <w:vAlign w:val="center"/>
          </w:tcPr>
          <w:p w14:paraId="51E1279A">
            <w:pPr>
              <w:spacing w:line="360" w:lineRule="auto"/>
              <w:jc w:val="center"/>
              <w:rPr>
                <w:rFonts w:ascii="宋体" w:hAnsi="宋体"/>
                <w:lang w:eastAsia="zh-CN"/>
              </w:rPr>
            </w:pPr>
            <w:r>
              <w:rPr>
                <w:rFonts w:ascii="宋体" w:hAnsi="宋体" w:hint="eastAsia"/>
                <w:lang w:eastAsia="zh-CN"/>
              </w:rPr>
              <w:t>施工组织设计得分合计A(满分)</w:t>
            </w:r>
          </w:p>
        </w:tc>
        <w:tc>
          <w:tcPr>
            <w:tcW w:w="691" w:type="dxa"/>
            <w:tcBorders>
              <w:top w:val="single" w:sz="2" w:space="0" w:color="auto"/>
              <w:left w:val="single" w:sz="2" w:space="0" w:color="auto"/>
              <w:bottom w:val="single" w:sz="2" w:space="0" w:color="auto"/>
              <w:right w:val="single" w:sz="2" w:space="0" w:color="auto"/>
            </w:tcBorders>
            <w:vAlign w:val="center"/>
          </w:tcPr>
          <w:p w14:paraId="2F7EE381">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157DB4CA">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7AF58001">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0E2F56E2">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52A0B488">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73A41921">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26BEB156">
            <w:pPr>
              <w:spacing w:line="360" w:lineRule="auto"/>
              <w:jc w:val="center"/>
              <w:rPr>
                <w:rFonts w:ascii="宋体" w:hAnsi="宋体"/>
                <w:lang w:eastAsia="zh-CN"/>
              </w:rPr>
            </w:pPr>
          </w:p>
        </w:tc>
        <w:tc>
          <w:tcPr>
            <w:tcW w:w="688" w:type="dxa"/>
            <w:tcBorders>
              <w:top w:val="single" w:sz="2" w:space="0" w:color="auto"/>
              <w:left w:val="single" w:sz="2" w:space="0" w:color="auto"/>
              <w:bottom w:val="single" w:sz="2" w:space="0" w:color="auto"/>
              <w:right w:val="single" w:sz="2" w:space="0" w:color="auto"/>
            </w:tcBorders>
            <w:vAlign w:val="center"/>
          </w:tcPr>
          <w:p w14:paraId="7695CC2E">
            <w:pPr>
              <w:spacing w:line="360" w:lineRule="auto"/>
              <w:jc w:val="center"/>
              <w:rPr>
                <w:rFonts w:ascii="宋体" w:hAnsi="宋体"/>
                <w:lang w:eastAsia="zh-CN"/>
              </w:rPr>
            </w:pPr>
          </w:p>
        </w:tc>
      </w:tr>
    </w:tbl>
    <w:p w14:paraId="25C887E2">
      <w:pPr>
        <w:spacing w:line="360" w:lineRule="auto"/>
        <w:rPr>
          <w:rFonts w:ascii="宋体" w:hAnsi="宋体"/>
          <w:kern w:val="2"/>
          <w:lang w:eastAsia="zh-CN"/>
        </w:rPr>
      </w:pPr>
    </w:p>
    <w:p w14:paraId="676CFC7B">
      <w:pPr>
        <w:spacing w:line="360" w:lineRule="auto"/>
        <w:rPr>
          <w:rFonts w:ascii="宋体" w:hAnsi="宋体"/>
          <w:lang w:eastAsia="zh-CN"/>
        </w:rPr>
      </w:pPr>
      <w:r>
        <w:rPr>
          <w:rFonts w:ascii="宋体" w:hAnsi="宋体" w:hint="eastAsia"/>
          <w:lang w:eastAsia="zh-CN"/>
        </w:rPr>
        <w:t>评标委员会成员签名：                     日期：   　　 年    月　  日</w:t>
      </w:r>
    </w:p>
    <w:p w14:paraId="74A13846">
      <w:pPr>
        <w:spacing w:line="360" w:lineRule="auto"/>
        <w:rPr>
          <w:rFonts w:ascii="宋体" w:hAnsi="宋体"/>
          <w:b/>
          <w:lang w:eastAsia="zh-CN"/>
        </w:rPr>
      </w:pPr>
    </w:p>
    <w:p w14:paraId="52FFFDF1">
      <w:pPr>
        <w:rPr>
          <w:rFonts w:ascii="宋体" w:hAnsi="宋体"/>
          <w:b/>
          <w:lang w:eastAsia="zh-CN"/>
        </w:rPr>
      </w:pPr>
      <w:r>
        <w:rPr>
          <w:rFonts w:ascii="宋体" w:hAnsi="宋体" w:hint="eastAsia"/>
          <w:b/>
          <w:lang w:eastAsia="zh-CN"/>
        </w:rPr>
        <w:br w:type="page"/>
      </w:r>
    </w:p>
    <w:p w14:paraId="10C034D6">
      <w:pPr>
        <w:rPr>
          <w:rFonts w:ascii="宋体" w:hAnsi="宋体"/>
          <w:b/>
          <w:lang w:eastAsia="zh-CN"/>
        </w:rPr>
      </w:pPr>
    </w:p>
    <w:p w14:paraId="5D70864D">
      <w:pPr>
        <w:pStyle w:val="Heading2"/>
        <w:rPr>
          <w:rFonts w:ascii="宋体" w:hAnsi="宋体"/>
          <w:sz w:val="24"/>
          <w:szCs w:val="24"/>
        </w:rPr>
      </w:pPr>
      <w:r>
        <w:rPr>
          <w:rFonts w:ascii="宋体" w:hAnsi="宋体" w:hint="eastAsia"/>
          <w:sz w:val="24"/>
          <w:szCs w:val="24"/>
        </w:rPr>
        <w:t>附表A-6：项目管理机构评审记录表</w:t>
      </w:r>
    </w:p>
    <w:p w14:paraId="3E3B7A5F">
      <w:pPr>
        <w:spacing w:line="360" w:lineRule="auto"/>
        <w:jc w:val="center"/>
        <w:rPr>
          <w:rFonts w:ascii="宋体" w:hAnsi="宋体"/>
          <w:b/>
          <w:lang w:eastAsia="zh-CN"/>
        </w:rPr>
      </w:pPr>
      <w:r>
        <w:rPr>
          <w:rFonts w:ascii="宋体" w:hAnsi="宋体" w:hint="eastAsia"/>
          <w:b/>
          <w:lang w:eastAsia="zh-CN"/>
        </w:rPr>
        <w:t>项目管理机构评审记录表</w:t>
      </w:r>
    </w:p>
    <w:p w14:paraId="7D8A63D4">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680"/>
        <w:gridCol w:w="1874"/>
        <w:gridCol w:w="746"/>
        <w:gridCol w:w="746"/>
        <w:gridCol w:w="746"/>
        <w:gridCol w:w="746"/>
        <w:gridCol w:w="746"/>
        <w:gridCol w:w="746"/>
        <w:gridCol w:w="746"/>
        <w:gridCol w:w="746"/>
      </w:tblGrid>
      <w:tr w14:paraId="009B0DCA">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c>
          <w:tcPr>
            <w:tcW w:w="680" w:type="dxa"/>
            <w:vMerge w:val="restart"/>
            <w:tcBorders>
              <w:top w:val="single" w:sz="2" w:space="0" w:color="auto"/>
              <w:left w:val="single" w:sz="2" w:space="0" w:color="auto"/>
              <w:bottom w:val="single" w:sz="2" w:space="0" w:color="auto"/>
              <w:right w:val="single" w:sz="2" w:space="0" w:color="auto"/>
            </w:tcBorders>
            <w:vAlign w:val="center"/>
          </w:tcPr>
          <w:p w14:paraId="23B6E217">
            <w:pPr>
              <w:spacing w:line="360" w:lineRule="auto"/>
              <w:jc w:val="center"/>
              <w:rPr>
                <w:rFonts w:ascii="宋体" w:hAnsi="宋体"/>
              </w:rPr>
            </w:pPr>
            <w:r>
              <w:rPr>
                <w:rFonts w:ascii="宋体" w:hAnsi="宋体" w:hint="eastAsia"/>
              </w:rPr>
              <w:t>序号</w:t>
            </w:r>
          </w:p>
        </w:tc>
        <w:tc>
          <w:tcPr>
            <w:tcW w:w="1874" w:type="dxa"/>
            <w:vMerge w:val="restart"/>
            <w:tcBorders>
              <w:top w:val="single" w:sz="2" w:space="0" w:color="auto"/>
              <w:left w:val="single" w:sz="2" w:space="0" w:color="auto"/>
              <w:bottom w:val="single" w:sz="2" w:space="0" w:color="auto"/>
              <w:right w:val="single" w:sz="2" w:space="0" w:color="auto"/>
            </w:tcBorders>
            <w:vAlign w:val="center"/>
          </w:tcPr>
          <w:p w14:paraId="259B8FDF">
            <w:pPr>
              <w:spacing w:line="360" w:lineRule="auto"/>
              <w:jc w:val="center"/>
              <w:rPr>
                <w:rFonts w:ascii="宋体" w:hAnsi="宋体"/>
              </w:rPr>
            </w:pPr>
            <w:r>
              <w:rPr>
                <w:rFonts w:ascii="宋体" w:hAnsi="宋体" w:hint="eastAsia"/>
              </w:rPr>
              <w:t>评分项目</w:t>
            </w:r>
          </w:p>
        </w:tc>
        <w:tc>
          <w:tcPr>
            <w:tcW w:w="746" w:type="dxa"/>
            <w:vMerge w:val="restart"/>
            <w:tcBorders>
              <w:top w:val="single" w:sz="2" w:space="0" w:color="auto"/>
              <w:left w:val="single" w:sz="2" w:space="0" w:color="auto"/>
              <w:bottom w:val="single" w:sz="2" w:space="0" w:color="auto"/>
              <w:right w:val="single" w:sz="2" w:space="0" w:color="auto"/>
            </w:tcBorders>
            <w:vAlign w:val="center"/>
          </w:tcPr>
          <w:p w14:paraId="1ACE8DB1">
            <w:pPr>
              <w:spacing w:line="360" w:lineRule="auto"/>
              <w:jc w:val="center"/>
              <w:rPr>
                <w:rFonts w:ascii="宋体" w:hAnsi="宋体"/>
              </w:rPr>
            </w:pPr>
            <w:r>
              <w:rPr>
                <w:rFonts w:ascii="宋体" w:hAnsi="宋体" w:hint="eastAsia"/>
              </w:rPr>
              <w:t>标准分</w:t>
            </w:r>
          </w:p>
        </w:tc>
        <w:tc>
          <w:tcPr>
            <w:tcW w:w="5222" w:type="dxa"/>
            <w:gridSpan w:val="7"/>
            <w:tcBorders>
              <w:top w:val="single" w:sz="2" w:space="0" w:color="auto"/>
              <w:left w:val="single" w:sz="2" w:space="0" w:color="auto"/>
              <w:bottom w:val="single" w:sz="2" w:space="0" w:color="auto"/>
              <w:right w:val="single" w:sz="2" w:space="0" w:color="auto"/>
            </w:tcBorders>
            <w:vAlign w:val="center"/>
          </w:tcPr>
          <w:p w14:paraId="10E57B95">
            <w:pPr>
              <w:spacing w:line="360" w:lineRule="auto"/>
              <w:jc w:val="center"/>
              <w:rPr>
                <w:rFonts w:ascii="宋体" w:hAnsi="宋体"/>
              </w:rPr>
            </w:pPr>
            <w:r>
              <w:rPr>
                <w:rFonts w:ascii="宋体" w:hAnsi="宋体" w:hint="eastAsia"/>
              </w:rPr>
              <w:t>投标人名称代码</w:t>
            </w:r>
          </w:p>
        </w:tc>
      </w:tr>
      <w:tr w14:paraId="6B2A69EB">
        <w:tblPrEx>
          <w:tblW w:w="0" w:type="auto"/>
          <w:tblInd w:w="0" w:type="dxa"/>
          <w:tblLayout w:type="fixed"/>
          <w:tblCellMar>
            <w:top w:w="0" w:type="dxa"/>
            <w:left w:w="108" w:type="dxa"/>
            <w:bottom w:w="0" w:type="dxa"/>
            <w:right w:w="108" w:type="dxa"/>
          </w:tblCellMar>
        </w:tblPrEx>
        <w:tc>
          <w:tcPr>
            <w:tcW w:w="3300" w:type="dxa"/>
            <w:vMerge/>
            <w:tcBorders>
              <w:top w:val="single" w:sz="2" w:space="0" w:color="auto"/>
              <w:left w:val="single" w:sz="2" w:space="0" w:color="auto"/>
              <w:bottom w:val="single" w:sz="2" w:space="0" w:color="auto"/>
              <w:right w:val="single" w:sz="2" w:space="0" w:color="auto"/>
            </w:tcBorders>
            <w:vAlign w:val="center"/>
          </w:tcPr>
          <w:p w14:paraId="7DBB961F">
            <w:pPr>
              <w:rPr>
                <w:rFonts w:ascii="宋体" w:eastAsia="宋体" w:hAnsi="宋体"/>
                <w:kern w:val="2"/>
              </w:rPr>
            </w:pPr>
          </w:p>
        </w:tc>
        <w:tc>
          <w:tcPr>
            <w:tcW w:w="1874" w:type="dxa"/>
            <w:vMerge/>
            <w:tcBorders>
              <w:top w:val="single" w:sz="2" w:space="0" w:color="auto"/>
              <w:left w:val="single" w:sz="2" w:space="0" w:color="auto"/>
              <w:bottom w:val="single" w:sz="2" w:space="0" w:color="auto"/>
              <w:right w:val="single" w:sz="2" w:space="0" w:color="auto"/>
            </w:tcBorders>
            <w:vAlign w:val="center"/>
          </w:tcPr>
          <w:p w14:paraId="3253792D">
            <w:pPr>
              <w:rPr>
                <w:rFonts w:ascii="宋体" w:eastAsia="宋体" w:hAnsi="宋体"/>
                <w:kern w:val="2"/>
              </w:rPr>
            </w:pPr>
          </w:p>
        </w:tc>
        <w:tc>
          <w:tcPr>
            <w:tcW w:w="746" w:type="dxa"/>
            <w:vMerge/>
            <w:tcBorders>
              <w:top w:val="single" w:sz="2" w:space="0" w:color="auto"/>
              <w:left w:val="single" w:sz="2" w:space="0" w:color="auto"/>
              <w:bottom w:val="single" w:sz="2" w:space="0" w:color="auto"/>
              <w:right w:val="single" w:sz="2" w:space="0" w:color="auto"/>
            </w:tcBorders>
            <w:vAlign w:val="center"/>
          </w:tcPr>
          <w:p w14:paraId="72040BA5">
            <w:pPr>
              <w:rPr>
                <w:rFonts w:ascii="宋体" w:eastAsia="宋体" w:hAnsi="宋体"/>
                <w:kern w:val="2"/>
              </w:rPr>
            </w:pPr>
          </w:p>
        </w:tc>
        <w:tc>
          <w:tcPr>
            <w:tcW w:w="746" w:type="dxa"/>
            <w:tcBorders>
              <w:top w:val="single" w:sz="2" w:space="0" w:color="auto"/>
              <w:left w:val="single" w:sz="2" w:space="0" w:color="auto"/>
              <w:bottom w:val="single" w:sz="2" w:space="0" w:color="auto"/>
              <w:right w:val="single" w:sz="2" w:space="0" w:color="auto"/>
            </w:tcBorders>
            <w:vAlign w:val="center"/>
          </w:tcPr>
          <w:p w14:paraId="7F9DEA19">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4FBF5BC2">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112182A2">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4471C29D">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3B64699B">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62CB477E">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7AD4838C">
            <w:pPr>
              <w:spacing w:line="360" w:lineRule="auto"/>
              <w:jc w:val="center"/>
              <w:rPr>
                <w:rFonts w:ascii="宋体" w:hAnsi="宋体"/>
              </w:rPr>
            </w:pPr>
          </w:p>
        </w:tc>
      </w:tr>
      <w:tr w14:paraId="4F4F71F5">
        <w:tblPrEx>
          <w:tblW w:w="0" w:type="auto"/>
          <w:tblInd w:w="0" w:type="dxa"/>
          <w:tblLayout w:type="fixed"/>
          <w:tblCellMar>
            <w:top w:w="0" w:type="dxa"/>
            <w:left w:w="108" w:type="dxa"/>
            <w:bottom w:w="0" w:type="dxa"/>
            <w:right w:w="108" w:type="dxa"/>
          </w:tblCellMar>
        </w:tblPrEx>
        <w:tc>
          <w:tcPr>
            <w:tcW w:w="680" w:type="dxa"/>
            <w:tcBorders>
              <w:top w:val="single" w:sz="2" w:space="0" w:color="auto"/>
              <w:left w:val="single" w:sz="2" w:space="0" w:color="auto"/>
              <w:bottom w:val="single" w:sz="2" w:space="0" w:color="auto"/>
              <w:right w:val="single" w:sz="2" w:space="0" w:color="auto"/>
            </w:tcBorders>
            <w:vAlign w:val="center"/>
          </w:tcPr>
          <w:p w14:paraId="4FA2B4E7">
            <w:pPr>
              <w:spacing w:line="360" w:lineRule="auto"/>
              <w:jc w:val="center"/>
              <w:rPr>
                <w:rFonts w:ascii="宋体" w:hAnsi="宋体"/>
              </w:rPr>
            </w:pPr>
            <w:r>
              <w:rPr>
                <w:rFonts w:ascii="宋体" w:hAnsi="宋体" w:hint="eastAsia"/>
              </w:rPr>
              <w:t>1</w:t>
            </w:r>
          </w:p>
        </w:tc>
        <w:tc>
          <w:tcPr>
            <w:tcW w:w="1874" w:type="dxa"/>
            <w:tcBorders>
              <w:top w:val="single" w:sz="2" w:space="0" w:color="auto"/>
              <w:left w:val="single" w:sz="2" w:space="0" w:color="auto"/>
              <w:bottom w:val="single" w:sz="2" w:space="0" w:color="auto"/>
              <w:right w:val="single" w:sz="2" w:space="0" w:color="auto"/>
            </w:tcBorders>
            <w:vAlign w:val="center"/>
          </w:tcPr>
          <w:p w14:paraId="7A4B8DDC">
            <w:pPr>
              <w:spacing w:line="360" w:lineRule="auto"/>
              <w:jc w:val="center"/>
              <w:rPr>
                <w:rFonts w:ascii="宋体" w:hAnsi="宋体"/>
                <w:lang w:eastAsia="zh-CN"/>
              </w:rPr>
            </w:pPr>
            <w:r>
              <w:rPr>
                <w:rFonts w:ascii="宋体" w:hAnsi="宋体" w:hint="eastAsia"/>
                <w:lang w:eastAsia="zh-CN"/>
              </w:rPr>
              <w:t>项目经理任职资格与业绩</w:t>
            </w:r>
          </w:p>
        </w:tc>
        <w:tc>
          <w:tcPr>
            <w:tcW w:w="746" w:type="dxa"/>
            <w:tcBorders>
              <w:top w:val="single" w:sz="2" w:space="0" w:color="auto"/>
              <w:left w:val="single" w:sz="2" w:space="0" w:color="auto"/>
              <w:bottom w:val="single" w:sz="2" w:space="0" w:color="auto"/>
              <w:right w:val="single" w:sz="2" w:space="0" w:color="auto"/>
            </w:tcBorders>
            <w:vAlign w:val="center"/>
          </w:tcPr>
          <w:p w14:paraId="41A05444">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35C14152">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50B4FCAF">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22AB06C5">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569D13E3">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4401E38D">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756541E6">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44715389">
            <w:pPr>
              <w:spacing w:line="360" w:lineRule="auto"/>
              <w:jc w:val="center"/>
              <w:rPr>
                <w:rFonts w:ascii="宋体" w:hAnsi="宋体"/>
                <w:lang w:eastAsia="zh-CN"/>
              </w:rPr>
            </w:pPr>
          </w:p>
        </w:tc>
      </w:tr>
      <w:tr w14:paraId="7C7F8447">
        <w:tblPrEx>
          <w:tblW w:w="0" w:type="auto"/>
          <w:tblInd w:w="0" w:type="dxa"/>
          <w:tblLayout w:type="fixed"/>
          <w:tblCellMar>
            <w:top w:w="0" w:type="dxa"/>
            <w:left w:w="108" w:type="dxa"/>
            <w:bottom w:w="0" w:type="dxa"/>
            <w:right w:w="108" w:type="dxa"/>
          </w:tblCellMar>
        </w:tblPrEx>
        <w:tc>
          <w:tcPr>
            <w:tcW w:w="680" w:type="dxa"/>
            <w:tcBorders>
              <w:top w:val="single" w:sz="2" w:space="0" w:color="auto"/>
              <w:left w:val="single" w:sz="2" w:space="0" w:color="auto"/>
              <w:bottom w:val="single" w:sz="2" w:space="0" w:color="auto"/>
              <w:right w:val="single" w:sz="2" w:space="0" w:color="auto"/>
            </w:tcBorders>
            <w:vAlign w:val="center"/>
          </w:tcPr>
          <w:p w14:paraId="12A0C409">
            <w:pPr>
              <w:spacing w:line="360" w:lineRule="auto"/>
              <w:jc w:val="center"/>
              <w:rPr>
                <w:rFonts w:ascii="宋体" w:hAnsi="宋体"/>
              </w:rPr>
            </w:pPr>
            <w:r>
              <w:rPr>
                <w:rFonts w:ascii="宋体" w:hAnsi="宋体" w:hint="eastAsia"/>
              </w:rPr>
              <w:t>2</w:t>
            </w:r>
          </w:p>
        </w:tc>
        <w:tc>
          <w:tcPr>
            <w:tcW w:w="1874" w:type="dxa"/>
            <w:tcBorders>
              <w:top w:val="single" w:sz="2" w:space="0" w:color="auto"/>
              <w:left w:val="single" w:sz="2" w:space="0" w:color="auto"/>
              <w:bottom w:val="single" w:sz="2" w:space="0" w:color="auto"/>
              <w:right w:val="single" w:sz="2" w:space="0" w:color="auto"/>
            </w:tcBorders>
            <w:vAlign w:val="center"/>
          </w:tcPr>
          <w:p w14:paraId="0C324F00">
            <w:pPr>
              <w:spacing w:line="360" w:lineRule="auto"/>
              <w:jc w:val="center"/>
              <w:rPr>
                <w:rFonts w:ascii="宋体" w:hAnsi="宋体"/>
                <w:lang w:eastAsia="zh-CN"/>
              </w:rPr>
            </w:pPr>
            <w:r>
              <w:rPr>
                <w:rFonts w:ascii="宋体" w:hAnsi="宋体" w:hint="eastAsia"/>
                <w:lang w:eastAsia="zh-CN"/>
              </w:rPr>
              <w:t>技术负责人任职资格与业绩</w:t>
            </w:r>
          </w:p>
        </w:tc>
        <w:tc>
          <w:tcPr>
            <w:tcW w:w="746" w:type="dxa"/>
            <w:tcBorders>
              <w:top w:val="single" w:sz="2" w:space="0" w:color="auto"/>
              <w:left w:val="single" w:sz="2" w:space="0" w:color="auto"/>
              <w:bottom w:val="single" w:sz="2" w:space="0" w:color="auto"/>
              <w:right w:val="single" w:sz="2" w:space="0" w:color="auto"/>
            </w:tcBorders>
            <w:vAlign w:val="center"/>
          </w:tcPr>
          <w:p w14:paraId="1F1F0CCB">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2BD04E32">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54FA48CE">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7D8BDAB0">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67E10D26">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1F02CBAC">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2BAADA3B">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157F4EF8">
            <w:pPr>
              <w:spacing w:line="360" w:lineRule="auto"/>
              <w:jc w:val="center"/>
              <w:rPr>
                <w:rFonts w:ascii="宋体" w:hAnsi="宋体"/>
                <w:lang w:eastAsia="zh-CN"/>
              </w:rPr>
            </w:pPr>
          </w:p>
        </w:tc>
      </w:tr>
      <w:tr w14:paraId="1E631A05">
        <w:tblPrEx>
          <w:tblW w:w="0" w:type="auto"/>
          <w:tblInd w:w="0" w:type="dxa"/>
          <w:tblLayout w:type="fixed"/>
          <w:tblCellMar>
            <w:top w:w="0" w:type="dxa"/>
            <w:left w:w="108" w:type="dxa"/>
            <w:bottom w:w="0" w:type="dxa"/>
            <w:right w:w="108" w:type="dxa"/>
          </w:tblCellMar>
        </w:tblPrEx>
        <w:tc>
          <w:tcPr>
            <w:tcW w:w="680" w:type="dxa"/>
            <w:tcBorders>
              <w:top w:val="single" w:sz="2" w:space="0" w:color="auto"/>
              <w:left w:val="single" w:sz="2" w:space="0" w:color="auto"/>
              <w:bottom w:val="single" w:sz="2" w:space="0" w:color="auto"/>
              <w:right w:val="single" w:sz="2" w:space="0" w:color="auto"/>
            </w:tcBorders>
            <w:vAlign w:val="center"/>
          </w:tcPr>
          <w:p w14:paraId="21F3DD93">
            <w:pPr>
              <w:spacing w:line="360" w:lineRule="auto"/>
              <w:jc w:val="center"/>
              <w:rPr>
                <w:rFonts w:ascii="宋体" w:hAnsi="宋体"/>
              </w:rPr>
            </w:pPr>
            <w:r>
              <w:rPr>
                <w:rFonts w:ascii="宋体" w:hAnsi="宋体" w:hint="eastAsia"/>
              </w:rPr>
              <w:t>3</w:t>
            </w:r>
          </w:p>
        </w:tc>
        <w:tc>
          <w:tcPr>
            <w:tcW w:w="1874" w:type="dxa"/>
            <w:tcBorders>
              <w:top w:val="single" w:sz="2" w:space="0" w:color="auto"/>
              <w:left w:val="single" w:sz="2" w:space="0" w:color="auto"/>
              <w:bottom w:val="single" w:sz="2" w:space="0" w:color="auto"/>
              <w:right w:val="single" w:sz="2" w:space="0" w:color="auto"/>
            </w:tcBorders>
            <w:vAlign w:val="center"/>
          </w:tcPr>
          <w:p w14:paraId="11B42636">
            <w:pPr>
              <w:spacing w:line="360" w:lineRule="auto"/>
              <w:jc w:val="center"/>
              <w:rPr>
                <w:rFonts w:ascii="宋体" w:hAnsi="宋体"/>
              </w:rPr>
            </w:pPr>
            <w:r>
              <w:rPr>
                <w:rFonts w:ascii="宋体" w:hAnsi="宋体" w:hint="eastAsia"/>
              </w:rPr>
              <w:t>……</w:t>
            </w:r>
          </w:p>
        </w:tc>
        <w:tc>
          <w:tcPr>
            <w:tcW w:w="746" w:type="dxa"/>
            <w:tcBorders>
              <w:top w:val="single" w:sz="2" w:space="0" w:color="auto"/>
              <w:left w:val="single" w:sz="2" w:space="0" w:color="auto"/>
              <w:bottom w:val="single" w:sz="2" w:space="0" w:color="auto"/>
              <w:right w:val="single" w:sz="2" w:space="0" w:color="auto"/>
            </w:tcBorders>
            <w:vAlign w:val="center"/>
          </w:tcPr>
          <w:p w14:paraId="15765738">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35E8D6FC">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130F7CB9">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4A84F79D">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6A2657A4">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3C675220">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05EB1F5F">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15FC8F16">
            <w:pPr>
              <w:spacing w:line="360" w:lineRule="auto"/>
              <w:jc w:val="center"/>
              <w:rPr>
                <w:rFonts w:ascii="宋体" w:hAnsi="宋体"/>
              </w:rPr>
            </w:pPr>
          </w:p>
        </w:tc>
      </w:tr>
      <w:tr w14:paraId="423A99BB">
        <w:tblPrEx>
          <w:tblW w:w="0" w:type="auto"/>
          <w:tblInd w:w="0" w:type="dxa"/>
          <w:tblLayout w:type="fixed"/>
          <w:tblCellMar>
            <w:top w:w="0" w:type="dxa"/>
            <w:left w:w="108" w:type="dxa"/>
            <w:bottom w:w="0" w:type="dxa"/>
            <w:right w:w="108" w:type="dxa"/>
          </w:tblCellMar>
        </w:tblPrEx>
        <w:tc>
          <w:tcPr>
            <w:tcW w:w="3300" w:type="dxa"/>
            <w:gridSpan w:val="3"/>
            <w:tcBorders>
              <w:top w:val="single" w:sz="2" w:space="0" w:color="auto"/>
              <w:left w:val="single" w:sz="2" w:space="0" w:color="auto"/>
              <w:bottom w:val="single" w:sz="2" w:space="0" w:color="auto"/>
              <w:right w:val="single" w:sz="2" w:space="0" w:color="auto"/>
            </w:tcBorders>
            <w:vAlign w:val="center"/>
          </w:tcPr>
          <w:p w14:paraId="48290845">
            <w:pPr>
              <w:spacing w:line="360" w:lineRule="auto"/>
              <w:jc w:val="center"/>
              <w:rPr>
                <w:rFonts w:ascii="宋体" w:hAnsi="宋体"/>
                <w:lang w:eastAsia="zh-CN"/>
              </w:rPr>
            </w:pPr>
            <w:r>
              <w:rPr>
                <w:rFonts w:ascii="宋体" w:hAnsi="宋体" w:hint="eastAsia"/>
                <w:lang w:eastAsia="zh-CN"/>
              </w:rPr>
              <w:t>项目管理机构得分合计B(满分)</w:t>
            </w:r>
          </w:p>
        </w:tc>
        <w:tc>
          <w:tcPr>
            <w:tcW w:w="746" w:type="dxa"/>
            <w:tcBorders>
              <w:top w:val="single" w:sz="2" w:space="0" w:color="auto"/>
              <w:left w:val="single" w:sz="2" w:space="0" w:color="auto"/>
              <w:bottom w:val="single" w:sz="2" w:space="0" w:color="auto"/>
              <w:right w:val="single" w:sz="2" w:space="0" w:color="auto"/>
            </w:tcBorders>
            <w:vAlign w:val="center"/>
          </w:tcPr>
          <w:p w14:paraId="393FA9EB">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312BA6C0">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4AC998CD">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20BE72B5">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1E3AE972">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444DBD65">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6126EF5F">
            <w:pPr>
              <w:spacing w:line="360" w:lineRule="auto"/>
              <w:jc w:val="center"/>
              <w:rPr>
                <w:rFonts w:ascii="宋体" w:hAnsi="宋体"/>
                <w:lang w:eastAsia="zh-CN"/>
              </w:rPr>
            </w:pPr>
          </w:p>
        </w:tc>
      </w:tr>
    </w:tbl>
    <w:p w14:paraId="58CC9520">
      <w:pPr>
        <w:spacing w:line="360" w:lineRule="auto"/>
        <w:rPr>
          <w:rFonts w:ascii="宋体" w:hAnsi="宋体"/>
          <w:kern w:val="2"/>
          <w:lang w:eastAsia="zh-CN"/>
        </w:rPr>
      </w:pPr>
    </w:p>
    <w:p w14:paraId="57ECA223">
      <w:pPr>
        <w:spacing w:line="360" w:lineRule="auto"/>
        <w:rPr>
          <w:rFonts w:ascii="宋体" w:hAnsi="宋体"/>
          <w:lang w:eastAsia="zh-CN"/>
        </w:rPr>
      </w:pPr>
      <w:r>
        <w:rPr>
          <w:rFonts w:ascii="宋体" w:hAnsi="宋体" w:hint="eastAsia"/>
          <w:lang w:eastAsia="zh-CN"/>
        </w:rPr>
        <w:t>评标委员会成员签名：                           日期：    年    月  日</w:t>
      </w:r>
    </w:p>
    <w:p w14:paraId="4B6CB765">
      <w:pPr>
        <w:spacing w:line="360" w:lineRule="auto"/>
        <w:rPr>
          <w:rFonts w:ascii="宋体" w:hAnsi="宋体"/>
          <w:b/>
          <w:lang w:eastAsia="zh-CN"/>
        </w:rPr>
      </w:pPr>
    </w:p>
    <w:p w14:paraId="1669918C">
      <w:pPr>
        <w:rPr>
          <w:rFonts w:ascii="宋体" w:hAnsi="宋体"/>
          <w:b/>
          <w:lang w:eastAsia="zh-CN"/>
        </w:rPr>
      </w:pPr>
      <w:r>
        <w:rPr>
          <w:rFonts w:ascii="宋体" w:hAnsi="宋体" w:hint="eastAsia"/>
          <w:b/>
          <w:lang w:eastAsia="zh-CN"/>
        </w:rPr>
        <w:br w:type="page"/>
      </w:r>
    </w:p>
    <w:p w14:paraId="693DCDCE">
      <w:pPr>
        <w:rPr>
          <w:rFonts w:ascii="宋体" w:hAnsi="宋体"/>
          <w:b/>
          <w:lang w:eastAsia="zh-CN"/>
        </w:rPr>
      </w:pPr>
    </w:p>
    <w:p w14:paraId="2F244105">
      <w:pPr>
        <w:pStyle w:val="Heading2"/>
        <w:rPr>
          <w:rFonts w:ascii="宋体" w:hAnsi="宋体"/>
          <w:sz w:val="24"/>
          <w:szCs w:val="24"/>
        </w:rPr>
      </w:pPr>
      <w:r>
        <w:rPr>
          <w:rFonts w:ascii="宋体" w:hAnsi="宋体" w:hint="eastAsia"/>
          <w:sz w:val="24"/>
          <w:szCs w:val="24"/>
        </w:rPr>
        <w:t>附表A-7：投标报价评分记录表</w:t>
      </w:r>
    </w:p>
    <w:p w14:paraId="4193C6F7">
      <w:pPr>
        <w:spacing w:line="360" w:lineRule="auto"/>
        <w:jc w:val="center"/>
        <w:rPr>
          <w:rFonts w:ascii="宋体" w:hAnsi="宋体"/>
          <w:b/>
          <w:lang w:eastAsia="zh-CN"/>
        </w:rPr>
      </w:pPr>
      <w:r>
        <w:rPr>
          <w:rFonts w:ascii="宋体" w:hAnsi="宋体" w:hint="eastAsia"/>
          <w:b/>
          <w:lang w:eastAsia="zh-CN"/>
        </w:rPr>
        <w:t>投标报价评分记录表</w:t>
      </w:r>
    </w:p>
    <w:p w14:paraId="2BA0D7E7">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                      单位：人民币元</w:t>
      </w:r>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1353"/>
        <w:gridCol w:w="1024"/>
        <w:gridCol w:w="1024"/>
        <w:gridCol w:w="1024"/>
        <w:gridCol w:w="1024"/>
        <w:gridCol w:w="1024"/>
        <w:gridCol w:w="1024"/>
        <w:gridCol w:w="1025"/>
      </w:tblGrid>
      <w:tr w14:paraId="221E1712">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c>
          <w:tcPr>
            <w:tcW w:w="1353" w:type="dxa"/>
            <w:vMerge w:val="restart"/>
            <w:tcBorders>
              <w:top w:val="single" w:sz="2" w:space="0" w:color="auto"/>
              <w:left w:val="single" w:sz="2" w:space="0" w:color="auto"/>
              <w:bottom w:val="single" w:sz="2" w:space="0" w:color="auto"/>
              <w:right w:val="single" w:sz="2" w:space="0" w:color="auto"/>
            </w:tcBorders>
            <w:vAlign w:val="center"/>
          </w:tcPr>
          <w:p w14:paraId="0AB92271">
            <w:pPr>
              <w:spacing w:line="360" w:lineRule="auto"/>
              <w:jc w:val="center"/>
              <w:rPr>
                <w:rFonts w:ascii="宋体" w:hAnsi="宋体"/>
              </w:rPr>
            </w:pPr>
            <w:r>
              <w:rPr>
                <w:rFonts w:ascii="宋体" w:hAnsi="宋体" w:hint="eastAsia"/>
              </w:rPr>
              <w:t>项目</w:t>
            </w:r>
          </w:p>
        </w:tc>
        <w:tc>
          <w:tcPr>
            <w:tcW w:w="7169" w:type="dxa"/>
            <w:gridSpan w:val="7"/>
            <w:tcBorders>
              <w:top w:val="single" w:sz="2" w:space="0" w:color="auto"/>
              <w:left w:val="single" w:sz="2" w:space="0" w:color="auto"/>
              <w:bottom w:val="single" w:sz="2" w:space="0" w:color="auto"/>
              <w:right w:val="single" w:sz="2" w:space="0" w:color="auto"/>
            </w:tcBorders>
            <w:vAlign w:val="center"/>
          </w:tcPr>
          <w:p w14:paraId="5A37169B">
            <w:pPr>
              <w:spacing w:line="360" w:lineRule="auto"/>
              <w:jc w:val="center"/>
              <w:rPr>
                <w:rFonts w:ascii="宋体" w:hAnsi="宋体"/>
              </w:rPr>
            </w:pPr>
            <w:r>
              <w:rPr>
                <w:rFonts w:ascii="宋体" w:hAnsi="宋体" w:hint="eastAsia"/>
              </w:rPr>
              <w:t>投标人名称</w:t>
            </w:r>
          </w:p>
        </w:tc>
      </w:tr>
      <w:tr w14:paraId="0C48E267">
        <w:tblPrEx>
          <w:tblW w:w="0" w:type="auto"/>
          <w:tblInd w:w="0" w:type="dxa"/>
          <w:tblLayout w:type="fixed"/>
          <w:tblCellMar>
            <w:top w:w="0" w:type="dxa"/>
            <w:left w:w="108" w:type="dxa"/>
            <w:bottom w:w="0" w:type="dxa"/>
            <w:right w:w="108" w:type="dxa"/>
          </w:tblCellMar>
        </w:tblPrEx>
        <w:tc>
          <w:tcPr>
            <w:tcW w:w="1353" w:type="dxa"/>
            <w:vMerge/>
            <w:tcBorders>
              <w:top w:val="single" w:sz="2" w:space="0" w:color="auto"/>
              <w:left w:val="single" w:sz="2" w:space="0" w:color="auto"/>
              <w:bottom w:val="single" w:sz="2" w:space="0" w:color="auto"/>
              <w:right w:val="single" w:sz="2" w:space="0" w:color="auto"/>
            </w:tcBorders>
            <w:vAlign w:val="center"/>
          </w:tcPr>
          <w:p w14:paraId="127821B9">
            <w:pPr>
              <w:rPr>
                <w:rFonts w:ascii="宋体" w:eastAsia="宋体" w:hAnsi="宋体"/>
                <w:kern w:val="2"/>
              </w:rPr>
            </w:pPr>
          </w:p>
        </w:tc>
        <w:tc>
          <w:tcPr>
            <w:tcW w:w="1024" w:type="dxa"/>
            <w:tcBorders>
              <w:top w:val="single" w:sz="2" w:space="0" w:color="auto"/>
              <w:left w:val="single" w:sz="2" w:space="0" w:color="auto"/>
              <w:bottom w:val="single" w:sz="2" w:space="0" w:color="auto"/>
              <w:right w:val="single" w:sz="2" w:space="0" w:color="auto"/>
            </w:tcBorders>
            <w:vAlign w:val="center"/>
          </w:tcPr>
          <w:p w14:paraId="6BE265FF">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53A07A84">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07D6AF47">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36D2842F">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7796F490">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598E2190">
            <w:pPr>
              <w:spacing w:line="360" w:lineRule="auto"/>
              <w:jc w:val="center"/>
              <w:rPr>
                <w:rFonts w:ascii="宋体" w:hAnsi="宋体"/>
              </w:rPr>
            </w:pPr>
          </w:p>
        </w:tc>
        <w:tc>
          <w:tcPr>
            <w:tcW w:w="1025" w:type="dxa"/>
            <w:tcBorders>
              <w:top w:val="single" w:sz="2" w:space="0" w:color="auto"/>
              <w:left w:val="single" w:sz="2" w:space="0" w:color="auto"/>
              <w:bottom w:val="single" w:sz="2" w:space="0" w:color="auto"/>
              <w:right w:val="single" w:sz="2" w:space="0" w:color="auto"/>
            </w:tcBorders>
            <w:vAlign w:val="center"/>
          </w:tcPr>
          <w:p w14:paraId="0DDD96CC">
            <w:pPr>
              <w:spacing w:line="360" w:lineRule="auto"/>
              <w:jc w:val="center"/>
              <w:rPr>
                <w:rFonts w:ascii="宋体" w:hAnsi="宋体"/>
              </w:rPr>
            </w:pPr>
          </w:p>
        </w:tc>
      </w:tr>
      <w:tr w14:paraId="036EB14F">
        <w:tblPrEx>
          <w:tblW w:w="0" w:type="auto"/>
          <w:tblInd w:w="0" w:type="dxa"/>
          <w:tblLayout w:type="fixed"/>
          <w:tblCellMar>
            <w:top w:w="0" w:type="dxa"/>
            <w:left w:w="108" w:type="dxa"/>
            <w:bottom w:w="0" w:type="dxa"/>
            <w:right w:w="108" w:type="dxa"/>
          </w:tblCellMar>
        </w:tblPrEx>
        <w:tc>
          <w:tcPr>
            <w:tcW w:w="1353" w:type="dxa"/>
            <w:tcBorders>
              <w:top w:val="single" w:sz="2" w:space="0" w:color="auto"/>
              <w:left w:val="single" w:sz="2" w:space="0" w:color="auto"/>
              <w:bottom w:val="single" w:sz="2" w:space="0" w:color="auto"/>
              <w:right w:val="single" w:sz="2" w:space="0" w:color="auto"/>
            </w:tcBorders>
            <w:vAlign w:val="center"/>
          </w:tcPr>
          <w:p w14:paraId="2C800631">
            <w:pPr>
              <w:spacing w:line="360" w:lineRule="auto"/>
              <w:jc w:val="center"/>
              <w:rPr>
                <w:rFonts w:ascii="宋体" w:hAnsi="宋体"/>
              </w:rPr>
            </w:pPr>
            <w:r>
              <w:rPr>
                <w:rFonts w:ascii="宋体" w:hAnsi="宋体" w:hint="eastAsia"/>
              </w:rPr>
              <w:t>投标报价</w:t>
            </w:r>
          </w:p>
        </w:tc>
        <w:tc>
          <w:tcPr>
            <w:tcW w:w="1024" w:type="dxa"/>
            <w:tcBorders>
              <w:top w:val="single" w:sz="2" w:space="0" w:color="auto"/>
              <w:left w:val="single" w:sz="2" w:space="0" w:color="auto"/>
              <w:bottom w:val="single" w:sz="2" w:space="0" w:color="auto"/>
              <w:right w:val="single" w:sz="2" w:space="0" w:color="auto"/>
            </w:tcBorders>
            <w:vAlign w:val="center"/>
          </w:tcPr>
          <w:p w14:paraId="40589401">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64838FAC">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6356EE6C">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078B36B2">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325CCB2F">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5CE1EA00">
            <w:pPr>
              <w:spacing w:line="360" w:lineRule="auto"/>
              <w:jc w:val="center"/>
              <w:rPr>
                <w:rFonts w:ascii="宋体" w:hAnsi="宋体"/>
              </w:rPr>
            </w:pPr>
          </w:p>
        </w:tc>
        <w:tc>
          <w:tcPr>
            <w:tcW w:w="1025" w:type="dxa"/>
            <w:tcBorders>
              <w:top w:val="single" w:sz="2" w:space="0" w:color="auto"/>
              <w:left w:val="single" w:sz="2" w:space="0" w:color="auto"/>
              <w:bottom w:val="single" w:sz="2" w:space="0" w:color="auto"/>
              <w:right w:val="single" w:sz="2" w:space="0" w:color="auto"/>
            </w:tcBorders>
            <w:vAlign w:val="center"/>
          </w:tcPr>
          <w:p w14:paraId="3964CCA4">
            <w:pPr>
              <w:spacing w:line="360" w:lineRule="auto"/>
              <w:jc w:val="center"/>
              <w:rPr>
                <w:rFonts w:ascii="宋体" w:hAnsi="宋体"/>
              </w:rPr>
            </w:pPr>
          </w:p>
        </w:tc>
      </w:tr>
      <w:tr w14:paraId="103127D6">
        <w:tblPrEx>
          <w:tblW w:w="0" w:type="auto"/>
          <w:tblInd w:w="0" w:type="dxa"/>
          <w:tblLayout w:type="fixed"/>
          <w:tblCellMar>
            <w:top w:w="0" w:type="dxa"/>
            <w:left w:w="108" w:type="dxa"/>
            <w:bottom w:w="0" w:type="dxa"/>
            <w:right w:w="108" w:type="dxa"/>
          </w:tblCellMar>
        </w:tblPrEx>
        <w:tc>
          <w:tcPr>
            <w:tcW w:w="1353" w:type="dxa"/>
            <w:tcBorders>
              <w:top w:val="single" w:sz="2" w:space="0" w:color="auto"/>
              <w:left w:val="single" w:sz="2" w:space="0" w:color="auto"/>
              <w:bottom w:val="single" w:sz="2" w:space="0" w:color="auto"/>
              <w:right w:val="single" w:sz="2" w:space="0" w:color="auto"/>
            </w:tcBorders>
            <w:vAlign w:val="center"/>
          </w:tcPr>
          <w:p w14:paraId="0F110386">
            <w:pPr>
              <w:spacing w:line="360" w:lineRule="auto"/>
              <w:jc w:val="center"/>
              <w:rPr>
                <w:rFonts w:ascii="宋体" w:hAnsi="宋体"/>
              </w:rPr>
            </w:pPr>
            <w:r>
              <w:rPr>
                <w:rFonts w:ascii="宋体" w:hAnsi="宋体" w:hint="eastAsia"/>
              </w:rPr>
              <w:t>偏差率</w:t>
            </w:r>
          </w:p>
        </w:tc>
        <w:tc>
          <w:tcPr>
            <w:tcW w:w="1024" w:type="dxa"/>
            <w:tcBorders>
              <w:top w:val="single" w:sz="2" w:space="0" w:color="auto"/>
              <w:left w:val="single" w:sz="2" w:space="0" w:color="auto"/>
              <w:bottom w:val="single" w:sz="2" w:space="0" w:color="auto"/>
              <w:right w:val="single" w:sz="2" w:space="0" w:color="auto"/>
            </w:tcBorders>
            <w:vAlign w:val="center"/>
          </w:tcPr>
          <w:p w14:paraId="42708DD9">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01F352C2">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18966191">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3D0A12D4">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7940A867">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48873754">
            <w:pPr>
              <w:spacing w:line="360" w:lineRule="auto"/>
              <w:jc w:val="center"/>
              <w:rPr>
                <w:rFonts w:ascii="宋体" w:hAnsi="宋体"/>
              </w:rPr>
            </w:pPr>
          </w:p>
        </w:tc>
        <w:tc>
          <w:tcPr>
            <w:tcW w:w="1025" w:type="dxa"/>
            <w:tcBorders>
              <w:top w:val="single" w:sz="2" w:space="0" w:color="auto"/>
              <w:left w:val="single" w:sz="2" w:space="0" w:color="auto"/>
              <w:bottom w:val="single" w:sz="2" w:space="0" w:color="auto"/>
              <w:right w:val="single" w:sz="2" w:space="0" w:color="auto"/>
            </w:tcBorders>
            <w:vAlign w:val="center"/>
          </w:tcPr>
          <w:p w14:paraId="7FD9401D">
            <w:pPr>
              <w:spacing w:line="360" w:lineRule="auto"/>
              <w:jc w:val="center"/>
              <w:rPr>
                <w:rFonts w:ascii="宋体" w:hAnsi="宋体"/>
              </w:rPr>
            </w:pPr>
          </w:p>
        </w:tc>
      </w:tr>
      <w:tr w14:paraId="351FCB74">
        <w:tblPrEx>
          <w:tblW w:w="0" w:type="auto"/>
          <w:tblInd w:w="0" w:type="dxa"/>
          <w:tblLayout w:type="fixed"/>
          <w:tblCellMar>
            <w:top w:w="0" w:type="dxa"/>
            <w:left w:w="108" w:type="dxa"/>
            <w:bottom w:w="0" w:type="dxa"/>
            <w:right w:w="108" w:type="dxa"/>
          </w:tblCellMar>
        </w:tblPrEx>
        <w:tc>
          <w:tcPr>
            <w:tcW w:w="1353" w:type="dxa"/>
            <w:tcBorders>
              <w:top w:val="single" w:sz="2" w:space="0" w:color="auto"/>
              <w:left w:val="single" w:sz="2" w:space="0" w:color="auto"/>
              <w:bottom w:val="single" w:sz="2" w:space="0" w:color="auto"/>
              <w:right w:val="single" w:sz="2" w:space="0" w:color="auto"/>
            </w:tcBorders>
            <w:vAlign w:val="center"/>
          </w:tcPr>
          <w:p w14:paraId="0454B39F">
            <w:pPr>
              <w:spacing w:line="360" w:lineRule="auto"/>
              <w:jc w:val="center"/>
              <w:rPr>
                <w:rFonts w:ascii="宋体" w:hAnsi="宋体"/>
              </w:rPr>
            </w:pPr>
            <w:r>
              <w:rPr>
                <w:rFonts w:ascii="宋体" w:hAnsi="宋体" w:hint="eastAsia"/>
              </w:rPr>
              <w:t>投标报价得分C</w:t>
            </w:r>
          </w:p>
          <w:p w14:paraId="3C45544D">
            <w:pPr>
              <w:spacing w:line="360" w:lineRule="auto"/>
              <w:jc w:val="center"/>
              <w:rPr>
                <w:rFonts w:ascii="宋体" w:hAnsi="宋体"/>
              </w:rPr>
            </w:pPr>
            <w:r>
              <w:rPr>
                <w:rFonts w:ascii="宋体" w:hAnsi="宋体" w:hint="eastAsia"/>
              </w:rPr>
              <w:t>(满分)</w:t>
            </w:r>
          </w:p>
        </w:tc>
        <w:tc>
          <w:tcPr>
            <w:tcW w:w="1024" w:type="dxa"/>
            <w:tcBorders>
              <w:top w:val="single" w:sz="2" w:space="0" w:color="auto"/>
              <w:left w:val="single" w:sz="2" w:space="0" w:color="auto"/>
              <w:bottom w:val="single" w:sz="2" w:space="0" w:color="auto"/>
              <w:right w:val="single" w:sz="2" w:space="0" w:color="auto"/>
            </w:tcBorders>
            <w:vAlign w:val="center"/>
          </w:tcPr>
          <w:p w14:paraId="66D25CBC">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17901A35">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5F977943">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75A02C5C">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19B3D432">
            <w:pPr>
              <w:spacing w:line="360" w:lineRule="auto"/>
              <w:jc w:val="center"/>
              <w:rPr>
                <w:rFonts w:ascii="宋体" w:hAnsi="宋体"/>
              </w:rPr>
            </w:pPr>
          </w:p>
        </w:tc>
        <w:tc>
          <w:tcPr>
            <w:tcW w:w="1024" w:type="dxa"/>
            <w:tcBorders>
              <w:top w:val="single" w:sz="2" w:space="0" w:color="auto"/>
              <w:left w:val="single" w:sz="2" w:space="0" w:color="auto"/>
              <w:bottom w:val="single" w:sz="2" w:space="0" w:color="auto"/>
              <w:right w:val="single" w:sz="2" w:space="0" w:color="auto"/>
            </w:tcBorders>
            <w:vAlign w:val="center"/>
          </w:tcPr>
          <w:p w14:paraId="1C69BD98">
            <w:pPr>
              <w:spacing w:line="360" w:lineRule="auto"/>
              <w:jc w:val="center"/>
              <w:rPr>
                <w:rFonts w:ascii="宋体" w:hAnsi="宋体"/>
              </w:rPr>
            </w:pPr>
          </w:p>
        </w:tc>
        <w:tc>
          <w:tcPr>
            <w:tcW w:w="1025" w:type="dxa"/>
            <w:tcBorders>
              <w:top w:val="single" w:sz="2" w:space="0" w:color="auto"/>
              <w:left w:val="single" w:sz="2" w:space="0" w:color="auto"/>
              <w:bottom w:val="single" w:sz="2" w:space="0" w:color="auto"/>
              <w:right w:val="single" w:sz="2" w:space="0" w:color="auto"/>
            </w:tcBorders>
            <w:vAlign w:val="center"/>
          </w:tcPr>
          <w:p w14:paraId="13A0AF8B">
            <w:pPr>
              <w:spacing w:line="360" w:lineRule="auto"/>
              <w:jc w:val="center"/>
              <w:rPr>
                <w:rFonts w:ascii="宋体" w:hAnsi="宋体"/>
              </w:rPr>
            </w:pPr>
          </w:p>
        </w:tc>
      </w:tr>
      <w:tr w14:paraId="7995CF21">
        <w:tblPrEx>
          <w:tblW w:w="0" w:type="auto"/>
          <w:tblInd w:w="0" w:type="dxa"/>
          <w:tblLayout w:type="fixed"/>
          <w:tblCellMar>
            <w:top w:w="0" w:type="dxa"/>
            <w:left w:w="108" w:type="dxa"/>
            <w:bottom w:w="0" w:type="dxa"/>
            <w:right w:w="108" w:type="dxa"/>
          </w:tblCellMar>
        </w:tblPrEx>
        <w:tc>
          <w:tcPr>
            <w:tcW w:w="1353" w:type="dxa"/>
            <w:tcBorders>
              <w:top w:val="single" w:sz="2" w:space="0" w:color="auto"/>
              <w:left w:val="single" w:sz="2" w:space="0" w:color="auto"/>
              <w:bottom w:val="single" w:sz="2" w:space="0" w:color="auto"/>
              <w:right w:val="single" w:sz="2" w:space="0" w:color="auto"/>
            </w:tcBorders>
            <w:vAlign w:val="center"/>
          </w:tcPr>
          <w:p w14:paraId="0C23506B">
            <w:pPr>
              <w:spacing w:line="360" w:lineRule="auto"/>
              <w:jc w:val="center"/>
              <w:rPr>
                <w:rFonts w:ascii="宋体" w:hAnsi="宋体"/>
              </w:rPr>
            </w:pPr>
            <w:r>
              <w:rPr>
                <w:rFonts w:ascii="宋体" w:hAnsi="宋体" w:hint="eastAsia"/>
              </w:rPr>
              <w:t>基准价</w:t>
            </w:r>
          </w:p>
        </w:tc>
        <w:tc>
          <w:tcPr>
            <w:tcW w:w="7169" w:type="dxa"/>
            <w:gridSpan w:val="7"/>
            <w:tcBorders>
              <w:top w:val="single" w:sz="2" w:space="0" w:color="auto"/>
              <w:left w:val="single" w:sz="2" w:space="0" w:color="auto"/>
              <w:bottom w:val="single" w:sz="2" w:space="0" w:color="auto"/>
              <w:right w:val="single" w:sz="2" w:space="0" w:color="auto"/>
            </w:tcBorders>
            <w:vAlign w:val="center"/>
          </w:tcPr>
          <w:p w14:paraId="206F169D">
            <w:pPr>
              <w:spacing w:line="360" w:lineRule="auto"/>
              <w:jc w:val="center"/>
              <w:rPr>
                <w:rFonts w:ascii="宋体" w:hAnsi="宋体"/>
              </w:rPr>
            </w:pPr>
          </w:p>
        </w:tc>
      </w:tr>
    </w:tbl>
    <w:p w14:paraId="1EB57BC7">
      <w:pPr>
        <w:spacing w:line="360" w:lineRule="auto"/>
        <w:rPr>
          <w:rFonts w:ascii="宋体" w:hAnsi="宋体"/>
          <w:kern w:val="2"/>
        </w:rPr>
      </w:pPr>
    </w:p>
    <w:p w14:paraId="0C267EFB">
      <w:pPr>
        <w:spacing w:line="360" w:lineRule="auto"/>
        <w:rPr>
          <w:rFonts w:ascii="宋体" w:hAnsi="宋体"/>
          <w:lang w:eastAsia="zh-CN"/>
        </w:rPr>
      </w:pPr>
      <w:r>
        <w:rPr>
          <w:rFonts w:ascii="宋体" w:hAnsi="宋体" w:hint="eastAsia"/>
          <w:lang w:eastAsia="zh-CN"/>
        </w:rPr>
        <w:t>评标委员会成员签名：                            日期：    年  月  日</w:t>
      </w:r>
    </w:p>
    <w:p w14:paraId="329C85D0">
      <w:pPr>
        <w:spacing w:line="360" w:lineRule="auto"/>
        <w:rPr>
          <w:rFonts w:ascii="宋体" w:hAnsi="宋体"/>
          <w:lang w:eastAsia="zh-CN"/>
        </w:rPr>
      </w:pPr>
    </w:p>
    <w:p w14:paraId="1F22D6EB">
      <w:pPr>
        <w:spacing w:line="360" w:lineRule="auto"/>
        <w:rPr>
          <w:rFonts w:ascii="宋体" w:hAnsi="宋体"/>
          <w:lang w:eastAsia="zh-CN"/>
        </w:rPr>
      </w:pPr>
    </w:p>
    <w:p w14:paraId="4F468D5E">
      <w:pPr>
        <w:spacing w:line="360" w:lineRule="auto"/>
        <w:rPr>
          <w:rFonts w:ascii="宋体" w:hAnsi="宋体"/>
          <w:lang w:eastAsia="zh-CN"/>
        </w:rPr>
      </w:pPr>
    </w:p>
    <w:p w14:paraId="17832E78">
      <w:pPr>
        <w:rPr>
          <w:rFonts w:ascii="宋体" w:hAnsi="宋体"/>
          <w:lang w:eastAsia="zh-CN"/>
        </w:rPr>
      </w:pPr>
      <w:r>
        <w:rPr>
          <w:rFonts w:ascii="宋体" w:hAnsi="宋体" w:hint="eastAsia"/>
          <w:lang w:eastAsia="zh-CN"/>
        </w:rPr>
        <w:br w:type="page"/>
      </w:r>
    </w:p>
    <w:p w14:paraId="2D8D66A9">
      <w:pPr>
        <w:spacing w:line="360" w:lineRule="auto"/>
        <w:rPr>
          <w:rFonts w:ascii="宋体" w:hAnsi="宋体"/>
          <w:lang w:eastAsia="zh-CN"/>
        </w:rPr>
      </w:pPr>
    </w:p>
    <w:p w14:paraId="11D61551">
      <w:pPr>
        <w:pStyle w:val="Heading2"/>
        <w:rPr>
          <w:rFonts w:ascii="宋体" w:hAnsi="宋体"/>
          <w:sz w:val="24"/>
          <w:szCs w:val="24"/>
        </w:rPr>
      </w:pPr>
      <w:r>
        <w:rPr>
          <w:rFonts w:ascii="宋体" w:hAnsi="宋体" w:hint="eastAsia"/>
          <w:sz w:val="24"/>
          <w:szCs w:val="24"/>
        </w:rPr>
        <w:t>附表A-8：其他因素评审记录表</w:t>
      </w:r>
    </w:p>
    <w:p w14:paraId="3CE94D6F">
      <w:pPr>
        <w:spacing w:line="360" w:lineRule="auto"/>
        <w:jc w:val="center"/>
        <w:rPr>
          <w:rFonts w:ascii="宋体" w:hAnsi="宋体"/>
          <w:b/>
          <w:lang w:eastAsia="zh-CN"/>
        </w:rPr>
      </w:pPr>
      <w:r>
        <w:rPr>
          <w:rFonts w:ascii="宋体" w:hAnsi="宋体" w:hint="eastAsia"/>
          <w:b/>
          <w:lang w:eastAsia="zh-CN"/>
        </w:rPr>
        <w:t>其他因素评审记录表</w:t>
      </w:r>
    </w:p>
    <w:p w14:paraId="71BC3097">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909"/>
        <w:gridCol w:w="1540"/>
        <w:gridCol w:w="852"/>
        <w:gridCol w:w="739"/>
        <w:gridCol w:w="746"/>
        <w:gridCol w:w="748"/>
        <w:gridCol w:w="746"/>
        <w:gridCol w:w="748"/>
        <w:gridCol w:w="746"/>
        <w:gridCol w:w="748"/>
      </w:tblGrid>
      <w:tr w14:paraId="23F69DA8">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c>
          <w:tcPr>
            <w:tcW w:w="909" w:type="dxa"/>
            <w:vMerge w:val="restart"/>
            <w:tcBorders>
              <w:top w:val="single" w:sz="2" w:space="0" w:color="auto"/>
              <w:left w:val="single" w:sz="2" w:space="0" w:color="auto"/>
              <w:bottom w:val="single" w:sz="2" w:space="0" w:color="auto"/>
              <w:right w:val="single" w:sz="2" w:space="0" w:color="auto"/>
            </w:tcBorders>
            <w:vAlign w:val="center"/>
          </w:tcPr>
          <w:p w14:paraId="02FF03F6">
            <w:pPr>
              <w:spacing w:line="360" w:lineRule="auto"/>
              <w:jc w:val="center"/>
              <w:rPr>
                <w:rFonts w:ascii="宋体" w:hAnsi="宋体"/>
              </w:rPr>
            </w:pPr>
            <w:r>
              <w:rPr>
                <w:rFonts w:ascii="宋体" w:hAnsi="宋体" w:hint="eastAsia"/>
              </w:rPr>
              <w:t>序号</w:t>
            </w:r>
          </w:p>
        </w:tc>
        <w:tc>
          <w:tcPr>
            <w:tcW w:w="1540" w:type="dxa"/>
            <w:vMerge w:val="restart"/>
            <w:tcBorders>
              <w:top w:val="single" w:sz="2" w:space="0" w:color="auto"/>
              <w:left w:val="single" w:sz="2" w:space="0" w:color="auto"/>
              <w:bottom w:val="single" w:sz="2" w:space="0" w:color="auto"/>
              <w:right w:val="single" w:sz="2" w:space="0" w:color="auto"/>
            </w:tcBorders>
            <w:vAlign w:val="center"/>
          </w:tcPr>
          <w:p w14:paraId="2C249B93">
            <w:pPr>
              <w:spacing w:line="360" w:lineRule="auto"/>
              <w:jc w:val="center"/>
              <w:rPr>
                <w:rFonts w:ascii="宋体" w:hAnsi="宋体"/>
              </w:rPr>
            </w:pPr>
            <w:r>
              <w:rPr>
                <w:rFonts w:ascii="宋体" w:hAnsi="宋体" w:hint="eastAsia"/>
              </w:rPr>
              <w:t>评分项目</w:t>
            </w:r>
          </w:p>
        </w:tc>
        <w:tc>
          <w:tcPr>
            <w:tcW w:w="852" w:type="dxa"/>
            <w:vMerge w:val="restart"/>
            <w:tcBorders>
              <w:top w:val="single" w:sz="2" w:space="0" w:color="auto"/>
              <w:left w:val="single" w:sz="2" w:space="0" w:color="auto"/>
              <w:bottom w:val="single" w:sz="2" w:space="0" w:color="auto"/>
              <w:right w:val="single" w:sz="2" w:space="0" w:color="auto"/>
            </w:tcBorders>
            <w:vAlign w:val="center"/>
          </w:tcPr>
          <w:p w14:paraId="32D53997">
            <w:pPr>
              <w:spacing w:line="360" w:lineRule="auto"/>
              <w:jc w:val="center"/>
              <w:rPr>
                <w:rFonts w:ascii="宋体" w:hAnsi="宋体"/>
              </w:rPr>
            </w:pPr>
            <w:r>
              <w:rPr>
                <w:rFonts w:ascii="宋体" w:hAnsi="宋体" w:hint="eastAsia"/>
              </w:rPr>
              <w:t>标准分</w:t>
            </w:r>
          </w:p>
        </w:tc>
        <w:tc>
          <w:tcPr>
            <w:tcW w:w="5221" w:type="dxa"/>
            <w:gridSpan w:val="7"/>
            <w:tcBorders>
              <w:top w:val="single" w:sz="2" w:space="0" w:color="auto"/>
              <w:left w:val="single" w:sz="2" w:space="0" w:color="auto"/>
              <w:bottom w:val="single" w:sz="2" w:space="0" w:color="auto"/>
              <w:right w:val="single" w:sz="2" w:space="0" w:color="auto"/>
            </w:tcBorders>
            <w:vAlign w:val="center"/>
          </w:tcPr>
          <w:p w14:paraId="56826DD2">
            <w:pPr>
              <w:spacing w:line="360" w:lineRule="auto"/>
              <w:jc w:val="center"/>
              <w:rPr>
                <w:rFonts w:ascii="宋体" w:hAnsi="宋体"/>
              </w:rPr>
            </w:pPr>
            <w:r>
              <w:rPr>
                <w:rFonts w:ascii="宋体" w:hAnsi="宋体" w:hint="eastAsia"/>
              </w:rPr>
              <w:t>投标人名称代码</w:t>
            </w:r>
          </w:p>
        </w:tc>
      </w:tr>
      <w:tr w14:paraId="12072C30">
        <w:tblPrEx>
          <w:tblW w:w="0" w:type="auto"/>
          <w:tblInd w:w="0" w:type="dxa"/>
          <w:tblLayout w:type="fixed"/>
          <w:tblCellMar>
            <w:top w:w="0" w:type="dxa"/>
            <w:left w:w="108" w:type="dxa"/>
            <w:bottom w:w="0" w:type="dxa"/>
            <w:right w:w="108" w:type="dxa"/>
          </w:tblCellMar>
        </w:tblPrEx>
        <w:tc>
          <w:tcPr>
            <w:tcW w:w="2449" w:type="dxa"/>
            <w:vMerge/>
            <w:tcBorders>
              <w:top w:val="single" w:sz="2" w:space="0" w:color="auto"/>
              <w:left w:val="single" w:sz="2" w:space="0" w:color="auto"/>
              <w:bottom w:val="single" w:sz="2" w:space="0" w:color="auto"/>
              <w:right w:val="single" w:sz="2" w:space="0" w:color="auto"/>
            </w:tcBorders>
            <w:vAlign w:val="center"/>
          </w:tcPr>
          <w:p w14:paraId="3FB5DB73">
            <w:pPr>
              <w:rPr>
                <w:rFonts w:ascii="宋体" w:eastAsia="宋体" w:hAnsi="宋体"/>
                <w:kern w:val="2"/>
              </w:rPr>
            </w:pPr>
          </w:p>
        </w:tc>
        <w:tc>
          <w:tcPr>
            <w:tcW w:w="1540" w:type="dxa"/>
            <w:vMerge/>
            <w:tcBorders>
              <w:top w:val="single" w:sz="2" w:space="0" w:color="auto"/>
              <w:left w:val="single" w:sz="2" w:space="0" w:color="auto"/>
              <w:bottom w:val="single" w:sz="2" w:space="0" w:color="auto"/>
              <w:right w:val="single" w:sz="2" w:space="0" w:color="auto"/>
            </w:tcBorders>
            <w:vAlign w:val="center"/>
          </w:tcPr>
          <w:p w14:paraId="414983E1">
            <w:pPr>
              <w:rPr>
                <w:rFonts w:ascii="宋体" w:eastAsia="宋体" w:hAnsi="宋体"/>
                <w:kern w:val="2"/>
              </w:rPr>
            </w:pPr>
          </w:p>
        </w:tc>
        <w:tc>
          <w:tcPr>
            <w:tcW w:w="852" w:type="dxa"/>
            <w:vMerge/>
            <w:tcBorders>
              <w:top w:val="single" w:sz="2" w:space="0" w:color="auto"/>
              <w:left w:val="single" w:sz="2" w:space="0" w:color="auto"/>
              <w:bottom w:val="single" w:sz="2" w:space="0" w:color="auto"/>
              <w:right w:val="single" w:sz="2" w:space="0" w:color="auto"/>
            </w:tcBorders>
            <w:vAlign w:val="center"/>
          </w:tcPr>
          <w:p w14:paraId="46951AA0">
            <w:pPr>
              <w:rPr>
                <w:rFonts w:ascii="宋体" w:eastAsia="宋体" w:hAnsi="宋体"/>
                <w:kern w:val="2"/>
              </w:rPr>
            </w:pPr>
          </w:p>
        </w:tc>
        <w:tc>
          <w:tcPr>
            <w:tcW w:w="739" w:type="dxa"/>
            <w:tcBorders>
              <w:top w:val="single" w:sz="2" w:space="0" w:color="auto"/>
              <w:left w:val="single" w:sz="2" w:space="0" w:color="auto"/>
              <w:bottom w:val="single" w:sz="2" w:space="0" w:color="auto"/>
              <w:right w:val="single" w:sz="2" w:space="0" w:color="auto"/>
            </w:tcBorders>
            <w:vAlign w:val="center"/>
          </w:tcPr>
          <w:p w14:paraId="092F4E14">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152CC56B">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19803CC3">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0B8D8551">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3104B905">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62FD827A">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4E7FF68F">
            <w:pPr>
              <w:spacing w:line="360" w:lineRule="auto"/>
              <w:jc w:val="center"/>
              <w:rPr>
                <w:rFonts w:ascii="宋体" w:hAnsi="宋体"/>
              </w:rPr>
            </w:pPr>
          </w:p>
        </w:tc>
      </w:tr>
      <w:tr w14:paraId="493E0C00">
        <w:tblPrEx>
          <w:tblW w:w="0" w:type="auto"/>
          <w:tblInd w:w="0" w:type="dxa"/>
          <w:tblLayout w:type="fixed"/>
          <w:tblCellMar>
            <w:top w:w="0" w:type="dxa"/>
            <w:left w:w="108" w:type="dxa"/>
            <w:bottom w:w="0" w:type="dxa"/>
            <w:right w:w="108" w:type="dxa"/>
          </w:tblCellMar>
        </w:tblPrEx>
        <w:tc>
          <w:tcPr>
            <w:tcW w:w="909" w:type="dxa"/>
            <w:tcBorders>
              <w:top w:val="single" w:sz="2" w:space="0" w:color="auto"/>
              <w:left w:val="single" w:sz="2" w:space="0" w:color="auto"/>
              <w:bottom w:val="single" w:sz="2" w:space="0" w:color="auto"/>
              <w:right w:val="single" w:sz="2" w:space="0" w:color="auto"/>
            </w:tcBorders>
            <w:vAlign w:val="center"/>
          </w:tcPr>
          <w:p w14:paraId="0BBEECE4">
            <w:pPr>
              <w:spacing w:line="360" w:lineRule="auto"/>
              <w:jc w:val="center"/>
              <w:rPr>
                <w:rFonts w:ascii="宋体" w:hAnsi="宋体"/>
              </w:rPr>
            </w:pPr>
          </w:p>
        </w:tc>
        <w:tc>
          <w:tcPr>
            <w:tcW w:w="1540" w:type="dxa"/>
            <w:tcBorders>
              <w:top w:val="single" w:sz="2" w:space="0" w:color="auto"/>
              <w:left w:val="single" w:sz="2" w:space="0" w:color="auto"/>
              <w:bottom w:val="single" w:sz="2" w:space="0" w:color="auto"/>
              <w:right w:val="single" w:sz="2" w:space="0" w:color="auto"/>
            </w:tcBorders>
            <w:vAlign w:val="center"/>
          </w:tcPr>
          <w:p w14:paraId="06803A9E">
            <w:pPr>
              <w:spacing w:line="360" w:lineRule="auto"/>
              <w:jc w:val="center"/>
              <w:rPr>
                <w:rFonts w:ascii="宋体" w:hAnsi="宋体"/>
              </w:rPr>
            </w:pPr>
            <w:r>
              <w:rPr>
                <w:rFonts w:ascii="宋体" w:hAnsi="宋体" w:hint="eastAsia"/>
              </w:rPr>
              <w:t>……</w:t>
            </w:r>
          </w:p>
        </w:tc>
        <w:tc>
          <w:tcPr>
            <w:tcW w:w="852" w:type="dxa"/>
            <w:tcBorders>
              <w:top w:val="single" w:sz="2" w:space="0" w:color="auto"/>
              <w:left w:val="single" w:sz="2" w:space="0" w:color="auto"/>
              <w:bottom w:val="single" w:sz="2" w:space="0" w:color="auto"/>
              <w:right w:val="single" w:sz="2" w:space="0" w:color="auto"/>
            </w:tcBorders>
            <w:vAlign w:val="center"/>
          </w:tcPr>
          <w:p w14:paraId="22C6D188">
            <w:pPr>
              <w:spacing w:line="360" w:lineRule="auto"/>
              <w:jc w:val="center"/>
              <w:rPr>
                <w:rFonts w:ascii="宋体" w:hAnsi="宋体"/>
              </w:rPr>
            </w:pPr>
          </w:p>
        </w:tc>
        <w:tc>
          <w:tcPr>
            <w:tcW w:w="739" w:type="dxa"/>
            <w:tcBorders>
              <w:top w:val="single" w:sz="2" w:space="0" w:color="auto"/>
              <w:left w:val="single" w:sz="2" w:space="0" w:color="auto"/>
              <w:bottom w:val="single" w:sz="2" w:space="0" w:color="auto"/>
              <w:right w:val="single" w:sz="2" w:space="0" w:color="auto"/>
            </w:tcBorders>
            <w:vAlign w:val="center"/>
          </w:tcPr>
          <w:p w14:paraId="2210B7AE">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5429A396">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0688921A">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7293B948">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7EC48266">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32B96822">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344760D5">
            <w:pPr>
              <w:spacing w:line="360" w:lineRule="auto"/>
              <w:jc w:val="center"/>
              <w:rPr>
                <w:rFonts w:ascii="宋体" w:hAnsi="宋体"/>
              </w:rPr>
            </w:pPr>
          </w:p>
        </w:tc>
      </w:tr>
      <w:tr w14:paraId="32EC3E28">
        <w:tblPrEx>
          <w:tblW w:w="0" w:type="auto"/>
          <w:tblInd w:w="0" w:type="dxa"/>
          <w:tblLayout w:type="fixed"/>
          <w:tblCellMar>
            <w:top w:w="0" w:type="dxa"/>
            <w:left w:w="108" w:type="dxa"/>
            <w:bottom w:w="0" w:type="dxa"/>
            <w:right w:w="108" w:type="dxa"/>
          </w:tblCellMar>
        </w:tblPrEx>
        <w:tc>
          <w:tcPr>
            <w:tcW w:w="909" w:type="dxa"/>
            <w:tcBorders>
              <w:top w:val="single" w:sz="2" w:space="0" w:color="auto"/>
              <w:left w:val="single" w:sz="2" w:space="0" w:color="auto"/>
              <w:bottom w:val="single" w:sz="2" w:space="0" w:color="auto"/>
              <w:right w:val="single" w:sz="2" w:space="0" w:color="auto"/>
            </w:tcBorders>
            <w:vAlign w:val="center"/>
          </w:tcPr>
          <w:p w14:paraId="13FB8683">
            <w:pPr>
              <w:spacing w:line="360" w:lineRule="auto"/>
              <w:jc w:val="center"/>
              <w:rPr>
                <w:rFonts w:ascii="宋体" w:hAnsi="宋体"/>
              </w:rPr>
            </w:pPr>
          </w:p>
        </w:tc>
        <w:tc>
          <w:tcPr>
            <w:tcW w:w="1540" w:type="dxa"/>
            <w:tcBorders>
              <w:top w:val="single" w:sz="2" w:space="0" w:color="auto"/>
              <w:left w:val="single" w:sz="2" w:space="0" w:color="auto"/>
              <w:bottom w:val="single" w:sz="2" w:space="0" w:color="auto"/>
              <w:right w:val="single" w:sz="2" w:space="0" w:color="auto"/>
            </w:tcBorders>
            <w:vAlign w:val="center"/>
          </w:tcPr>
          <w:p w14:paraId="231EC03D">
            <w:pPr>
              <w:spacing w:line="360" w:lineRule="auto"/>
              <w:jc w:val="center"/>
              <w:rPr>
                <w:rFonts w:ascii="宋体" w:hAnsi="宋体"/>
              </w:rPr>
            </w:pPr>
            <w:r>
              <w:rPr>
                <w:rFonts w:ascii="宋体" w:hAnsi="宋体" w:hint="eastAsia"/>
              </w:rPr>
              <w:t>……</w:t>
            </w:r>
          </w:p>
        </w:tc>
        <w:tc>
          <w:tcPr>
            <w:tcW w:w="852" w:type="dxa"/>
            <w:tcBorders>
              <w:top w:val="single" w:sz="2" w:space="0" w:color="auto"/>
              <w:left w:val="single" w:sz="2" w:space="0" w:color="auto"/>
              <w:bottom w:val="single" w:sz="2" w:space="0" w:color="auto"/>
              <w:right w:val="single" w:sz="2" w:space="0" w:color="auto"/>
            </w:tcBorders>
            <w:vAlign w:val="center"/>
          </w:tcPr>
          <w:p w14:paraId="7FA71A8D">
            <w:pPr>
              <w:spacing w:line="360" w:lineRule="auto"/>
              <w:jc w:val="center"/>
              <w:rPr>
                <w:rFonts w:ascii="宋体" w:hAnsi="宋体"/>
              </w:rPr>
            </w:pPr>
          </w:p>
        </w:tc>
        <w:tc>
          <w:tcPr>
            <w:tcW w:w="739" w:type="dxa"/>
            <w:tcBorders>
              <w:top w:val="single" w:sz="2" w:space="0" w:color="auto"/>
              <w:left w:val="single" w:sz="2" w:space="0" w:color="auto"/>
              <w:bottom w:val="single" w:sz="2" w:space="0" w:color="auto"/>
              <w:right w:val="single" w:sz="2" w:space="0" w:color="auto"/>
            </w:tcBorders>
            <w:vAlign w:val="center"/>
          </w:tcPr>
          <w:p w14:paraId="5648BED0">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09E9EF4F">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7A1B93EE">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060BA51E">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5F430281">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5AC1AF73">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0B713F4B">
            <w:pPr>
              <w:spacing w:line="360" w:lineRule="auto"/>
              <w:jc w:val="center"/>
              <w:rPr>
                <w:rFonts w:ascii="宋体" w:hAnsi="宋体"/>
              </w:rPr>
            </w:pPr>
          </w:p>
        </w:tc>
      </w:tr>
      <w:tr w14:paraId="251146E2">
        <w:tblPrEx>
          <w:tblW w:w="0" w:type="auto"/>
          <w:tblInd w:w="0" w:type="dxa"/>
          <w:tblLayout w:type="fixed"/>
          <w:tblCellMar>
            <w:top w:w="0" w:type="dxa"/>
            <w:left w:w="108" w:type="dxa"/>
            <w:bottom w:w="0" w:type="dxa"/>
            <w:right w:w="108" w:type="dxa"/>
          </w:tblCellMar>
        </w:tblPrEx>
        <w:tc>
          <w:tcPr>
            <w:tcW w:w="909" w:type="dxa"/>
            <w:tcBorders>
              <w:top w:val="single" w:sz="2" w:space="0" w:color="auto"/>
              <w:left w:val="single" w:sz="2" w:space="0" w:color="auto"/>
              <w:bottom w:val="single" w:sz="2" w:space="0" w:color="auto"/>
              <w:right w:val="single" w:sz="2" w:space="0" w:color="auto"/>
            </w:tcBorders>
            <w:vAlign w:val="center"/>
          </w:tcPr>
          <w:p w14:paraId="038401B6">
            <w:pPr>
              <w:spacing w:line="360" w:lineRule="auto"/>
              <w:jc w:val="center"/>
              <w:rPr>
                <w:rFonts w:ascii="宋体" w:hAnsi="宋体"/>
              </w:rPr>
            </w:pPr>
          </w:p>
        </w:tc>
        <w:tc>
          <w:tcPr>
            <w:tcW w:w="1540" w:type="dxa"/>
            <w:tcBorders>
              <w:top w:val="single" w:sz="2" w:space="0" w:color="auto"/>
              <w:left w:val="single" w:sz="2" w:space="0" w:color="auto"/>
              <w:bottom w:val="single" w:sz="2" w:space="0" w:color="auto"/>
              <w:right w:val="single" w:sz="2" w:space="0" w:color="auto"/>
            </w:tcBorders>
            <w:vAlign w:val="center"/>
          </w:tcPr>
          <w:p w14:paraId="52D1A69F">
            <w:pPr>
              <w:spacing w:line="360" w:lineRule="auto"/>
              <w:jc w:val="center"/>
              <w:rPr>
                <w:rFonts w:ascii="宋体" w:hAnsi="宋体"/>
              </w:rPr>
            </w:pPr>
            <w:r>
              <w:rPr>
                <w:rFonts w:ascii="宋体" w:hAnsi="宋体" w:hint="eastAsia"/>
              </w:rPr>
              <w:t>……</w:t>
            </w:r>
          </w:p>
        </w:tc>
        <w:tc>
          <w:tcPr>
            <w:tcW w:w="852" w:type="dxa"/>
            <w:tcBorders>
              <w:top w:val="single" w:sz="2" w:space="0" w:color="auto"/>
              <w:left w:val="single" w:sz="2" w:space="0" w:color="auto"/>
              <w:bottom w:val="single" w:sz="2" w:space="0" w:color="auto"/>
              <w:right w:val="single" w:sz="2" w:space="0" w:color="auto"/>
            </w:tcBorders>
            <w:vAlign w:val="center"/>
          </w:tcPr>
          <w:p w14:paraId="3B817D44">
            <w:pPr>
              <w:spacing w:line="360" w:lineRule="auto"/>
              <w:jc w:val="center"/>
              <w:rPr>
                <w:rFonts w:ascii="宋体" w:hAnsi="宋体"/>
              </w:rPr>
            </w:pPr>
          </w:p>
        </w:tc>
        <w:tc>
          <w:tcPr>
            <w:tcW w:w="739" w:type="dxa"/>
            <w:tcBorders>
              <w:top w:val="single" w:sz="2" w:space="0" w:color="auto"/>
              <w:left w:val="single" w:sz="2" w:space="0" w:color="auto"/>
              <w:bottom w:val="single" w:sz="2" w:space="0" w:color="auto"/>
              <w:right w:val="single" w:sz="2" w:space="0" w:color="auto"/>
            </w:tcBorders>
            <w:vAlign w:val="center"/>
          </w:tcPr>
          <w:p w14:paraId="193E1C79">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66D4168B">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503B7303">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7ABF3B72">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2C3CC00C">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1C23CFD9">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0662533C">
            <w:pPr>
              <w:spacing w:line="360" w:lineRule="auto"/>
              <w:jc w:val="center"/>
              <w:rPr>
                <w:rFonts w:ascii="宋体" w:hAnsi="宋体"/>
              </w:rPr>
            </w:pPr>
          </w:p>
        </w:tc>
      </w:tr>
      <w:tr w14:paraId="75F8F6BB">
        <w:tblPrEx>
          <w:tblW w:w="0" w:type="auto"/>
          <w:tblInd w:w="0" w:type="dxa"/>
          <w:tblLayout w:type="fixed"/>
          <w:tblCellMar>
            <w:top w:w="0" w:type="dxa"/>
            <w:left w:w="108" w:type="dxa"/>
            <w:bottom w:w="0" w:type="dxa"/>
            <w:right w:w="108" w:type="dxa"/>
          </w:tblCellMar>
        </w:tblPrEx>
        <w:tc>
          <w:tcPr>
            <w:tcW w:w="909" w:type="dxa"/>
            <w:tcBorders>
              <w:top w:val="single" w:sz="2" w:space="0" w:color="auto"/>
              <w:left w:val="single" w:sz="2" w:space="0" w:color="auto"/>
              <w:bottom w:val="single" w:sz="2" w:space="0" w:color="auto"/>
              <w:right w:val="single" w:sz="2" w:space="0" w:color="auto"/>
            </w:tcBorders>
            <w:vAlign w:val="center"/>
          </w:tcPr>
          <w:p w14:paraId="02F85465">
            <w:pPr>
              <w:spacing w:line="360" w:lineRule="auto"/>
              <w:jc w:val="center"/>
              <w:rPr>
                <w:rFonts w:ascii="宋体" w:hAnsi="宋体"/>
              </w:rPr>
            </w:pPr>
          </w:p>
        </w:tc>
        <w:tc>
          <w:tcPr>
            <w:tcW w:w="1540" w:type="dxa"/>
            <w:tcBorders>
              <w:top w:val="single" w:sz="2" w:space="0" w:color="auto"/>
              <w:left w:val="single" w:sz="2" w:space="0" w:color="auto"/>
              <w:bottom w:val="single" w:sz="2" w:space="0" w:color="auto"/>
              <w:right w:val="single" w:sz="2" w:space="0" w:color="auto"/>
            </w:tcBorders>
            <w:vAlign w:val="center"/>
          </w:tcPr>
          <w:p w14:paraId="57249623">
            <w:pPr>
              <w:spacing w:line="360" w:lineRule="auto"/>
              <w:jc w:val="center"/>
              <w:rPr>
                <w:rFonts w:ascii="宋体" w:hAnsi="宋体"/>
              </w:rPr>
            </w:pPr>
            <w:r>
              <w:rPr>
                <w:rFonts w:ascii="宋体" w:hAnsi="宋体" w:hint="eastAsia"/>
              </w:rPr>
              <w:t>……</w:t>
            </w:r>
          </w:p>
        </w:tc>
        <w:tc>
          <w:tcPr>
            <w:tcW w:w="852" w:type="dxa"/>
            <w:tcBorders>
              <w:top w:val="single" w:sz="2" w:space="0" w:color="auto"/>
              <w:left w:val="single" w:sz="2" w:space="0" w:color="auto"/>
              <w:bottom w:val="single" w:sz="2" w:space="0" w:color="auto"/>
              <w:right w:val="single" w:sz="2" w:space="0" w:color="auto"/>
            </w:tcBorders>
            <w:vAlign w:val="center"/>
          </w:tcPr>
          <w:p w14:paraId="0EA20B29">
            <w:pPr>
              <w:spacing w:line="360" w:lineRule="auto"/>
              <w:jc w:val="center"/>
              <w:rPr>
                <w:rFonts w:ascii="宋体" w:hAnsi="宋体"/>
              </w:rPr>
            </w:pPr>
          </w:p>
        </w:tc>
        <w:tc>
          <w:tcPr>
            <w:tcW w:w="739" w:type="dxa"/>
            <w:tcBorders>
              <w:top w:val="single" w:sz="2" w:space="0" w:color="auto"/>
              <w:left w:val="single" w:sz="2" w:space="0" w:color="auto"/>
              <w:bottom w:val="single" w:sz="2" w:space="0" w:color="auto"/>
              <w:right w:val="single" w:sz="2" w:space="0" w:color="auto"/>
            </w:tcBorders>
            <w:vAlign w:val="center"/>
          </w:tcPr>
          <w:p w14:paraId="456F4486">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33114D16">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4E134210">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565927B6">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0EA82260">
            <w:pPr>
              <w:spacing w:line="360" w:lineRule="auto"/>
              <w:jc w:val="center"/>
              <w:rPr>
                <w:rFonts w:ascii="宋体" w:hAnsi="宋体"/>
              </w:rPr>
            </w:pPr>
          </w:p>
        </w:tc>
        <w:tc>
          <w:tcPr>
            <w:tcW w:w="746" w:type="dxa"/>
            <w:tcBorders>
              <w:top w:val="single" w:sz="2" w:space="0" w:color="auto"/>
              <w:left w:val="single" w:sz="2" w:space="0" w:color="auto"/>
              <w:bottom w:val="single" w:sz="2" w:space="0" w:color="auto"/>
              <w:right w:val="single" w:sz="2" w:space="0" w:color="auto"/>
            </w:tcBorders>
            <w:vAlign w:val="center"/>
          </w:tcPr>
          <w:p w14:paraId="41EA495D">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55ACBBED">
            <w:pPr>
              <w:spacing w:line="360" w:lineRule="auto"/>
              <w:jc w:val="center"/>
              <w:rPr>
                <w:rFonts w:ascii="宋体" w:hAnsi="宋体"/>
              </w:rPr>
            </w:pPr>
          </w:p>
        </w:tc>
      </w:tr>
      <w:tr w14:paraId="21A31868">
        <w:tblPrEx>
          <w:tblW w:w="0" w:type="auto"/>
          <w:tblInd w:w="0" w:type="dxa"/>
          <w:tblLayout w:type="fixed"/>
          <w:tblCellMar>
            <w:top w:w="0" w:type="dxa"/>
            <w:left w:w="108" w:type="dxa"/>
            <w:bottom w:w="0" w:type="dxa"/>
            <w:right w:w="108" w:type="dxa"/>
          </w:tblCellMar>
        </w:tblPrEx>
        <w:tc>
          <w:tcPr>
            <w:tcW w:w="2449" w:type="dxa"/>
            <w:gridSpan w:val="2"/>
            <w:tcBorders>
              <w:top w:val="single" w:sz="2" w:space="0" w:color="auto"/>
              <w:left w:val="single" w:sz="2" w:space="0" w:color="auto"/>
              <w:bottom w:val="single" w:sz="2" w:space="0" w:color="auto"/>
              <w:right w:val="single" w:sz="2" w:space="0" w:color="auto"/>
            </w:tcBorders>
            <w:vAlign w:val="center"/>
          </w:tcPr>
          <w:p w14:paraId="54022867">
            <w:pPr>
              <w:spacing w:line="360" w:lineRule="auto"/>
              <w:jc w:val="center"/>
              <w:rPr>
                <w:rFonts w:ascii="宋体" w:hAnsi="宋体"/>
                <w:lang w:eastAsia="zh-CN"/>
              </w:rPr>
            </w:pPr>
            <w:r>
              <w:rPr>
                <w:rFonts w:ascii="宋体" w:hAnsi="宋体" w:hint="eastAsia"/>
                <w:lang w:eastAsia="zh-CN"/>
              </w:rPr>
              <w:t>其他因素得分合计D(满分)</w:t>
            </w:r>
          </w:p>
        </w:tc>
        <w:tc>
          <w:tcPr>
            <w:tcW w:w="852" w:type="dxa"/>
            <w:tcBorders>
              <w:top w:val="single" w:sz="2" w:space="0" w:color="auto"/>
              <w:left w:val="single" w:sz="2" w:space="0" w:color="auto"/>
              <w:bottom w:val="single" w:sz="2" w:space="0" w:color="auto"/>
              <w:right w:val="single" w:sz="2" w:space="0" w:color="auto"/>
            </w:tcBorders>
            <w:vAlign w:val="center"/>
          </w:tcPr>
          <w:p w14:paraId="4FA7DB4C">
            <w:pPr>
              <w:spacing w:line="360" w:lineRule="auto"/>
              <w:jc w:val="center"/>
              <w:rPr>
                <w:rFonts w:ascii="宋体" w:hAnsi="宋体"/>
                <w:lang w:eastAsia="zh-CN"/>
              </w:rPr>
            </w:pPr>
          </w:p>
        </w:tc>
        <w:tc>
          <w:tcPr>
            <w:tcW w:w="739" w:type="dxa"/>
            <w:tcBorders>
              <w:top w:val="single" w:sz="2" w:space="0" w:color="auto"/>
              <w:left w:val="single" w:sz="2" w:space="0" w:color="auto"/>
              <w:bottom w:val="single" w:sz="2" w:space="0" w:color="auto"/>
              <w:right w:val="single" w:sz="2" w:space="0" w:color="auto"/>
            </w:tcBorders>
            <w:vAlign w:val="center"/>
          </w:tcPr>
          <w:p w14:paraId="5BB48717">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6F00388E">
            <w:pPr>
              <w:spacing w:line="360" w:lineRule="auto"/>
              <w:jc w:val="center"/>
              <w:rPr>
                <w:rFonts w:ascii="宋体" w:hAnsi="宋体"/>
                <w:lang w:eastAsia="zh-CN"/>
              </w:rPr>
            </w:pPr>
          </w:p>
        </w:tc>
        <w:tc>
          <w:tcPr>
            <w:tcW w:w="748" w:type="dxa"/>
            <w:tcBorders>
              <w:top w:val="single" w:sz="2" w:space="0" w:color="auto"/>
              <w:left w:val="single" w:sz="2" w:space="0" w:color="auto"/>
              <w:bottom w:val="single" w:sz="2" w:space="0" w:color="auto"/>
              <w:right w:val="single" w:sz="2" w:space="0" w:color="auto"/>
            </w:tcBorders>
            <w:vAlign w:val="center"/>
          </w:tcPr>
          <w:p w14:paraId="187BB622">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24FCBBD6">
            <w:pPr>
              <w:spacing w:line="360" w:lineRule="auto"/>
              <w:jc w:val="center"/>
              <w:rPr>
                <w:rFonts w:ascii="宋体" w:hAnsi="宋体"/>
                <w:lang w:eastAsia="zh-CN"/>
              </w:rPr>
            </w:pPr>
          </w:p>
        </w:tc>
        <w:tc>
          <w:tcPr>
            <w:tcW w:w="748" w:type="dxa"/>
            <w:tcBorders>
              <w:top w:val="single" w:sz="2" w:space="0" w:color="auto"/>
              <w:left w:val="single" w:sz="2" w:space="0" w:color="auto"/>
              <w:bottom w:val="single" w:sz="2" w:space="0" w:color="auto"/>
              <w:right w:val="single" w:sz="2" w:space="0" w:color="auto"/>
            </w:tcBorders>
            <w:vAlign w:val="center"/>
          </w:tcPr>
          <w:p w14:paraId="233A6775">
            <w:pPr>
              <w:spacing w:line="360" w:lineRule="auto"/>
              <w:jc w:val="center"/>
              <w:rPr>
                <w:rFonts w:ascii="宋体" w:hAnsi="宋体"/>
                <w:lang w:eastAsia="zh-CN"/>
              </w:rPr>
            </w:pPr>
          </w:p>
        </w:tc>
        <w:tc>
          <w:tcPr>
            <w:tcW w:w="746" w:type="dxa"/>
            <w:tcBorders>
              <w:top w:val="single" w:sz="2" w:space="0" w:color="auto"/>
              <w:left w:val="single" w:sz="2" w:space="0" w:color="auto"/>
              <w:bottom w:val="single" w:sz="2" w:space="0" w:color="auto"/>
              <w:right w:val="single" w:sz="2" w:space="0" w:color="auto"/>
            </w:tcBorders>
            <w:vAlign w:val="center"/>
          </w:tcPr>
          <w:p w14:paraId="491D0CF3">
            <w:pPr>
              <w:spacing w:line="360" w:lineRule="auto"/>
              <w:jc w:val="center"/>
              <w:rPr>
                <w:rFonts w:ascii="宋体" w:hAnsi="宋体"/>
                <w:lang w:eastAsia="zh-CN"/>
              </w:rPr>
            </w:pPr>
          </w:p>
        </w:tc>
        <w:tc>
          <w:tcPr>
            <w:tcW w:w="748" w:type="dxa"/>
            <w:tcBorders>
              <w:top w:val="single" w:sz="2" w:space="0" w:color="auto"/>
              <w:left w:val="single" w:sz="2" w:space="0" w:color="auto"/>
              <w:bottom w:val="single" w:sz="2" w:space="0" w:color="auto"/>
              <w:right w:val="single" w:sz="2" w:space="0" w:color="auto"/>
            </w:tcBorders>
            <w:vAlign w:val="center"/>
          </w:tcPr>
          <w:p w14:paraId="35CC5955">
            <w:pPr>
              <w:spacing w:line="360" w:lineRule="auto"/>
              <w:jc w:val="center"/>
              <w:rPr>
                <w:rFonts w:ascii="宋体" w:hAnsi="宋体"/>
                <w:lang w:eastAsia="zh-CN"/>
              </w:rPr>
            </w:pPr>
          </w:p>
        </w:tc>
      </w:tr>
    </w:tbl>
    <w:p w14:paraId="1BDFE9A0">
      <w:pPr>
        <w:spacing w:line="360" w:lineRule="auto"/>
        <w:rPr>
          <w:rFonts w:ascii="宋体" w:hAnsi="宋体"/>
          <w:kern w:val="2"/>
          <w:lang w:eastAsia="zh-CN"/>
        </w:rPr>
      </w:pPr>
    </w:p>
    <w:p w14:paraId="4FFAD76F">
      <w:pPr>
        <w:spacing w:line="360" w:lineRule="auto"/>
        <w:rPr>
          <w:rFonts w:ascii="宋体" w:hAnsi="宋体"/>
          <w:lang w:eastAsia="zh-CN"/>
        </w:rPr>
      </w:pPr>
      <w:r>
        <w:rPr>
          <w:rFonts w:ascii="宋体" w:hAnsi="宋体" w:hint="eastAsia"/>
          <w:lang w:eastAsia="zh-CN"/>
        </w:rPr>
        <w:t>评标委员会成员签名：                            日期：    年  月  日</w:t>
      </w:r>
    </w:p>
    <w:p w14:paraId="2FAAC509">
      <w:pPr>
        <w:spacing w:line="360" w:lineRule="auto"/>
        <w:rPr>
          <w:rFonts w:ascii="宋体" w:hAnsi="宋体"/>
          <w:lang w:eastAsia="zh-CN"/>
        </w:rPr>
      </w:pPr>
    </w:p>
    <w:p w14:paraId="3126B5B0">
      <w:pPr>
        <w:rPr>
          <w:rFonts w:ascii="宋体" w:hAnsi="宋体"/>
          <w:lang w:eastAsia="zh-CN"/>
        </w:rPr>
      </w:pPr>
      <w:r>
        <w:rPr>
          <w:rFonts w:ascii="宋体" w:hAnsi="宋体" w:hint="eastAsia"/>
          <w:lang w:eastAsia="zh-CN"/>
        </w:rPr>
        <w:br w:type="page"/>
      </w:r>
    </w:p>
    <w:p w14:paraId="6C183FFD">
      <w:pPr>
        <w:spacing w:line="360" w:lineRule="auto"/>
        <w:rPr>
          <w:rFonts w:ascii="宋体" w:hAnsi="宋体"/>
          <w:lang w:eastAsia="zh-CN"/>
        </w:rPr>
      </w:pPr>
    </w:p>
    <w:p w14:paraId="36CEFF70">
      <w:pPr>
        <w:pStyle w:val="Heading2"/>
        <w:rPr>
          <w:rFonts w:ascii="宋体" w:hAnsi="宋体"/>
          <w:sz w:val="24"/>
          <w:szCs w:val="24"/>
        </w:rPr>
      </w:pPr>
      <w:r>
        <w:rPr>
          <w:rFonts w:ascii="宋体" w:hAnsi="宋体" w:hint="eastAsia"/>
          <w:sz w:val="24"/>
          <w:szCs w:val="24"/>
        </w:rPr>
        <w:t>附表A-9：详细评审评分汇总表</w:t>
      </w:r>
    </w:p>
    <w:p w14:paraId="28AA61E1">
      <w:pPr>
        <w:spacing w:line="360" w:lineRule="auto"/>
        <w:jc w:val="center"/>
        <w:rPr>
          <w:rFonts w:ascii="宋体" w:hAnsi="宋体"/>
          <w:b/>
          <w:lang w:eastAsia="zh-CN"/>
        </w:rPr>
      </w:pPr>
      <w:r>
        <w:rPr>
          <w:rFonts w:ascii="宋体" w:hAnsi="宋体" w:hint="eastAsia"/>
          <w:b/>
          <w:lang w:eastAsia="zh-CN"/>
        </w:rPr>
        <w:t>详细评审评分汇总表</w:t>
      </w:r>
    </w:p>
    <w:p w14:paraId="1B1648C0">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415"/>
        <w:gridCol w:w="1474"/>
        <w:gridCol w:w="1003"/>
        <w:gridCol w:w="854"/>
        <w:gridCol w:w="854"/>
        <w:gridCol w:w="854"/>
        <w:gridCol w:w="974"/>
        <w:gridCol w:w="856"/>
        <w:gridCol w:w="974"/>
        <w:gridCol w:w="264"/>
      </w:tblGrid>
      <w:tr w14:paraId="0DE296C9">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c>
          <w:tcPr>
            <w:tcW w:w="415" w:type="dxa"/>
            <w:vMerge w:val="restart"/>
            <w:tcBorders>
              <w:top w:val="single" w:sz="2" w:space="0" w:color="auto"/>
              <w:left w:val="single" w:sz="2" w:space="0" w:color="auto"/>
              <w:bottom w:val="single" w:sz="2" w:space="0" w:color="auto"/>
              <w:right w:val="single" w:sz="2" w:space="0" w:color="auto"/>
            </w:tcBorders>
            <w:vAlign w:val="center"/>
          </w:tcPr>
          <w:p w14:paraId="105B81DD">
            <w:pPr>
              <w:spacing w:line="360" w:lineRule="auto"/>
              <w:jc w:val="center"/>
              <w:rPr>
                <w:rFonts w:ascii="宋体" w:hAnsi="宋体"/>
              </w:rPr>
            </w:pPr>
            <w:r>
              <w:rPr>
                <w:rFonts w:ascii="宋体" w:hAnsi="宋体" w:hint="eastAsia"/>
              </w:rPr>
              <w:t>序号</w:t>
            </w:r>
          </w:p>
        </w:tc>
        <w:tc>
          <w:tcPr>
            <w:tcW w:w="1474" w:type="dxa"/>
            <w:vMerge w:val="restart"/>
            <w:tcBorders>
              <w:top w:val="single" w:sz="2" w:space="0" w:color="auto"/>
              <w:left w:val="single" w:sz="2" w:space="0" w:color="auto"/>
              <w:bottom w:val="single" w:sz="2" w:space="0" w:color="auto"/>
              <w:right w:val="single" w:sz="2" w:space="0" w:color="auto"/>
            </w:tcBorders>
            <w:vAlign w:val="center"/>
          </w:tcPr>
          <w:p w14:paraId="0147FAE0">
            <w:pPr>
              <w:spacing w:line="360" w:lineRule="auto"/>
              <w:jc w:val="center"/>
              <w:rPr>
                <w:rFonts w:ascii="宋体" w:hAnsi="宋体"/>
              </w:rPr>
            </w:pPr>
            <w:r>
              <w:rPr>
                <w:rFonts w:ascii="宋体" w:hAnsi="宋体" w:hint="eastAsia"/>
              </w:rPr>
              <w:t>评分项目</w:t>
            </w:r>
          </w:p>
        </w:tc>
        <w:tc>
          <w:tcPr>
            <w:tcW w:w="1003" w:type="dxa"/>
            <w:vMerge w:val="restart"/>
            <w:tcBorders>
              <w:top w:val="single" w:sz="2" w:space="0" w:color="auto"/>
              <w:left w:val="single" w:sz="2" w:space="0" w:color="auto"/>
              <w:bottom w:val="single" w:sz="2" w:space="0" w:color="auto"/>
              <w:right w:val="single" w:sz="2" w:space="0" w:color="auto"/>
            </w:tcBorders>
            <w:vAlign w:val="center"/>
          </w:tcPr>
          <w:p w14:paraId="67A8D175">
            <w:pPr>
              <w:spacing w:line="360" w:lineRule="auto"/>
              <w:jc w:val="center"/>
              <w:rPr>
                <w:rFonts w:ascii="宋体" w:hAnsi="宋体"/>
              </w:rPr>
            </w:pPr>
            <w:r>
              <w:rPr>
                <w:rFonts w:ascii="宋体" w:hAnsi="宋体" w:hint="eastAsia"/>
              </w:rPr>
              <w:t>分值代码</w:t>
            </w:r>
          </w:p>
        </w:tc>
        <w:tc>
          <w:tcPr>
            <w:tcW w:w="5630" w:type="dxa"/>
            <w:gridSpan w:val="7"/>
            <w:tcBorders>
              <w:top w:val="single" w:sz="2" w:space="0" w:color="auto"/>
              <w:left w:val="single" w:sz="2" w:space="0" w:color="auto"/>
              <w:bottom w:val="single" w:sz="2" w:space="0" w:color="auto"/>
              <w:right w:val="single" w:sz="2" w:space="0" w:color="auto"/>
            </w:tcBorders>
            <w:vAlign w:val="center"/>
          </w:tcPr>
          <w:p w14:paraId="70AEF99D">
            <w:pPr>
              <w:spacing w:line="360" w:lineRule="auto"/>
              <w:jc w:val="center"/>
              <w:rPr>
                <w:rFonts w:ascii="宋体" w:hAnsi="宋体"/>
              </w:rPr>
            </w:pPr>
            <w:r>
              <w:rPr>
                <w:rFonts w:ascii="宋体" w:hAnsi="宋体" w:hint="eastAsia"/>
              </w:rPr>
              <w:t>投标人名称代码</w:t>
            </w:r>
          </w:p>
        </w:tc>
      </w:tr>
      <w:tr w14:paraId="1D8701C9">
        <w:tblPrEx>
          <w:tblW w:w="0" w:type="auto"/>
          <w:tblInd w:w="0" w:type="dxa"/>
          <w:tblLayout w:type="fixed"/>
          <w:tblCellMar>
            <w:top w:w="0" w:type="dxa"/>
            <w:left w:w="108" w:type="dxa"/>
            <w:bottom w:w="0" w:type="dxa"/>
            <w:right w:w="108" w:type="dxa"/>
          </w:tblCellMar>
        </w:tblPrEx>
        <w:tc>
          <w:tcPr>
            <w:tcW w:w="2892" w:type="dxa"/>
            <w:vMerge/>
            <w:tcBorders>
              <w:top w:val="single" w:sz="2" w:space="0" w:color="auto"/>
              <w:left w:val="single" w:sz="2" w:space="0" w:color="auto"/>
              <w:bottom w:val="single" w:sz="2" w:space="0" w:color="auto"/>
              <w:right w:val="single" w:sz="2" w:space="0" w:color="auto"/>
            </w:tcBorders>
            <w:vAlign w:val="center"/>
          </w:tcPr>
          <w:p w14:paraId="28358C4C">
            <w:pPr>
              <w:rPr>
                <w:rFonts w:ascii="宋体" w:eastAsia="宋体" w:hAnsi="宋体"/>
                <w:kern w:val="2"/>
              </w:rPr>
            </w:pPr>
          </w:p>
        </w:tc>
        <w:tc>
          <w:tcPr>
            <w:tcW w:w="1474" w:type="dxa"/>
            <w:vMerge/>
            <w:tcBorders>
              <w:top w:val="single" w:sz="2" w:space="0" w:color="auto"/>
              <w:left w:val="single" w:sz="2" w:space="0" w:color="auto"/>
              <w:bottom w:val="single" w:sz="2" w:space="0" w:color="auto"/>
              <w:right w:val="single" w:sz="2" w:space="0" w:color="auto"/>
            </w:tcBorders>
            <w:vAlign w:val="center"/>
          </w:tcPr>
          <w:p w14:paraId="50426416">
            <w:pPr>
              <w:rPr>
                <w:rFonts w:ascii="宋体" w:eastAsia="宋体" w:hAnsi="宋体"/>
                <w:kern w:val="2"/>
              </w:rPr>
            </w:pPr>
          </w:p>
        </w:tc>
        <w:tc>
          <w:tcPr>
            <w:tcW w:w="1003" w:type="dxa"/>
            <w:vMerge/>
            <w:tcBorders>
              <w:top w:val="single" w:sz="2" w:space="0" w:color="auto"/>
              <w:left w:val="single" w:sz="2" w:space="0" w:color="auto"/>
              <w:bottom w:val="single" w:sz="2" w:space="0" w:color="auto"/>
              <w:right w:val="single" w:sz="2" w:space="0" w:color="auto"/>
            </w:tcBorders>
            <w:vAlign w:val="center"/>
          </w:tcPr>
          <w:p w14:paraId="3A4A7482">
            <w:pPr>
              <w:rPr>
                <w:rFonts w:ascii="宋体" w:eastAsia="宋体" w:hAnsi="宋体"/>
                <w:kern w:val="2"/>
              </w:rPr>
            </w:pPr>
          </w:p>
        </w:tc>
        <w:tc>
          <w:tcPr>
            <w:tcW w:w="854" w:type="dxa"/>
            <w:tcBorders>
              <w:top w:val="single" w:sz="2" w:space="0" w:color="auto"/>
              <w:left w:val="single" w:sz="2" w:space="0" w:color="auto"/>
              <w:bottom w:val="single" w:sz="2" w:space="0" w:color="auto"/>
              <w:right w:val="single" w:sz="2" w:space="0" w:color="auto"/>
            </w:tcBorders>
            <w:vAlign w:val="center"/>
          </w:tcPr>
          <w:p w14:paraId="3B50BB7A">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20E7006B">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2E892B75">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7C83334F">
            <w:pPr>
              <w:spacing w:line="360" w:lineRule="auto"/>
              <w:jc w:val="center"/>
              <w:rPr>
                <w:rFonts w:ascii="宋体" w:hAnsi="宋体"/>
              </w:rPr>
            </w:pPr>
          </w:p>
        </w:tc>
        <w:tc>
          <w:tcPr>
            <w:tcW w:w="856" w:type="dxa"/>
            <w:tcBorders>
              <w:top w:val="single" w:sz="2" w:space="0" w:color="auto"/>
              <w:left w:val="single" w:sz="2" w:space="0" w:color="auto"/>
              <w:bottom w:val="single" w:sz="2" w:space="0" w:color="auto"/>
              <w:right w:val="single" w:sz="2" w:space="0" w:color="auto"/>
            </w:tcBorders>
            <w:vAlign w:val="center"/>
          </w:tcPr>
          <w:p w14:paraId="42926899">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1D2735DB">
            <w:pPr>
              <w:spacing w:line="360" w:lineRule="auto"/>
              <w:jc w:val="center"/>
              <w:rPr>
                <w:rFonts w:ascii="宋体" w:hAnsi="宋体"/>
              </w:rPr>
            </w:pPr>
          </w:p>
        </w:tc>
        <w:tc>
          <w:tcPr>
            <w:tcW w:w="264" w:type="dxa"/>
            <w:tcBorders>
              <w:top w:val="single" w:sz="2" w:space="0" w:color="auto"/>
              <w:left w:val="single" w:sz="2" w:space="0" w:color="auto"/>
              <w:bottom w:val="single" w:sz="2" w:space="0" w:color="auto"/>
              <w:right w:val="single" w:sz="2" w:space="0" w:color="auto"/>
            </w:tcBorders>
            <w:vAlign w:val="center"/>
          </w:tcPr>
          <w:p w14:paraId="493B29C7">
            <w:pPr>
              <w:spacing w:line="360" w:lineRule="auto"/>
              <w:jc w:val="center"/>
              <w:rPr>
                <w:rFonts w:ascii="宋体" w:hAnsi="宋体"/>
              </w:rPr>
            </w:pPr>
          </w:p>
        </w:tc>
      </w:tr>
      <w:tr w14:paraId="06AD3E61">
        <w:tblPrEx>
          <w:tblW w:w="0" w:type="auto"/>
          <w:tblInd w:w="0" w:type="dxa"/>
          <w:tblLayout w:type="fixed"/>
          <w:tblCellMar>
            <w:top w:w="0" w:type="dxa"/>
            <w:left w:w="108" w:type="dxa"/>
            <w:bottom w:w="0" w:type="dxa"/>
            <w:right w:w="108" w:type="dxa"/>
          </w:tblCellMar>
        </w:tblPrEx>
        <w:tc>
          <w:tcPr>
            <w:tcW w:w="415" w:type="dxa"/>
            <w:tcBorders>
              <w:top w:val="single" w:sz="2" w:space="0" w:color="auto"/>
              <w:left w:val="single" w:sz="2" w:space="0" w:color="auto"/>
              <w:bottom w:val="single" w:sz="2" w:space="0" w:color="auto"/>
              <w:right w:val="single" w:sz="2" w:space="0" w:color="auto"/>
            </w:tcBorders>
            <w:vAlign w:val="center"/>
          </w:tcPr>
          <w:p w14:paraId="066E53F7">
            <w:pPr>
              <w:spacing w:line="360" w:lineRule="auto"/>
              <w:jc w:val="center"/>
              <w:rPr>
                <w:rFonts w:ascii="宋体" w:hAnsi="宋体"/>
              </w:rPr>
            </w:pPr>
            <w:r>
              <w:rPr>
                <w:rFonts w:ascii="宋体" w:hAnsi="宋体" w:hint="eastAsia"/>
              </w:rPr>
              <w:t>1</w:t>
            </w:r>
          </w:p>
        </w:tc>
        <w:tc>
          <w:tcPr>
            <w:tcW w:w="1474" w:type="dxa"/>
            <w:tcBorders>
              <w:top w:val="single" w:sz="2" w:space="0" w:color="auto"/>
              <w:left w:val="single" w:sz="2" w:space="0" w:color="auto"/>
              <w:bottom w:val="single" w:sz="2" w:space="0" w:color="auto"/>
              <w:right w:val="single" w:sz="2" w:space="0" w:color="auto"/>
            </w:tcBorders>
            <w:vAlign w:val="center"/>
          </w:tcPr>
          <w:p w14:paraId="482F9FD3">
            <w:pPr>
              <w:spacing w:line="360" w:lineRule="auto"/>
              <w:jc w:val="center"/>
              <w:rPr>
                <w:rFonts w:ascii="宋体" w:hAnsi="宋体"/>
              </w:rPr>
            </w:pPr>
            <w:r>
              <w:rPr>
                <w:rFonts w:ascii="宋体" w:hAnsi="宋体" w:hint="eastAsia"/>
              </w:rPr>
              <w:t>施工组织设计</w:t>
            </w:r>
          </w:p>
        </w:tc>
        <w:tc>
          <w:tcPr>
            <w:tcW w:w="1003" w:type="dxa"/>
            <w:tcBorders>
              <w:top w:val="single" w:sz="2" w:space="0" w:color="auto"/>
              <w:left w:val="single" w:sz="2" w:space="0" w:color="auto"/>
              <w:bottom w:val="single" w:sz="2" w:space="0" w:color="auto"/>
              <w:right w:val="single" w:sz="2" w:space="0" w:color="auto"/>
            </w:tcBorders>
            <w:vAlign w:val="center"/>
          </w:tcPr>
          <w:p w14:paraId="38555657">
            <w:pPr>
              <w:spacing w:line="360" w:lineRule="auto"/>
              <w:jc w:val="center"/>
              <w:rPr>
                <w:rFonts w:ascii="宋体" w:hAnsi="宋体"/>
              </w:rPr>
            </w:pPr>
            <w:r>
              <w:rPr>
                <w:rFonts w:ascii="宋体" w:hAnsi="宋体" w:hint="eastAsia"/>
              </w:rPr>
              <w:t>A</w:t>
            </w:r>
          </w:p>
        </w:tc>
        <w:tc>
          <w:tcPr>
            <w:tcW w:w="854" w:type="dxa"/>
            <w:tcBorders>
              <w:top w:val="single" w:sz="2" w:space="0" w:color="auto"/>
              <w:left w:val="single" w:sz="2" w:space="0" w:color="auto"/>
              <w:bottom w:val="single" w:sz="2" w:space="0" w:color="auto"/>
              <w:right w:val="single" w:sz="2" w:space="0" w:color="auto"/>
            </w:tcBorders>
            <w:vAlign w:val="center"/>
          </w:tcPr>
          <w:p w14:paraId="2E92F96C">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32C9EB53">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296452F8">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0D9AC53E">
            <w:pPr>
              <w:spacing w:line="360" w:lineRule="auto"/>
              <w:jc w:val="center"/>
              <w:rPr>
                <w:rFonts w:ascii="宋体" w:hAnsi="宋体"/>
              </w:rPr>
            </w:pPr>
          </w:p>
        </w:tc>
        <w:tc>
          <w:tcPr>
            <w:tcW w:w="856" w:type="dxa"/>
            <w:tcBorders>
              <w:top w:val="single" w:sz="2" w:space="0" w:color="auto"/>
              <w:left w:val="single" w:sz="2" w:space="0" w:color="auto"/>
              <w:bottom w:val="single" w:sz="2" w:space="0" w:color="auto"/>
              <w:right w:val="single" w:sz="2" w:space="0" w:color="auto"/>
            </w:tcBorders>
            <w:vAlign w:val="center"/>
          </w:tcPr>
          <w:p w14:paraId="51A35AD6">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6B608625">
            <w:pPr>
              <w:spacing w:line="360" w:lineRule="auto"/>
              <w:jc w:val="center"/>
              <w:rPr>
                <w:rFonts w:ascii="宋体" w:hAnsi="宋体"/>
              </w:rPr>
            </w:pPr>
          </w:p>
        </w:tc>
        <w:tc>
          <w:tcPr>
            <w:tcW w:w="264" w:type="dxa"/>
            <w:tcBorders>
              <w:top w:val="single" w:sz="2" w:space="0" w:color="auto"/>
              <w:left w:val="single" w:sz="2" w:space="0" w:color="auto"/>
              <w:bottom w:val="single" w:sz="2" w:space="0" w:color="auto"/>
              <w:right w:val="single" w:sz="2" w:space="0" w:color="auto"/>
            </w:tcBorders>
            <w:vAlign w:val="center"/>
          </w:tcPr>
          <w:p w14:paraId="266A0473">
            <w:pPr>
              <w:spacing w:line="360" w:lineRule="auto"/>
              <w:jc w:val="center"/>
              <w:rPr>
                <w:rFonts w:ascii="宋体" w:hAnsi="宋体"/>
              </w:rPr>
            </w:pPr>
          </w:p>
        </w:tc>
      </w:tr>
      <w:tr w14:paraId="6714FA77">
        <w:tblPrEx>
          <w:tblW w:w="0" w:type="auto"/>
          <w:tblInd w:w="0" w:type="dxa"/>
          <w:tblLayout w:type="fixed"/>
          <w:tblCellMar>
            <w:top w:w="0" w:type="dxa"/>
            <w:left w:w="108" w:type="dxa"/>
            <w:bottom w:w="0" w:type="dxa"/>
            <w:right w:w="108" w:type="dxa"/>
          </w:tblCellMar>
        </w:tblPrEx>
        <w:tc>
          <w:tcPr>
            <w:tcW w:w="415" w:type="dxa"/>
            <w:tcBorders>
              <w:top w:val="single" w:sz="2" w:space="0" w:color="auto"/>
              <w:left w:val="single" w:sz="2" w:space="0" w:color="auto"/>
              <w:bottom w:val="single" w:sz="2" w:space="0" w:color="auto"/>
              <w:right w:val="single" w:sz="2" w:space="0" w:color="auto"/>
            </w:tcBorders>
            <w:vAlign w:val="center"/>
          </w:tcPr>
          <w:p w14:paraId="77BCFA76">
            <w:pPr>
              <w:spacing w:line="360" w:lineRule="auto"/>
              <w:jc w:val="center"/>
              <w:rPr>
                <w:rFonts w:ascii="宋体" w:hAnsi="宋体"/>
              </w:rPr>
            </w:pPr>
            <w:r>
              <w:rPr>
                <w:rFonts w:ascii="宋体" w:hAnsi="宋体" w:hint="eastAsia"/>
              </w:rPr>
              <w:t>2</w:t>
            </w:r>
          </w:p>
        </w:tc>
        <w:tc>
          <w:tcPr>
            <w:tcW w:w="1474" w:type="dxa"/>
            <w:tcBorders>
              <w:top w:val="single" w:sz="2" w:space="0" w:color="auto"/>
              <w:left w:val="single" w:sz="2" w:space="0" w:color="auto"/>
              <w:bottom w:val="single" w:sz="2" w:space="0" w:color="auto"/>
              <w:right w:val="single" w:sz="2" w:space="0" w:color="auto"/>
            </w:tcBorders>
            <w:vAlign w:val="center"/>
          </w:tcPr>
          <w:p w14:paraId="282BBC41">
            <w:pPr>
              <w:spacing w:line="360" w:lineRule="auto"/>
              <w:jc w:val="center"/>
              <w:rPr>
                <w:rFonts w:ascii="宋体" w:hAnsi="宋体"/>
              </w:rPr>
            </w:pPr>
            <w:r>
              <w:rPr>
                <w:rFonts w:ascii="宋体" w:hAnsi="宋体" w:hint="eastAsia"/>
              </w:rPr>
              <w:t>项目管理机构</w:t>
            </w:r>
          </w:p>
        </w:tc>
        <w:tc>
          <w:tcPr>
            <w:tcW w:w="1003" w:type="dxa"/>
            <w:tcBorders>
              <w:top w:val="single" w:sz="2" w:space="0" w:color="auto"/>
              <w:left w:val="single" w:sz="2" w:space="0" w:color="auto"/>
              <w:bottom w:val="single" w:sz="2" w:space="0" w:color="auto"/>
              <w:right w:val="single" w:sz="2" w:space="0" w:color="auto"/>
            </w:tcBorders>
            <w:vAlign w:val="center"/>
          </w:tcPr>
          <w:p w14:paraId="25B7AA97">
            <w:pPr>
              <w:spacing w:line="360" w:lineRule="auto"/>
              <w:jc w:val="center"/>
              <w:rPr>
                <w:rFonts w:ascii="宋体" w:hAnsi="宋体"/>
              </w:rPr>
            </w:pPr>
            <w:r>
              <w:rPr>
                <w:rFonts w:ascii="宋体" w:hAnsi="宋体" w:hint="eastAsia"/>
              </w:rPr>
              <w:t>B</w:t>
            </w:r>
          </w:p>
        </w:tc>
        <w:tc>
          <w:tcPr>
            <w:tcW w:w="854" w:type="dxa"/>
            <w:tcBorders>
              <w:top w:val="single" w:sz="2" w:space="0" w:color="auto"/>
              <w:left w:val="single" w:sz="2" w:space="0" w:color="auto"/>
              <w:bottom w:val="single" w:sz="2" w:space="0" w:color="auto"/>
              <w:right w:val="single" w:sz="2" w:space="0" w:color="auto"/>
            </w:tcBorders>
            <w:vAlign w:val="center"/>
          </w:tcPr>
          <w:p w14:paraId="5EC0BE6B">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4DFA43AD">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51AFD3F8">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1ED6B1FB">
            <w:pPr>
              <w:spacing w:line="360" w:lineRule="auto"/>
              <w:jc w:val="center"/>
              <w:rPr>
                <w:rFonts w:ascii="宋体" w:hAnsi="宋体"/>
              </w:rPr>
            </w:pPr>
          </w:p>
        </w:tc>
        <w:tc>
          <w:tcPr>
            <w:tcW w:w="856" w:type="dxa"/>
            <w:tcBorders>
              <w:top w:val="single" w:sz="2" w:space="0" w:color="auto"/>
              <w:left w:val="single" w:sz="2" w:space="0" w:color="auto"/>
              <w:bottom w:val="single" w:sz="2" w:space="0" w:color="auto"/>
              <w:right w:val="single" w:sz="2" w:space="0" w:color="auto"/>
            </w:tcBorders>
            <w:vAlign w:val="center"/>
          </w:tcPr>
          <w:p w14:paraId="398E422D">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3BBCE951">
            <w:pPr>
              <w:spacing w:line="360" w:lineRule="auto"/>
              <w:jc w:val="center"/>
              <w:rPr>
                <w:rFonts w:ascii="宋体" w:hAnsi="宋体"/>
              </w:rPr>
            </w:pPr>
          </w:p>
        </w:tc>
        <w:tc>
          <w:tcPr>
            <w:tcW w:w="264" w:type="dxa"/>
            <w:tcBorders>
              <w:top w:val="single" w:sz="2" w:space="0" w:color="auto"/>
              <w:left w:val="single" w:sz="2" w:space="0" w:color="auto"/>
              <w:bottom w:val="single" w:sz="2" w:space="0" w:color="auto"/>
              <w:right w:val="single" w:sz="2" w:space="0" w:color="auto"/>
            </w:tcBorders>
            <w:vAlign w:val="center"/>
          </w:tcPr>
          <w:p w14:paraId="5D4000AB">
            <w:pPr>
              <w:spacing w:line="360" w:lineRule="auto"/>
              <w:jc w:val="center"/>
              <w:rPr>
                <w:rFonts w:ascii="宋体" w:hAnsi="宋体"/>
              </w:rPr>
            </w:pPr>
          </w:p>
        </w:tc>
      </w:tr>
      <w:tr w14:paraId="700DCCB0">
        <w:tblPrEx>
          <w:tblW w:w="0" w:type="auto"/>
          <w:tblInd w:w="0" w:type="dxa"/>
          <w:tblLayout w:type="fixed"/>
          <w:tblCellMar>
            <w:top w:w="0" w:type="dxa"/>
            <w:left w:w="108" w:type="dxa"/>
            <w:bottom w:w="0" w:type="dxa"/>
            <w:right w:w="108" w:type="dxa"/>
          </w:tblCellMar>
        </w:tblPrEx>
        <w:tc>
          <w:tcPr>
            <w:tcW w:w="415" w:type="dxa"/>
            <w:tcBorders>
              <w:top w:val="single" w:sz="2" w:space="0" w:color="auto"/>
              <w:left w:val="single" w:sz="2" w:space="0" w:color="auto"/>
              <w:bottom w:val="single" w:sz="2" w:space="0" w:color="auto"/>
              <w:right w:val="single" w:sz="2" w:space="0" w:color="auto"/>
            </w:tcBorders>
            <w:vAlign w:val="center"/>
          </w:tcPr>
          <w:p w14:paraId="7A8DF5AF">
            <w:pPr>
              <w:spacing w:line="360" w:lineRule="auto"/>
              <w:jc w:val="center"/>
              <w:rPr>
                <w:rFonts w:ascii="宋体" w:hAnsi="宋体"/>
              </w:rPr>
            </w:pPr>
            <w:r>
              <w:rPr>
                <w:rFonts w:ascii="宋体" w:hAnsi="宋体" w:hint="eastAsia"/>
              </w:rPr>
              <w:t>3</w:t>
            </w:r>
          </w:p>
        </w:tc>
        <w:tc>
          <w:tcPr>
            <w:tcW w:w="1474" w:type="dxa"/>
            <w:tcBorders>
              <w:top w:val="single" w:sz="2" w:space="0" w:color="auto"/>
              <w:left w:val="single" w:sz="2" w:space="0" w:color="auto"/>
              <w:bottom w:val="single" w:sz="2" w:space="0" w:color="auto"/>
              <w:right w:val="single" w:sz="2" w:space="0" w:color="auto"/>
            </w:tcBorders>
            <w:vAlign w:val="center"/>
          </w:tcPr>
          <w:p w14:paraId="40BB9B0B">
            <w:pPr>
              <w:spacing w:line="360" w:lineRule="auto"/>
              <w:jc w:val="center"/>
              <w:rPr>
                <w:rFonts w:ascii="宋体" w:hAnsi="宋体"/>
              </w:rPr>
            </w:pPr>
            <w:r>
              <w:rPr>
                <w:rFonts w:ascii="宋体" w:hAnsi="宋体" w:hint="eastAsia"/>
              </w:rPr>
              <w:t>投标报价</w:t>
            </w:r>
          </w:p>
        </w:tc>
        <w:tc>
          <w:tcPr>
            <w:tcW w:w="1003" w:type="dxa"/>
            <w:tcBorders>
              <w:top w:val="single" w:sz="2" w:space="0" w:color="auto"/>
              <w:left w:val="single" w:sz="2" w:space="0" w:color="auto"/>
              <w:bottom w:val="single" w:sz="2" w:space="0" w:color="auto"/>
              <w:right w:val="single" w:sz="2" w:space="0" w:color="auto"/>
            </w:tcBorders>
            <w:vAlign w:val="center"/>
          </w:tcPr>
          <w:p w14:paraId="4D70A93F">
            <w:pPr>
              <w:spacing w:line="360" w:lineRule="auto"/>
              <w:jc w:val="center"/>
              <w:rPr>
                <w:rFonts w:ascii="宋体" w:hAnsi="宋体"/>
              </w:rPr>
            </w:pPr>
            <w:r>
              <w:rPr>
                <w:rFonts w:ascii="宋体" w:hAnsi="宋体" w:hint="eastAsia"/>
              </w:rPr>
              <w:t>C</w:t>
            </w:r>
          </w:p>
        </w:tc>
        <w:tc>
          <w:tcPr>
            <w:tcW w:w="854" w:type="dxa"/>
            <w:tcBorders>
              <w:top w:val="single" w:sz="2" w:space="0" w:color="auto"/>
              <w:left w:val="single" w:sz="2" w:space="0" w:color="auto"/>
              <w:bottom w:val="single" w:sz="2" w:space="0" w:color="auto"/>
              <w:right w:val="single" w:sz="2" w:space="0" w:color="auto"/>
            </w:tcBorders>
            <w:vAlign w:val="center"/>
          </w:tcPr>
          <w:p w14:paraId="0261C4A4">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2CF063F2">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081A4456">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3482F4BB">
            <w:pPr>
              <w:spacing w:line="360" w:lineRule="auto"/>
              <w:jc w:val="center"/>
              <w:rPr>
                <w:rFonts w:ascii="宋体" w:hAnsi="宋体"/>
              </w:rPr>
            </w:pPr>
          </w:p>
        </w:tc>
        <w:tc>
          <w:tcPr>
            <w:tcW w:w="856" w:type="dxa"/>
            <w:tcBorders>
              <w:top w:val="single" w:sz="2" w:space="0" w:color="auto"/>
              <w:left w:val="single" w:sz="2" w:space="0" w:color="auto"/>
              <w:bottom w:val="single" w:sz="2" w:space="0" w:color="auto"/>
              <w:right w:val="single" w:sz="2" w:space="0" w:color="auto"/>
            </w:tcBorders>
            <w:vAlign w:val="center"/>
          </w:tcPr>
          <w:p w14:paraId="2D723CF4">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35B20415">
            <w:pPr>
              <w:spacing w:line="360" w:lineRule="auto"/>
              <w:jc w:val="center"/>
              <w:rPr>
                <w:rFonts w:ascii="宋体" w:hAnsi="宋体"/>
              </w:rPr>
            </w:pPr>
          </w:p>
        </w:tc>
        <w:tc>
          <w:tcPr>
            <w:tcW w:w="264" w:type="dxa"/>
            <w:tcBorders>
              <w:top w:val="single" w:sz="2" w:space="0" w:color="auto"/>
              <w:left w:val="single" w:sz="2" w:space="0" w:color="auto"/>
              <w:bottom w:val="single" w:sz="2" w:space="0" w:color="auto"/>
              <w:right w:val="single" w:sz="2" w:space="0" w:color="auto"/>
            </w:tcBorders>
            <w:vAlign w:val="center"/>
          </w:tcPr>
          <w:p w14:paraId="706CDE67">
            <w:pPr>
              <w:spacing w:line="360" w:lineRule="auto"/>
              <w:jc w:val="center"/>
              <w:rPr>
                <w:rFonts w:ascii="宋体" w:hAnsi="宋体"/>
              </w:rPr>
            </w:pPr>
          </w:p>
        </w:tc>
      </w:tr>
      <w:tr w14:paraId="0DD2C97E">
        <w:tblPrEx>
          <w:tblW w:w="0" w:type="auto"/>
          <w:tblInd w:w="0" w:type="dxa"/>
          <w:tblLayout w:type="fixed"/>
          <w:tblCellMar>
            <w:top w:w="0" w:type="dxa"/>
            <w:left w:w="108" w:type="dxa"/>
            <w:bottom w:w="0" w:type="dxa"/>
            <w:right w:w="108" w:type="dxa"/>
          </w:tblCellMar>
        </w:tblPrEx>
        <w:tc>
          <w:tcPr>
            <w:tcW w:w="415" w:type="dxa"/>
            <w:tcBorders>
              <w:top w:val="single" w:sz="2" w:space="0" w:color="auto"/>
              <w:left w:val="single" w:sz="2" w:space="0" w:color="auto"/>
              <w:bottom w:val="single" w:sz="2" w:space="0" w:color="auto"/>
              <w:right w:val="single" w:sz="2" w:space="0" w:color="auto"/>
            </w:tcBorders>
            <w:vAlign w:val="center"/>
          </w:tcPr>
          <w:p w14:paraId="25E18555">
            <w:pPr>
              <w:spacing w:line="360" w:lineRule="auto"/>
              <w:jc w:val="center"/>
              <w:rPr>
                <w:rFonts w:ascii="宋体" w:hAnsi="宋体"/>
              </w:rPr>
            </w:pPr>
            <w:r>
              <w:rPr>
                <w:rFonts w:ascii="宋体" w:hAnsi="宋体" w:hint="eastAsia"/>
              </w:rPr>
              <w:t>4</w:t>
            </w:r>
          </w:p>
        </w:tc>
        <w:tc>
          <w:tcPr>
            <w:tcW w:w="1474" w:type="dxa"/>
            <w:tcBorders>
              <w:top w:val="single" w:sz="2" w:space="0" w:color="auto"/>
              <w:left w:val="single" w:sz="2" w:space="0" w:color="auto"/>
              <w:bottom w:val="single" w:sz="2" w:space="0" w:color="auto"/>
              <w:right w:val="single" w:sz="2" w:space="0" w:color="auto"/>
            </w:tcBorders>
            <w:vAlign w:val="center"/>
          </w:tcPr>
          <w:p w14:paraId="6D1CD4E0">
            <w:pPr>
              <w:spacing w:line="360" w:lineRule="auto"/>
              <w:jc w:val="center"/>
              <w:rPr>
                <w:rFonts w:ascii="宋体" w:hAnsi="宋体"/>
              </w:rPr>
            </w:pPr>
            <w:r>
              <w:rPr>
                <w:rFonts w:ascii="宋体" w:hAnsi="宋体" w:hint="eastAsia"/>
              </w:rPr>
              <w:t>其他因素</w:t>
            </w:r>
          </w:p>
        </w:tc>
        <w:tc>
          <w:tcPr>
            <w:tcW w:w="1003" w:type="dxa"/>
            <w:tcBorders>
              <w:top w:val="single" w:sz="2" w:space="0" w:color="auto"/>
              <w:left w:val="single" w:sz="2" w:space="0" w:color="auto"/>
              <w:bottom w:val="single" w:sz="2" w:space="0" w:color="auto"/>
              <w:right w:val="single" w:sz="2" w:space="0" w:color="auto"/>
            </w:tcBorders>
            <w:vAlign w:val="center"/>
          </w:tcPr>
          <w:p w14:paraId="02DABF09">
            <w:pPr>
              <w:spacing w:line="360" w:lineRule="auto"/>
              <w:jc w:val="center"/>
              <w:rPr>
                <w:rFonts w:ascii="宋体" w:hAnsi="宋体"/>
              </w:rPr>
            </w:pPr>
            <w:r>
              <w:rPr>
                <w:rFonts w:ascii="宋体" w:hAnsi="宋体" w:hint="eastAsia"/>
              </w:rPr>
              <w:t>D</w:t>
            </w:r>
          </w:p>
        </w:tc>
        <w:tc>
          <w:tcPr>
            <w:tcW w:w="854" w:type="dxa"/>
            <w:tcBorders>
              <w:top w:val="single" w:sz="2" w:space="0" w:color="auto"/>
              <w:left w:val="single" w:sz="2" w:space="0" w:color="auto"/>
              <w:bottom w:val="single" w:sz="2" w:space="0" w:color="auto"/>
              <w:right w:val="single" w:sz="2" w:space="0" w:color="auto"/>
            </w:tcBorders>
            <w:vAlign w:val="center"/>
          </w:tcPr>
          <w:p w14:paraId="4E15669C">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4C19E70F">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30D8319E">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78F06958">
            <w:pPr>
              <w:spacing w:line="360" w:lineRule="auto"/>
              <w:jc w:val="center"/>
              <w:rPr>
                <w:rFonts w:ascii="宋体" w:hAnsi="宋体"/>
              </w:rPr>
            </w:pPr>
          </w:p>
        </w:tc>
        <w:tc>
          <w:tcPr>
            <w:tcW w:w="856" w:type="dxa"/>
            <w:tcBorders>
              <w:top w:val="single" w:sz="2" w:space="0" w:color="auto"/>
              <w:left w:val="single" w:sz="2" w:space="0" w:color="auto"/>
              <w:bottom w:val="single" w:sz="2" w:space="0" w:color="auto"/>
              <w:right w:val="single" w:sz="2" w:space="0" w:color="auto"/>
            </w:tcBorders>
            <w:vAlign w:val="center"/>
          </w:tcPr>
          <w:p w14:paraId="2479931E">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707E3806">
            <w:pPr>
              <w:spacing w:line="360" w:lineRule="auto"/>
              <w:jc w:val="center"/>
              <w:rPr>
                <w:rFonts w:ascii="宋体" w:hAnsi="宋体"/>
              </w:rPr>
            </w:pPr>
          </w:p>
        </w:tc>
        <w:tc>
          <w:tcPr>
            <w:tcW w:w="264" w:type="dxa"/>
            <w:tcBorders>
              <w:top w:val="single" w:sz="2" w:space="0" w:color="auto"/>
              <w:left w:val="single" w:sz="2" w:space="0" w:color="auto"/>
              <w:bottom w:val="single" w:sz="2" w:space="0" w:color="auto"/>
              <w:right w:val="single" w:sz="2" w:space="0" w:color="auto"/>
            </w:tcBorders>
            <w:vAlign w:val="center"/>
          </w:tcPr>
          <w:p w14:paraId="5F2E615C">
            <w:pPr>
              <w:spacing w:line="360" w:lineRule="auto"/>
              <w:jc w:val="center"/>
              <w:rPr>
                <w:rFonts w:ascii="宋体" w:hAnsi="宋体"/>
              </w:rPr>
            </w:pPr>
          </w:p>
        </w:tc>
      </w:tr>
      <w:tr w14:paraId="01364298">
        <w:tblPrEx>
          <w:tblW w:w="0" w:type="auto"/>
          <w:tblInd w:w="0" w:type="dxa"/>
          <w:tblLayout w:type="fixed"/>
          <w:tblCellMar>
            <w:top w:w="0" w:type="dxa"/>
            <w:left w:w="108" w:type="dxa"/>
            <w:bottom w:w="0" w:type="dxa"/>
            <w:right w:w="108" w:type="dxa"/>
          </w:tblCellMar>
        </w:tblPrEx>
        <w:tc>
          <w:tcPr>
            <w:tcW w:w="2892" w:type="dxa"/>
            <w:gridSpan w:val="3"/>
            <w:tcBorders>
              <w:top w:val="single" w:sz="2" w:space="0" w:color="auto"/>
              <w:left w:val="single" w:sz="2" w:space="0" w:color="auto"/>
              <w:bottom w:val="single" w:sz="2" w:space="0" w:color="auto"/>
              <w:right w:val="single" w:sz="2" w:space="0" w:color="auto"/>
            </w:tcBorders>
            <w:vAlign w:val="center"/>
          </w:tcPr>
          <w:p w14:paraId="0BB9233D">
            <w:pPr>
              <w:spacing w:line="360" w:lineRule="auto"/>
              <w:jc w:val="center"/>
              <w:rPr>
                <w:rFonts w:ascii="宋体" w:hAnsi="宋体"/>
              </w:rPr>
            </w:pPr>
            <w:r>
              <w:rPr>
                <w:rFonts w:ascii="宋体" w:hAnsi="宋体" w:hint="eastAsia"/>
              </w:rPr>
              <w:t>详细评审得分合计</w:t>
            </w:r>
          </w:p>
        </w:tc>
        <w:tc>
          <w:tcPr>
            <w:tcW w:w="854" w:type="dxa"/>
            <w:tcBorders>
              <w:top w:val="single" w:sz="2" w:space="0" w:color="auto"/>
              <w:left w:val="single" w:sz="2" w:space="0" w:color="auto"/>
              <w:bottom w:val="single" w:sz="2" w:space="0" w:color="auto"/>
              <w:right w:val="single" w:sz="2" w:space="0" w:color="auto"/>
            </w:tcBorders>
            <w:vAlign w:val="center"/>
          </w:tcPr>
          <w:p w14:paraId="15BD5632">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1C9D9BF8">
            <w:pPr>
              <w:spacing w:line="360" w:lineRule="auto"/>
              <w:jc w:val="center"/>
              <w:rPr>
                <w:rFonts w:ascii="宋体" w:hAnsi="宋体"/>
              </w:rPr>
            </w:pPr>
          </w:p>
        </w:tc>
        <w:tc>
          <w:tcPr>
            <w:tcW w:w="854" w:type="dxa"/>
            <w:tcBorders>
              <w:top w:val="single" w:sz="2" w:space="0" w:color="auto"/>
              <w:left w:val="single" w:sz="2" w:space="0" w:color="auto"/>
              <w:bottom w:val="single" w:sz="2" w:space="0" w:color="auto"/>
              <w:right w:val="single" w:sz="2" w:space="0" w:color="auto"/>
            </w:tcBorders>
            <w:vAlign w:val="center"/>
          </w:tcPr>
          <w:p w14:paraId="44DF60A1">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374237ED">
            <w:pPr>
              <w:spacing w:line="360" w:lineRule="auto"/>
              <w:jc w:val="center"/>
              <w:rPr>
                <w:rFonts w:ascii="宋体" w:hAnsi="宋体"/>
              </w:rPr>
            </w:pPr>
          </w:p>
        </w:tc>
        <w:tc>
          <w:tcPr>
            <w:tcW w:w="856" w:type="dxa"/>
            <w:tcBorders>
              <w:top w:val="single" w:sz="2" w:space="0" w:color="auto"/>
              <w:left w:val="single" w:sz="2" w:space="0" w:color="auto"/>
              <w:bottom w:val="single" w:sz="2" w:space="0" w:color="auto"/>
              <w:right w:val="single" w:sz="2" w:space="0" w:color="auto"/>
            </w:tcBorders>
            <w:vAlign w:val="center"/>
          </w:tcPr>
          <w:p w14:paraId="7EC21F90">
            <w:pPr>
              <w:spacing w:line="360" w:lineRule="auto"/>
              <w:jc w:val="center"/>
              <w:rPr>
                <w:rFonts w:ascii="宋体" w:hAnsi="宋体"/>
              </w:rPr>
            </w:pPr>
          </w:p>
        </w:tc>
        <w:tc>
          <w:tcPr>
            <w:tcW w:w="974" w:type="dxa"/>
            <w:tcBorders>
              <w:top w:val="single" w:sz="2" w:space="0" w:color="auto"/>
              <w:left w:val="single" w:sz="2" w:space="0" w:color="auto"/>
              <w:bottom w:val="single" w:sz="2" w:space="0" w:color="auto"/>
              <w:right w:val="single" w:sz="2" w:space="0" w:color="auto"/>
            </w:tcBorders>
            <w:vAlign w:val="center"/>
          </w:tcPr>
          <w:p w14:paraId="0BAC7C62">
            <w:pPr>
              <w:spacing w:line="360" w:lineRule="auto"/>
              <w:jc w:val="center"/>
              <w:rPr>
                <w:rFonts w:ascii="宋体" w:hAnsi="宋体"/>
              </w:rPr>
            </w:pPr>
          </w:p>
        </w:tc>
        <w:tc>
          <w:tcPr>
            <w:tcW w:w="264" w:type="dxa"/>
            <w:tcBorders>
              <w:top w:val="single" w:sz="2" w:space="0" w:color="auto"/>
              <w:left w:val="single" w:sz="2" w:space="0" w:color="auto"/>
              <w:bottom w:val="single" w:sz="2" w:space="0" w:color="auto"/>
              <w:right w:val="single" w:sz="2" w:space="0" w:color="auto"/>
            </w:tcBorders>
            <w:vAlign w:val="center"/>
          </w:tcPr>
          <w:p w14:paraId="413C4F2F">
            <w:pPr>
              <w:spacing w:line="360" w:lineRule="auto"/>
              <w:jc w:val="center"/>
              <w:rPr>
                <w:rFonts w:ascii="宋体" w:hAnsi="宋体"/>
              </w:rPr>
            </w:pPr>
          </w:p>
        </w:tc>
      </w:tr>
    </w:tbl>
    <w:p w14:paraId="32BACC0E">
      <w:pPr>
        <w:spacing w:line="360" w:lineRule="auto"/>
        <w:rPr>
          <w:rFonts w:ascii="宋体" w:hAnsi="宋体"/>
          <w:kern w:val="2"/>
        </w:rPr>
      </w:pPr>
    </w:p>
    <w:p w14:paraId="74E1EA55">
      <w:pPr>
        <w:spacing w:line="360" w:lineRule="auto"/>
        <w:rPr>
          <w:rFonts w:ascii="宋体" w:hAnsi="宋体"/>
          <w:lang w:eastAsia="zh-CN"/>
        </w:rPr>
      </w:pPr>
      <w:r>
        <w:rPr>
          <w:rFonts w:ascii="宋体" w:hAnsi="宋体" w:hint="eastAsia"/>
          <w:lang w:eastAsia="zh-CN"/>
        </w:rPr>
        <w:t>评标委员会成员签名：                           日期：    年   月  日</w:t>
      </w:r>
    </w:p>
    <w:p w14:paraId="4C281FAA">
      <w:pPr>
        <w:spacing w:line="360" w:lineRule="auto"/>
        <w:rPr>
          <w:rFonts w:ascii="宋体" w:hAnsi="宋体"/>
          <w:lang w:eastAsia="zh-CN"/>
        </w:rPr>
      </w:pPr>
    </w:p>
    <w:p w14:paraId="559C006F">
      <w:pPr>
        <w:rPr>
          <w:rFonts w:ascii="宋体" w:hAnsi="宋体"/>
          <w:lang w:eastAsia="zh-CN"/>
        </w:rPr>
      </w:pPr>
      <w:r>
        <w:rPr>
          <w:rFonts w:ascii="宋体" w:hAnsi="宋体" w:hint="eastAsia"/>
          <w:lang w:eastAsia="zh-CN"/>
        </w:rPr>
        <w:br w:type="page"/>
      </w:r>
    </w:p>
    <w:p w14:paraId="4C58E7AB">
      <w:pPr>
        <w:spacing w:line="360" w:lineRule="auto"/>
        <w:rPr>
          <w:rFonts w:ascii="宋体" w:hAnsi="宋体"/>
          <w:lang w:eastAsia="zh-CN"/>
        </w:rPr>
      </w:pPr>
    </w:p>
    <w:p w14:paraId="341D5541">
      <w:pPr>
        <w:rPr>
          <w:rFonts w:ascii="Calibri" w:hAnsi="Calibri"/>
          <w:sz w:val="21"/>
          <w:szCs w:val="22"/>
          <w:lang w:eastAsia="zh-CN"/>
        </w:rPr>
      </w:pPr>
    </w:p>
    <w:p w14:paraId="148EF006">
      <w:pPr>
        <w:pStyle w:val="Heading2"/>
        <w:rPr>
          <w:rFonts w:ascii="宋体" w:hAnsi="宋体"/>
          <w:sz w:val="24"/>
          <w:szCs w:val="24"/>
        </w:rPr>
      </w:pPr>
      <w:r>
        <w:rPr>
          <w:rFonts w:ascii="宋体" w:hAnsi="宋体" w:hint="eastAsia"/>
          <w:sz w:val="24"/>
          <w:szCs w:val="24"/>
        </w:rPr>
        <w:t>附表A-10：评标结果汇总表</w:t>
      </w:r>
    </w:p>
    <w:p w14:paraId="21B1ED35">
      <w:pPr>
        <w:spacing w:line="360" w:lineRule="auto"/>
        <w:jc w:val="center"/>
        <w:rPr>
          <w:rFonts w:ascii="宋体" w:hAnsi="宋体"/>
          <w:b/>
          <w:lang w:eastAsia="zh-CN"/>
        </w:rPr>
      </w:pPr>
      <w:r>
        <w:rPr>
          <w:rFonts w:ascii="宋体" w:hAnsi="宋体" w:hint="eastAsia"/>
          <w:b/>
          <w:lang w:eastAsia="zh-CN"/>
        </w:rPr>
        <w:t>评标结果汇总表</w:t>
      </w:r>
    </w:p>
    <w:p w14:paraId="7B8B585B">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1418"/>
        <w:gridCol w:w="991"/>
        <w:gridCol w:w="1019"/>
        <w:gridCol w:w="1019"/>
        <w:gridCol w:w="1019"/>
        <w:gridCol w:w="1019"/>
        <w:gridCol w:w="1019"/>
        <w:gridCol w:w="1018"/>
      </w:tblGrid>
      <w:tr w14:paraId="53A10C59">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c>
          <w:tcPr>
            <w:tcW w:w="1418" w:type="dxa"/>
            <w:vMerge w:val="restart"/>
            <w:tcBorders>
              <w:top w:val="single" w:sz="2" w:space="0" w:color="auto"/>
              <w:left w:val="single" w:sz="2" w:space="0" w:color="auto"/>
              <w:bottom w:val="single" w:sz="2" w:space="0" w:color="auto"/>
              <w:right w:val="single" w:sz="2" w:space="0" w:color="auto"/>
            </w:tcBorders>
            <w:vAlign w:val="center"/>
          </w:tcPr>
          <w:p w14:paraId="38E05717">
            <w:pPr>
              <w:spacing w:line="360" w:lineRule="auto"/>
              <w:jc w:val="center"/>
              <w:rPr>
                <w:rFonts w:ascii="宋体" w:hAnsi="宋体"/>
              </w:rPr>
            </w:pPr>
            <w:r>
              <w:rPr>
                <w:rFonts w:ascii="宋体" w:hAnsi="宋体" w:hint="eastAsia"/>
              </w:rPr>
              <w:t>评委序号和姓名</w:t>
            </w:r>
          </w:p>
        </w:tc>
        <w:tc>
          <w:tcPr>
            <w:tcW w:w="7104" w:type="dxa"/>
            <w:gridSpan w:val="7"/>
            <w:tcBorders>
              <w:top w:val="single" w:sz="2" w:space="0" w:color="auto"/>
              <w:left w:val="single" w:sz="2" w:space="0" w:color="auto"/>
              <w:bottom w:val="single" w:sz="2" w:space="0" w:color="auto"/>
              <w:right w:val="single" w:sz="2" w:space="0" w:color="auto"/>
            </w:tcBorders>
            <w:vAlign w:val="center"/>
          </w:tcPr>
          <w:p w14:paraId="628EA59A">
            <w:pPr>
              <w:spacing w:line="360" w:lineRule="auto"/>
              <w:jc w:val="center"/>
              <w:rPr>
                <w:rFonts w:ascii="宋体" w:hAnsi="宋体"/>
                <w:lang w:eastAsia="zh-CN"/>
              </w:rPr>
            </w:pPr>
            <w:r>
              <w:rPr>
                <w:rFonts w:ascii="宋体" w:hAnsi="宋体" w:hint="eastAsia"/>
                <w:lang w:eastAsia="zh-CN"/>
              </w:rPr>
              <w:t>投标人名称(或代码)及其得分</w:t>
            </w:r>
          </w:p>
        </w:tc>
      </w:tr>
      <w:tr w14:paraId="43BECF5E">
        <w:tblPrEx>
          <w:tblW w:w="0" w:type="auto"/>
          <w:tblInd w:w="0" w:type="dxa"/>
          <w:tblLayout w:type="fixed"/>
          <w:tblCellMar>
            <w:top w:w="0" w:type="dxa"/>
            <w:left w:w="108" w:type="dxa"/>
            <w:bottom w:w="0" w:type="dxa"/>
            <w:right w:w="108" w:type="dxa"/>
          </w:tblCellMar>
        </w:tblPrEx>
        <w:tc>
          <w:tcPr>
            <w:tcW w:w="1418" w:type="dxa"/>
            <w:vMerge/>
            <w:tcBorders>
              <w:top w:val="single" w:sz="2" w:space="0" w:color="auto"/>
              <w:left w:val="single" w:sz="2" w:space="0" w:color="auto"/>
              <w:bottom w:val="single" w:sz="2" w:space="0" w:color="auto"/>
              <w:right w:val="single" w:sz="2" w:space="0" w:color="auto"/>
            </w:tcBorders>
            <w:vAlign w:val="center"/>
          </w:tcPr>
          <w:p w14:paraId="3561BF41">
            <w:pPr>
              <w:rPr>
                <w:rFonts w:ascii="宋体" w:eastAsia="宋体" w:hAnsi="宋体"/>
                <w:kern w:val="2"/>
                <w:lang w:eastAsia="zh-CN"/>
              </w:rPr>
            </w:pPr>
          </w:p>
        </w:tc>
        <w:tc>
          <w:tcPr>
            <w:tcW w:w="991" w:type="dxa"/>
            <w:tcBorders>
              <w:top w:val="single" w:sz="2" w:space="0" w:color="auto"/>
              <w:left w:val="single" w:sz="2" w:space="0" w:color="auto"/>
              <w:bottom w:val="single" w:sz="2" w:space="0" w:color="auto"/>
              <w:right w:val="single" w:sz="2" w:space="0" w:color="auto"/>
            </w:tcBorders>
            <w:vAlign w:val="center"/>
          </w:tcPr>
          <w:p w14:paraId="15D62B02">
            <w:pPr>
              <w:spacing w:line="360" w:lineRule="auto"/>
              <w:jc w:val="center"/>
              <w:rPr>
                <w:rFonts w:ascii="宋体" w:hAnsi="宋体"/>
                <w:lang w:eastAsia="zh-CN"/>
              </w:rPr>
            </w:pPr>
          </w:p>
        </w:tc>
        <w:tc>
          <w:tcPr>
            <w:tcW w:w="1019" w:type="dxa"/>
            <w:tcBorders>
              <w:top w:val="single" w:sz="2" w:space="0" w:color="auto"/>
              <w:left w:val="single" w:sz="2" w:space="0" w:color="auto"/>
              <w:bottom w:val="single" w:sz="2" w:space="0" w:color="auto"/>
              <w:right w:val="single" w:sz="2" w:space="0" w:color="auto"/>
            </w:tcBorders>
            <w:vAlign w:val="center"/>
          </w:tcPr>
          <w:p w14:paraId="1F2B2277">
            <w:pPr>
              <w:spacing w:line="360" w:lineRule="auto"/>
              <w:jc w:val="center"/>
              <w:rPr>
                <w:rFonts w:ascii="宋体" w:hAnsi="宋体"/>
                <w:lang w:eastAsia="zh-CN"/>
              </w:rPr>
            </w:pPr>
          </w:p>
        </w:tc>
        <w:tc>
          <w:tcPr>
            <w:tcW w:w="1019" w:type="dxa"/>
            <w:tcBorders>
              <w:top w:val="single" w:sz="2" w:space="0" w:color="auto"/>
              <w:left w:val="single" w:sz="2" w:space="0" w:color="auto"/>
              <w:bottom w:val="single" w:sz="2" w:space="0" w:color="auto"/>
              <w:right w:val="single" w:sz="2" w:space="0" w:color="auto"/>
            </w:tcBorders>
            <w:vAlign w:val="center"/>
          </w:tcPr>
          <w:p w14:paraId="42BD4E94">
            <w:pPr>
              <w:spacing w:line="360" w:lineRule="auto"/>
              <w:jc w:val="center"/>
              <w:rPr>
                <w:rFonts w:ascii="宋体" w:hAnsi="宋体"/>
                <w:lang w:eastAsia="zh-CN"/>
              </w:rPr>
            </w:pPr>
          </w:p>
        </w:tc>
        <w:tc>
          <w:tcPr>
            <w:tcW w:w="1019" w:type="dxa"/>
            <w:tcBorders>
              <w:top w:val="single" w:sz="2" w:space="0" w:color="auto"/>
              <w:left w:val="single" w:sz="2" w:space="0" w:color="auto"/>
              <w:bottom w:val="single" w:sz="2" w:space="0" w:color="auto"/>
              <w:right w:val="single" w:sz="2" w:space="0" w:color="auto"/>
            </w:tcBorders>
            <w:vAlign w:val="center"/>
          </w:tcPr>
          <w:p w14:paraId="6B6898F9">
            <w:pPr>
              <w:spacing w:line="360" w:lineRule="auto"/>
              <w:jc w:val="center"/>
              <w:rPr>
                <w:rFonts w:ascii="宋体" w:hAnsi="宋体"/>
                <w:lang w:eastAsia="zh-CN"/>
              </w:rPr>
            </w:pPr>
          </w:p>
        </w:tc>
        <w:tc>
          <w:tcPr>
            <w:tcW w:w="1019" w:type="dxa"/>
            <w:tcBorders>
              <w:top w:val="single" w:sz="2" w:space="0" w:color="auto"/>
              <w:left w:val="single" w:sz="2" w:space="0" w:color="auto"/>
              <w:bottom w:val="single" w:sz="2" w:space="0" w:color="auto"/>
              <w:right w:val="single" w:sz="2" w:space="0" w:color="auto"/>
            </w:tcBorders>
            <w:vAlign w:val="center"/>
          </w:tcPr>
          <w:p w14:paraId="402D471F">
            <w:pPr>
              <w:spacing w:line="360" w:lineRule="auto"/>
              <w:jc w:val="center"/>
              <w:rPr>
                <w:rFonts w:ascii="宋体" w:hAnsi="宋体"/>
                <w:lang w:eastAsia="zh-CN"/>
              </w:rPr>
            </w:pPr>
          </w:p>
        </w:tc>
        <w:tc>
          <w:tcPr>
            <w:tcW w:w="1019" w:type="dxa"/>
            <w:tcBorders>
              <w:top w:val="single" w:sz="2" w:space="0" w:color="auto"/>
              <w:left w:val="single" w:sz="2" w:space="0" w:color="auto"/>
              <w:bottom w:val="single" w:sz="2" w:space="0" w:color="auto"/>
              <w:right w:val="single" w:sz="2" w:space="0" w:color="auto"/>
            </w:tcBorders>
            <w:vAlign w:val="center"/>
          </w:tcPr>
          <w:p w14:paraId="7228EDD1">
            <w:pPr>
              <w:spacing w:line="360" w:lineRule="auto"/>
              <w:jc w:val="center"/>
              <w:rPr>
                <w:rFonts w:ascii="宋体" w:hAnsi="宋体"/>
                <w:lang w:eastAsia="zh-CN"/>
              </w:rPr>
            </w:pPr>
          </w:p>
        </w:tc>
        <w:tc>
          <w:tcPr>
            <w:tcW w:w="1018" w:type="dxa"/>
            <w:tcBorders>
              <w:top w:val="single" w:sz="2" w:space="0" w:color="auto"/>
              <w:left w:val="single" w:sz="2" w:space="0" w:color="auto"/>
              <w:bottom w:val="single" w:sz="2" w:space="0" w:color="auto"/>
              <w:right w:val="single" w:sz="2" w:space="0" w:color="auto"/>
            </w:tcBorders>
            <w:vAlign w:val="center"/>
          </w:tcPr>
          <w:p w14:paraId="279BDDBC">
            <w:pPr>
              <w:spacing w:line="360" w:lineRule="auto"/>
              <w:jc w:val="center"/>
              <w:rPr>
                <w:rFonts w:ascii="宋体" w:hAnsi="宋体"/>
                <w:lang w:eastAsia="zh-CN"/>
              </w:rPr>
            </w:pPr>
          </w:p>
        </w:tc>
      </w:tr>
      <w:tr w14:paraId="32DFF780">
        <w:tblPrEx>
          <w:tblW w:w="0" w:type="auto"/>
          <w:tblInd w:w="0" w:type="dxa"/>
          <w:tblLayout w:type="fixed"/>
          <w:tblCellMar>
            <w:top w:w="0" w:type="dxa"/>
            <w:left w:w="108" w:type="dxa"/>
            <w:bottom w:w="0" w:type="dxa"/>
            <w:right w:w="108" w:type="dxa"/>
          </w:tblCellMar>
        </w:tblPrEx>
        <w:tc>
          <w:tcPr>
            <w:tcW w:w="1418" w:type="dxa"/>
            <w:tcBorders>
              <w:top w:val="single" w:sz="2" w:space="0" w:color="auto"/>
              <w:left w:val="single" w:sz="2" w:space="0" w:color="auto"/>
              <w:bottom w:val="single" w:sz="2" w:space="0" w:color="auto"/>
              <w:right w:val="single" w:sz="2" w:space="0" w:color="auto"/>
            </w:tcBorders>
            <w:vAlign w:val="center"/>
          </w:tcPr>
          <w:p w14:paraId="58EC5717">
            <w:pPr>
              <w:spacing w:line="360" w:lineRule="auto"/>
              <w:rPr>
                <w:rFonts w:ascii="宋体" w:hAnsi="宋体"/>
              </w:rPr>
            </w:pPr>
            <w:r>
              <w:rPr>
                <w:rFonts w:ascii="宋体" w:hAnsi="宋体" w:hint="eastAsia"/>
              </w:rPr>
              <w:t>1:</w:t>
            </w:r>
          </w:p>
        </w:tc>
        <w:tc>
          <w:tcPr>
            <w:tcW w:w="991" w:type="dxa"/>
            <w:tcBorders>
              <w:top w:val="single" w:sz="2" w:space="0" w:color="auto"/>
              <w:left w:val="single" w:sz="2" w:space="0" w:color="auto"/>
              <w:bottom w:val="single" w:sz="2" w:space="0" w:color="auto"/>
              <w:right w:val="single" w:sz="2" w:space="0" w:color="auto"/>
            </w:tcBorders>
            <w:vAlign w:val="center"/>
          </w:tcPr>
          <w:p w14:paraId="0D705473">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6233077D">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4850A6BC">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447CBCC4">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201188DB">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4C626A7B">
            <w:pPr>
              <w:spacing w:line="360" w:lineRule="auto"/>
              <w:jc w:val="center"/>
              <w:rPr>
                <w:rFonts w:ascii="宋体" w:hAnsi="宋体"/>
              </w:rPr>
            </w:pPr>
          </w:p>
        </w:tc>
        <w:tc>
          <w:tcPr>
            <w:tcW w:w="1018" w:type="dxa"/>
            <w:tcBorders>
              <w:top w:val="single" w:sz="2" w:space="0" w:color="auto"/>
              <w:left w:val="single" w:sz="2" w:space="0" w:color="auto"/>
              <w:bottom w:val="single" w:sz="2" w:space="0" w:color="auto"/>
              <w:right w:val="single" w:sz="2" w:space="0" w:color="auto"/>
            </w:tcBorders>
            <w:vAlign w:val="center"/>
          </w:tcPr>
          <w:p w14:paraId="67D13E8F">
            <w:pPr>
              <w:spacing w:line="360" w:lineRule="auto"/>
              <w:jc w:val="center"/>
              <w:rPr>
                <w:rFonts w:ascii="宋体" w:hAnsi="宋体"/>
              </w:rPr>
            </w:pPr>
          </w:p>
        </w:tc>
      </w:tr>
      <w:tr w14:paraId="396CBFBC">
        <w:tblPrEx>
          <w:tblW w:w="0" w:type="auto"/>
          <w:tblInd w:w="0" w:type="dxa"/>
          <w:tblLayout w:type="fixed"/>
          <w:tblCellMar>
            <w:top w:w="0" w:type="dxa"/>
            <w:left w:w="108" w:type="dxa"/>
            <w:bottom w:w="0" w:type="dxa"/>
            <w:right w:w="108" w:type="dxa"/>
          </w:tblCellMar>
        </w:tblPrEx>
        <w:tc>
          <w:tcPr>
            <w:tcW w:w="1418" w:type="dxa"/>
            <w:tcBorders>
              <w:top w:val="single" w:sz="2" w:space="0" w:color="auto"/>
              <w:left w:val="single" w:sz="2" w:space="0" w:color="auto"/>
              <w:bottom w:val="single" w:sz="2" w:space="0" w:color="auto"/>
              <w:right w:val="single" w:sz="2" w:space="0" w:color="auto"/>
            </w:tcBorders>
            <w:vAlign w:val="center"/>
          </w:tcPr>
          <w:p w14:paraId="5FF4D51E">
            <w:pPr>
              <w:spacing w:line="360" w:lineRule="auto"/>
              <w:rPr>
                <w:rFonts w:ascii="宋体" w:hAnsi="宋体"/>
              </w:rPr>
            </w:pPr>
            <w:r>
              <w:rPr>
                <w:rFonts w:ascii="宋体" w:hAnsi="宋体" w:hint="eastAsia"/>
              </w:rPr>
              <w:t>2:</w:t>
            </w:r>
          </w:p>
        </w:tc>
        <w:tc>
          <w:tcPr>
            <w:tcW w:w="991" w:type="dxa"/>
            <w:tcBorders>
              <w:top w:val="single" w:sz="2" w:space="0" w:color="auto"/>
              <w:left w:val="single" w:sz="2" w:space="0" w:color="auto"/>
              <w:bottom w:val="single" w:sz="2" w:space="0" w:color="auto"/>
              <w:right w:val="single" w:sz="2" w:space="0" w:color="auto"/>
            </w:tcBorders>
            <w:vAlign w:val="center"/>
          </w:tcPr>
          <w:p w14:paraId="79456E80">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1F653461">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2D2CEFC5">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21B5D5BC">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0D23A94D">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0BFA1171">
            <w:pPr>
              <w:spacing w:line="360" w:lineRule="auto"/>
              <w:jc w:val="center"/>
              <w:rPr>
                <w:rFonts w:ascii="宋体" w:hAnsi="宋体"/>
              </w:rPr>
            </w:pPr>
          </w:p>
        </w:tc>
        <w:tc>
          <w:tcPr>
            <w:tcW w:w="1018" w:type="dxa"/>
            <w:tcBorders>
              <w:top w:val="single" w:sz="2" w:space="0" w:color="auto"/>
              <w:left w:val="single" w:sz="2" w:space="0" w:color="auto"/>
              <w:bottom w:val="single" w:sz="2" w:space="0" w:color="auto"/>
              <w:right w:val="single" w:sz="2" w:space="0" w:color="auto"/>
            </w:tcBorders>
            <w:vAlign w:val="center"/>
          </w:tcPr>
          <w:p w14:paraId="63409234">
            <w:pPr>
              <w:spacing w:line="360" w:lineRule="auto"/>
              <w:jc w:val="center"/>
              <w:rPr>
                <w:rFonts w:ascii="宋体" w:hAnsi="宋体"/>
              </w:rPr>
            </w:pPr>
          </w:p>
        </w:tc>
      </w:tr>
      <w:tr w14:paraId="5DE361FA">
        <w:tblPrEx>
          <w:tblW w:w="0" w:type="auto"/>
          <w:tblInd w:w="0" w:type="dxa"/>
          <w:tblLayout w:type="fixed"/>
          <w:tblCellMar>
            <w:top w:w="0" w:type="dxa"/>
            <w:left w:w="108" w:type="dxa"/>
            <w:bottom w:w="0" w:type="dxa"/>
            <w:right w:w="108" w:type="dxa"/>
          </w:tblCellMar>
        </w:tblPrEx>
        <w:tc>
          <w:tcPr>
            <w:tcW w:w="1418" w:type="dxa"/>
            <w:tcBorders>
              <w:top w:val="single" w:sz="2" w:space="0" w:color="auto"/>
              <w:left w:val="single" w:sz="2" w:space="0" w:color="auto"/>
              <w:bottom w:val="single" w:sz="2" w:space="0" w:color="auto"/>
              <w:right w:val="single" w:sz="2" w:space="0" w:color="auto"/>
            </w:tcBorders>
            <w:vAlign w:val="center"/>
          </w:tcPr>
          <w:p w14:paraId="09562E0A">
            <w:pPr>
              <w:spacing w:line="360" w:lineRule="auto"/>
              <w:rPr>
                <w:rFonts w:ascii="宋体" w:hAnsi="宋体"/>
              </w:rPr>
            </w:pPr>
            <w:r>
              <w:rPr>
                <w:rFonts w:ascii="宋体" w:hAnsi="宋体" w:hint="eastAsia"/>
              </w:rPr>
              <w:t>3:</w:t>
            </w:r>
          </w:p>
        </w:tc>
        <w:tc>
          <w:tcPr>
            <w:tcW w:w="991" w:type="dxa"/>
            <w:tcBorders>
              <w:top w:val="single" w:sz="2" w:space="0" w:color="auto"/>
              <w:left w:val="single" w:sz="2" w:space="0" w:color="auto"/>
              <w:bottom w:val="single" w:sz="2" w:space="0" w:color="auto"/>
              <w:right w:val="single" w:sz="2" w:space="0" w:color="auto"/>
            </w:tcBorders>
            <w:vAlign w:val="center"/>
          </w:tcPr>
          <w:p w14:paraId="75AAB7AF">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2E6F97E2">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66453FD0">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41DCF488">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56ECD43D">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59C90D16">
            <w:pPr>
              <w:spacing w:line="360" w:lineRule="auto"/>
              <w:jc w:val="center"/>
              <w:rPr>
                <w:rFonts w:ascii="宋体" w:hAnsi="宋体"/>
              </w:rPr>
            </w:pPr>
          </w:p>
        </w:tc>
        <w:tc>
          <w:tcPr>
            <w:tcW w:w="1018" w:type="dxa"/>
            <w:tcBorders>
              <w:top w:val="single" w:sz="2" w:space="0" w:color="auto"/>
              <w:left w:val="single" w:sz="2" w:space="0" w:color="auto"/>
              <w:bottom w:val="single" w:sz="2" w:space="0" w:color="auto"/>
              <w:right w:val="single" w:sz="2" w:space="0" w:color="auto"/>
            </w:tcBorders>
            <w:vAlign w:val="center"/>
          </w:tcPr>
          <w:p w14:paraId="4F6573FF">
            <w:pPr>
              <w:spacing w:line="360" w:lineRule="auto"/>
              <w:jc w:val="center"/>
              <w:rPr>
                <w:rFonts w:ascii="宋体" w:hAnsi="宋体"/>
              </w:rPr>
            </w:pPr>
          </w:p>
        </w:tc>
      </w:tr>
      <w:tr w14:paraId="5896C014">
        <w:tblPrEx>
          <w:tblW w:w="0" w:type="auto"/>
          <w:tblInd w:w="0" w:type="dxa"/>
          <w:tblLayout w:type="fixed"/>
          <w:tblCellMar>
            <w:top w:w="0" w:type="dxa"/>
            <w:left w:w="108" w:type="dxa"/>
            <w:bottom w:w="0" w:type="dxa"/>
            <w:right w:w="108" w:type="dxa"/>
          </w:tblCellMar>
        </w:tblPrEx>
        <w:tc>
          <w:tcPr>
            <w:tcW w:w="1418" w:type="dxa"/>
            <w:tcBorders>
              <w:top w:val="single" w:sz="2" w:space="0" w:color="auto"/>
              <w:left w:val="single" w:sz="2" w:space="0" w:color="auto"/>
              <w:bottom w:val="single" w:sz="2" w:space="0" w:color="auto"/>
              <w:right w:val="single" w:sz="2" w:space="0" w:color="auto"/>
            </w:tcBorders>
            <w:vAlign w:val="center"/>
          </w:tcPr>
          <w:p w14:paraId="6EFB6104">
            <w:pPr>
              <w:spacing w:line="360" w:lineRule="auto"/>
              <w:rPr>
                <w:rFonts w:ascii="宋体" w:hAnsi="宋体"/>
              </w:rPr>
            </w:pPr>
            <w:r>
              <w:rPr>
                <w:rFonts w:ascii="宋体" w:hAnsi="宋体" w:hint="eastAsia"/>
              </w:rPr>
              <w:t>4:</w:t>
            </w:r>
          </w:p>
        </w:tc>
        <w:tc>
          <w:tcPr>
            <w:tcW w:w="991" w:type="dxa"/>
            <w:tcBorders>
              <w:top w:val="single" w:sz="2" w:space="0" w:color="auto"/>
              <w:left w:val="single" w:sz="2" w:space="0" w:color="auto"/>
              <w:bottom w:val="single" w:sz="2" w:space="0" w:color="auto"/>
              <w:right w:val="single" w:sz="2" w:space="0" w:color="auto"/>
            </w:tcBorders>
            <w:vAlign w:val="center"/>
          </w:tcPr>
          <w:p w14:paraId="2FCF79CE">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5565A93A">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6B82ED14">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01731817">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16D7F8A9">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3FF48934">
            <w:pPr>
              <w:spacing w:line="360" w:lineRule="auto"/>
              <w:jc w:val="center"/>
              <w:rPr>
                <w:rFonts w:ascii="宋体" w:hAnsi="宋体"/>
              </w:rPr>
            </w:pPr>
          </w:p>
        </w:tc>
        <w:tc>
          <w:tcPr>
            <w:tcW w:w="1018" w:type="dxa"/>
            <w:tcBorders>
              <w:top w:val="single" w:sz="2" w:space="0" w:color="auto"/>
              <w:left w:val="single" w:sz="2" w:space="0" w:color="auto"/>
              <w:bottom w:val="single" w:sz="2" w:space="0" w:color="auto"/>
              <w:right w:val="single" w:sz="2" w:space="0" w:color="auto"/>
            </w:tcBorders>
            <w:vAlign w:val="center"/>
          </w:tcPr>
          <w:p w14:paraId="751AEAD4">
            <w:pPr>
              <w:spacing w:line="360" w:lineRule="auto"/>
              <w:jc w:val="center"/>
              <w:rPr>
                <w:rFonts w:ascii="宋体" w:hAnsi="宋体"/>
              </w:rPr>
            </w:pPr>
          </w:p>
        </w:tc>
      </w:tr>
      <w:tr w14:paraId="3D806A88">
        <w:tblPrEx>
          <w:tblW w:w="0" w:type="auto"/>
          <w:tblInd w:w="0" w:type="dxa"/>
          <w:tblLayout w:type="fixed"/>
          <w:tblCellMar>
            <w:top w:w="0" w:type="dxa"/>
            <w:left w:w="108" w:type="dxa"/>
            <w:bottom w:w="0" w:type="dxa"/>
            <w:right w:w="108" w:type="dxa"/>
          </w:tblCellMar>
        </w:tblPrEx>
        <w:tc>
          <w:tcPr>
            <w:tcW w:w="1418" w:type="dxa"/>
            <w:tcBorders>
              <w:top w:val="single" w:sz="2" w:space="0" w:color="auto"/>
              <w:left w:val="single" w:sz="2" w:space="0" w:color="auto"/>
              <w:bottom w:val="single" w:sz="2" w:space="0" w:color="auto"/>
              <w:right w:val="single" w:sz="2" w:space="0" w:color="auto"/>
            </w:tcBorders>
            <w:vAlign w:val="center"/>
          </w:tcPr>
          <w:p w14:paraId="1057A7E5">
            <w:pPr>
              <w:spacing w:line="360" w:lineRule="auto"/>
              <w:rPr>
                <w:rFonts w:ascii="宋体" w:hAnsi="宋体"/>
              </w:rPr>
            </w:pPr>
            <w:r>
              <w:rPr>
                <w:rFonts w:ascii="宋体" w:hAnsi="宋体" w:hint="eastAsia"/>
              </w:rPr>
              <w:t>5:</w:t>
            </w:r>
          </w:p>
        </w:tc>
        <w:tc>
          <w:tcPr>
            <w:tcW w:w="991" w:type="dxa"/>
            <w:tcBorders>
              <w:top w:val="single" w:sz="2" w:space="0" w:color="auto"/>
              <w:left w:val="single" w:sz="2" w:space="0" w:color="auto"/>
              <w:bottom w:val="single" w:sz="2" w:space="0" w:color="auto"/>
              <w:right w:val="single" w:sz="2" w:space="0" w:color="auto"/>
            </w:tcBorders>
            <w:vAlign w:val="center"/>
          </w:tcPr>
          <w:p w14:paraId="4074FCC0">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42C947F7">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30F37B42">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182ADE93">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2703D714">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5DBAAA50">
            <w:pPr>
              <w:spacing w:line="360" w:lineRule="auto"/>
              <w:jc w:val="center"/>
              <w:rPr>
                <w:rFonts w:ascii="宋体" w:hAnsi="宋体"/>
              </w:rPr>
            </w:pPr>
          </w:p>
        </w:tc>
        <w:tc>
          <w:tcPr>
            <w:tcW w:w="1018" w:type="dxa"/>
            <w:tcBorders>
              <w:top w:val="single" w:sz="2" w:space="0" w:color="auto"/>
              <w:left w:val="single" w:sz="2" w:space="0" w:color="auto"/>
              <w:bottom w:val="single" w:sz="2" w:space="0" w:color="auto"/>
              <w:right w:val="single" w:sz="2" w:space="0" w:color="auto"/>
            </w:tcBorders>
            <w:vAlign w:val="center"/>
          </w:tcPr>
          <w:p w14:paraId="3C28A5CD">
            <w:pPr>
              <w:spacing w:line="360" w:lineRule="auto"/>
              <w:jc w:val="center"/>
              <w:rPr>
                <w:rFonts w:ascii="宋体" w:hAnsi="宋体"/>
              </w:rPr>
            </w:pPr>
          </w:p>
        </w:tc>
      </w:tr>
      <w:tr w14:paraId="2F9FE9FF">
        <w:tblPrEx>
          <w:tblW w:w="0" w:type="auto"/>
          <w:tblInd w:w="0" w:type="dxa"/>
          <w:tblLayout w:type="fixed"/>
          <w:tblCellMar>
            <w:top w:w="0" w:type="dxa"/>
            <w:left w:w="108" w:type="dxa"/>
            <w:bottom w:w="0" w:type="dxa"/>
            <w:right w:w="108" w:type="dxa"/>
          </w:tblCellMar>
        </w:tblPrEx>
        <w:tc>
          <w:tcPr>
            <w:tcW w:w="1418" w:type="dxa"/>
            <w:tcBorders>
              <w:top w:val="single" w:sz="2" w:space="0" w:color="auto"/>
              <w:left w:val="single" w:sz="2" w:space="0" w:color="auto"/>
              <w:bottom w:val="single" w:sz="2" w:space="0" w:color="auto"/>
              <w:right w:val="single" w:sz="2" w:space="0" w:color="auto"/>
            </w:tcBorders>
            <w:vAlign w:val="center"/>
          </w:tcPr>
          <w:p w14:paraId="4919C919">
            <w:pPr>
              <w:spacing w:line="360" w:lineRule="auto"/>
              <w:rPr>
                <w:rFonts w:ascii="宋体" w:hAnsi="宋体"/>
              </w:rPr>
            </w:pPr>
            <w:r>
              <w:rPr>
                <w:rFonts w:ascii="宋体" w:hAnsi="宋体" w:hint="eastAsia"/>
              </w:rPr>
              <w:t>6:</w:t>
            </w:r>
          </w:p>
        </w:tc>
        <w:tc>
          <w:tcPr>
            <w:tcW w:w="991" w:type="dxa"/>
            <w:tcBorders>
              <w:top w:val="single" w:sz="2" w:space="0" w:color="auto"/>
              <w:left w:val="single" w:sz="2" w:space="0" w:color="auto"/>
              <w:bottom w:val="single" w:sz="2" w:space="0" w:color="auto"/>
              <w:right w:val="single" w:sz="2" w:space="0" w:color="auto"/>
            </w:tcBorders>
            <w:vAlign w:val="center"/>
          </w:tcPr>
          <w:p w14:paraId="39E356D1">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07DBEC15">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43E85BE0">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199E707F">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314D7C84">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299D8EA6">
            <w:pPr>
              <w:spacing w:line="360" w:lineRule="auto"/>
              <w:jc w:val="center"/>
              <w:rPr>
                <w:rFonts w:ascii="宋体" w:hAnsi="宋体"/>
              </w:rPr>
            </w:pPr>
          </w:p>
        </w:tc>
        <w:tc>
          <w:tcPr>
            <w:tcW w:w="1018" w:type="dxa"/>
            <w:tcBorders>
              <w:top w:val="single" w:sz="2" w:space="0" w:color="auto"/>
              <w:left w:val="single" w:sz="2" w:space="0" w:color="auto"/>
              <w:bottom w:val="single" w:sz="2" w:space="0" w:color="auto"/>
              <w:right w:val="single" w:sz="2" w:space="0" w:color="auto"/>
            </w:tcBorders>
            <w:vAlign w:val="center"/>
          </w:tcPr>
          <w:p w14:paraId="610485A2">
            <w:pPr>
              <w:spacing w:line="360" w:lineRule="auto"/>
              <w:jc w:val="center"/>
              <w:rPr>
                <w:rFonts w:ascii="宋体" w:hAnsi="宋体"/>
              </w:rPr>
            </w:pPr>
          </w:p>
        </w:tc>
      </w:tr>
      <w:tr w14:paraId="0B1CD81C">
        <w:tblPrEx>
          <w:tblW w:w="0" w:type="auto"/>
          <w:tblInd w:w="0" w:type="dxa"/>
          <w:tblLayout w:type="fixed"/>
          <w:tblCellMar>
            <w:top w:w="0" w:type="dxa"/>
            <w:left w:w="108" w:type="dxa"/>
            <w:bottom w:w="0" w:type="dxa"/>
            <w:right w:w="108" w:type="dxa"/>
          </w:tblCellMar>
        </w:tblPrEx>
        <w:tc>
          <w:tcPr>
            <w:tcW w:w="1418" w:type="dxa"/>
            <w:tcBorders>
              <w:top w:val="single" w:sz="2" w:space="0" w:color="auto"/>
              <w:left w:val="single" w:sz="2" w:space="0" w:color="auto"/>
              <w:bottom w:val="single" w:sz="2" w:space="0" w:color="auto"/>
              <w:right w:val="single" w:sz="2" w:space="0" w:color="auto"/>
            </w:tcBorders>
            <w:vAlign w:val="center"/>
          </w:tcPr>
          <w:p w14:paraId="0A4B1806">
            <w:pPr>
              <w:spacing w:line="360" w:lineRule="auto"/>
              <w:rPr>
                <w:rFonts w:ascii="宋体" w:hAnsi="宋体"/>
              </w:rPr>
            </w:pPr>
            <w:r>
              <w:rPr>
                <w:rFonts w:ascii="宋体" w:hAnsi="宋体" w:hint="eastAsia"/>
              </w:rPr>
              <w:t>7:</w:t>
            </w:r>
          </w:p>
        </w:tc>
        <w:tc>
          <w:tcPr>
            <w:tcW w:w="991" w:type="dxa"/>
            <w:tcBorders>
              <w:top w:val="single" w:sz="2" w:space="0" w:color="auto"/>
              <w:left w:val="single" w:sz="2" w:space="0" w:color="auto"/>
              <w:bottom w:val="single" w:sz="2" w:space="0" w:color="auto"/>
              <w:right w:val="single" w:sz="2" w:space="0" w:color="auto"/>
            </w:tcBorders>
            <w:vAlign w:val="center"/>
          </w:tcPr>
          <w:p w14:paraId="10153E0C">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10825F42">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2A137B1D">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38605658">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61A065D1">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2E3DE503">
            <w:pPr>
              <w:spacing w:line="360" w:lineRule="auto"/>
              <w:jc w:val="center"/>
              <w:rPr>
                <w:rFonts w:ascii="宋体" w:hAnsi="宋体"/>
              </w:rPr>
            </w:pPr>
          </w:p>
        </w:tc>
        <w:tc>
          <w:tcPr>
            <w:tcW w:w="1018" w:type="dxa"/>
            <w:tcBorders>
              <w:top w:val="single" w:sz="2" w:space="0" w:color="auto"/>
              <w:left w:val="single" w:sz="2" w:space="0" w:color="auto"/>
              <w:bottom w:val="single" w:sz="2" w:space="0" w:color="auto"/>
              <w:right w:val="single" w:sz="2" w:space="0" w:color="auto"/>
            </w:tcBorders>
            <w:vAlign w:val="center"/>
          </w:tcPr>
          <w:p w14:paraId="079D2463">
            <w:pPr>
              <w:spacing w:line="360" w:lineRule="auto"/>
              <w:jc w:val="center"/>
              <w:rPr>
                <w:rFonts w:ascii="宋体" w:hAnsi="宋体"/>
              </w:rPr>
            </w:pPr>
          </w:p>
        </w:tc>
      </w:tr>
      <w:tr w14:paraId="08BEE182">
        <w:tblPrEx>
          <w:tblW w:w="0" w:type="auto"/>
          <w:tblInd w:w="0" w:type="dxa"/>
          <w:tblLayout w:type="fixed"/>
          <w:tblCellMar>
            <w:top w:w="0" w:type="dxa"/>
            <w:left w:w="108" w:type="dxa"/>
            <w:bottom w:w="0" w:type="dxa"/>
            <w:right w:w="108" w:type="dxa"/>
          </w:tblCellMar>
        </w:tblPrEx>
        <w:tc>
          <w:tcPr>
            <w:tcW w:w="1418" w:type="dxa"/>
            <w:tcBorders>
              <w:top w:val="single" w:sz="2" w:space="0" w:color="auto"/>
              <w:left w:val="single" w:sz="2" w:space="0" w:color="auto"/>
              <w:bottom w:val="single" w:sz="2" w:space="0" w:color="auto"/>
              <w:right w:val="single" w:sz="2" w:space="0" w:color="auto"/>
            </w:tcBorders>
            <w:vAlign w:val="center"/>
          </w:tcPr>
          <w:p w14:paraId="6475BF82">
            <w:pPr>
              <w:spacing w:line="360" w:lineRule="auto"/>
              <w:jc w:val="center"/>
              <w:rPr>
                <w:rFonts w:ascii="宋体" w:hAnsi="宋体"/>
              </w:rPr>
            </w:pPr>
            <w:r>
              <w:rPr>
                <w:rFonts w:ascii="宋体" w:hAnsi="宋体" w:hint="eastAsia"/>
              </w:rPr>
              <w:t>各评委评分合计</w:t>
            </w:r>
          </w:p>
        </w:tc>
        <w:tc>
          <w:tcPr>
            <w:tcW w:w="991" w:type="dxa"/>
            <w:tcBorders>
              <w:top w:val="single" w:sz="2" w:space="0" w:color="auto"/>
              <w:left w:val="single" w:sz="2" w:space="0" w:color="auto"/>
              <w:bottom w:val="single" w:sz="2" w:space="0" w:color="auto"/>
              <w:right w:val="single" w:sz="2" w:space="0" w:color="auto"/>
            </w:tcBorders>
            <w:vAlign w:val="center"/>
          </w:tcPr>
          <w:p w14:paraId="7800B3B6">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50324B80">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6F4491C0">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3B40066A">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08F24179">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5C59EC1A">
            <w:pPr>
              <w:spacing w:line="360" w:lineRule="auto"/>
              <w:jc w:val="center"/>
              <w:rPr>
                <w:rFonts w:ascii="宋体" w:hAnsi="宋体"/>
              </w:rPr>
            </w:pPr>
          </w:p>
        </w:tc>
        <w:tc>
          <w:tcPr>
            <w:tcW w:w="1018" w:type="dxa"/>
            <w:tcBorders>
              <w:top w:val="single" w:sz="2" w:space="0" w:color="auto"/>
              <w:left w:val="single" w:sz="2" w:space="0" w:color="auto"/>
              <w:bottom w:val="single" w:sz="2" w:space="0" w:color="auto"/>
              <w:right w:val="single" w:sz="2" w:space="0" w:color="auto"/>
            </w:tcBorders>
            <w:vAlign w:val="center"/>
          </w:tcPr>
          <w:p w14:paraId="1BE1A27C">
            <w:pPr>
              <w:spacing w:line="360" w:lineRule="auto"/>
              <w:jc w:val="center"/>
              <w:rPr>
                <w:rFonts w:ascii="宋体" w:hAnsi="宋体"/>
              </w:rPr>
            </w:pPr>
          </w:p>
        </w:tc>
      </w:tr>
      <w:tr w14:paraId="6CFF3E6C">
        <w:tblPrEx>
          <w:tblW w:w="0" w:type="auto"/>
          <w:tblInd w:w="0" w:type="dxa"/>
          <w:tblLayout w:type="fixed"/>
          <w:tblCellMar>
            <w:top w:w="0" w:type="dxa"/>
            <w:left w:w="108" w:type="dxa"/>
            <w:bottom w:w="0" w:type="dxa"/>
            <w:right w:w="108" w:type="dxa"/>
          </w:tblCellMar>
        </w:tblPrEx>
        <w:tc>
          <w:tcPr>
            <w:tcW w:w="1418" w:type="dxa"/>
            <w:tcBorders>
              <w:top w:val="single" w:sz="2" w:space="0" w:color="auto"/>
              <w:left w:val="single" w:sz="2" w:space="0" w:color="auto"/>
              <w:bottom w:val="single" w:sz="2" w:space="0" w:color="auto"/>
              <w:right w:val="single" w:sz="2" w:space="0" w:color="auto"/>
            </w:tcBorders>
            <w:vAlign w:val="center"/>
          </w:tcPr>
          <w:p w14:paraId="245C339D">
            <w:pPr>
              <w:spacing w:line="360" w:lineRule="auto"/>
              <w:jc w:val="center"/>
              <w:rPr>
                <w:rFonts w:ascii="宋体" w:hAnsi="宋体"/>
              </w:rPr>
            </w:pPr>
            <w:r>
              <w:rPr>
                <w:rFonts w:ascii="宋体" w:hAnsi="宋体" w:hint="eastAsia"/>
              </w:rPr>
              <w:t>各评委评分平均值</w:t>
            </w:r>
          </w:p>
        </w:tc>
        <w:tc>
          <w:tcPr>
            <w:tcW w:w="991" w:type="dxa"/>
            <w:tcBorders>
              <w:top w:val="single" w:sz="2" w:space="0" w:color="auto"/>
              <w:left w:val="single" w:sz="2" w:space="0" w:color="auto"/>
              <w:bottom w:val="single" w:sz="2" w:space="0" w:color="auto"/>
              <w:right w:val="single" w:sz="2" w:space="0" w:color="auto"/>
            </w:tcBorders>
            <w:vAlign w:val="center"/>
          </w:tcPr>
          <w:p w14:paraId="4AF51726">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56C6F3D8">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58AF277C">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04C98FC3">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58308FB2">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1322F87C">
            <w:pPr>
              <w:spacing w:line="360" w:lineRule="auto"/>
              <w:jc w:val="center"/>
              <w:rPr>
                <w:rFonts w:ascii="宋体" w:hAnsi="宋体"/>
              </w:rPr>
            </w:pPr>
          </w:p>
        </w:tc>
        <w:tc>
          <w:tcPr>
            <w:tcW w:w="1018" w:type="dxa"/>
            <w:tcBorders>
              <w:top w:val="single" w:sz="2" w:space="0" w:color="auto"/>
              <w:left w:val="single" w:sz="2" w:space="0" w:color="auto"/>
              <w:bottom w:val="single" w:sz="2" w:space="0" w:color="auto"/>
              <w:right w:val="single" w:sz="2" w:space="0" w:color="auto"/>
            </w:tcBorders>
            <w:vAlign w:val="center"/>
          </w:tcPr>
          <w:p w14:paraId="5C7677F4">
            <w:pPr>
              <w:spacing w:line="360" w:lineRule="auto"/>
              <w:jc w:val="center"/>
              <w:rPr>
                <w:rFonts w:ascii="宋体" w:hAnsi="宋体"/>
              </w:rPr>
            </w:pPr>
          </w:p>
        </w:tc>
      </w:tr>
      <w:tr w14:paraId="65CE1758">
        <w:tblPrEx>
          <w:tblW w:w="0" w:type="auto"/>
          <w:tblInd w:w="0" w:type="dxa"/>
          <w:tblLayout w:type="fixed"/>
          <w:tblCellMar>
            <w:top w:w="0" w:type="dxa"/>
            <w:left w:w="108" w:type="dxa"/>
            <w:bottom w:w="0" w:type="dxa"/>
            <w:right w:w="108" w:type="dxa"/>
          </w:tblCellMar>
        </w:tblPrEx>
        <w:tc>
          <w:tcPr>
            <w:tcW w:w="1418" w:type="dxa"/>
            <w:tcBorders>
              <w:top w:val="single" w:sz="2" w:space="0" w:color="auto"/>
              <w:left w:val="single" w:sz="2" w:space="0" w:color="auto"/>
              <w:bottom w:val="single" w:sz="2" w:space="0" w:color="auto"/>
              <w:right w:val="single" w:sz="2" w:space="0" w:color="auto"/>
            </w:tcBorders>
            <w:vAlign w:val="center"/>
          </w:tcPr>
          <w:p w14:paraId="29E4C4A7">
            <w:pPr>
              <w:spacing w:line="360" w:lineRule="auto"/>
              <w:jc w:val="center"/>
              <w:rPr>
                <w:rFonts w:ascii="宋体" w:hAnsi="宋体"/>
              </w:rPr>
            </w:pPr>
            <w:r>
              <w:rPr>
                <w:rFonts w:ascii="宋体" w:hAnsi="宋体" w:hint="eastAsia"/>
              </w:rPr>
              <w:t>投标人最终排名次序</w:t>
            </w:r>
          </w:p>
        </w:tc>
        <w:tc>
          <w:tcPr>
            <w:tcW w:w="991" w:type="dxa"/>
            <w:tcBorders>
              <w:top w:val="single" w:sz="2" w:space="0" w:color="auto"/>
              <w:left w:val="single" w:sz="2" w:space="0" w:color="auto"/>
              <w:bottom w:val="single" w:sz="2" w:space="0" w:color="auto"/>
              <w:right w:val="single" w:sz="2" w:space="0" w:color="auto"/>
            </w:tcBorders>
            <w:vAlign w:val="center"/>
          </w:tcPr>
          <w:p w14:paraId="2860B6AC">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115C9AF7">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7B372EC9">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146A5FEF">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0406B07A">
            <w:pPr>
              <w:spacing w:line="360" w:lineRule="auto"/>
              <w:jc w:val="center"/>
              <w:rPr>
                <w:rFonts w:ascii="宋体" w:hAnsi="宋体"/>
              </w:rPr>
            </w:pPr>
          </w:p>
        </w:tc>
        <w:tc>
          <w:tcPr>
            <w:tcW w:w="1019" w:type="dxa"/>
            <w:tcBorders>
              <w:top w:val="single" w:sz="2" w:space="0" w:color="auto"/>
              <w:left w:val="single" w:sz="2" w:space="0" w:color="auto"/>
              <w:bottom w:val="single" w:sz="2" w:space="0" w:color="auto"/>
              <w:right w:val="single" w:sz="2" w:space="0" w:color="auto"/>
            </w:tcBorders>
            <w:vAlign w:val="center"/>
          </w:tcPr>
          <w:p w14:paraId="298B0DA9">
            <w:pPr>
              <w:spacing w:line="360" w:lineRule="auto"/>
              <w:jc w:val="center"/>
              <w:rPr>
                <w:rFonts w:ascii="宋体" w:hAnsi="宋体"/>
              </w:rPr>
            </w:pPr>
          </w:p>
        </w:tc>
        <w:tc>
          <w:tcPr>
            <w:tcW w:w="1018" w:type="dxa"/>
            <w:tcBorders>
              <w:top w:val="single" w:sz="2" w:space="0" w:color="auto"/>
              <w:left w:val="single" w:sz="2" w:space="0" w:color="auto"/>
              <w:bottom w:val="single" w:sz="2" w:space="0" w:color="auto"/>
              <w:right w:val="single" w:sz="2" w:space="0" w:color="auto"/>
            </w:tcBorders>
            <w:vAlign w:val="center"/>
          </w:tcPr>
          <w:p w14:paraId="7CC806E8">
            <w:pPr>
              <w:spacing w:line="360" w:lineRule="auto"/>
              <w:jc w:val="center"/>
              <w:rPr>
                <w:rFonts w:ascii="宋体" w:hAnsi="宋体"/>
              </w:rPr>
            </w:pPr>
          </w:p>
        </w:tc>
      </w:tr>
    </w:tbl>
    <w:p w14:paraId="2AAF02AD">
      <w:pPr>
        <w:spacing w:line="360" w:lineRule="auto"/>
        <w:rPr>
          <w:rFonts w:ascii="宋体" w:hAnsi="宋体"/>
          <w:kern w:val="2"/>
          <w:lang w:eastAsia="zh-CN"/>
        </w:rPr>
      </w:pPr>
      <w:r>
        <w:rPr>
          <w:rFonts w:ascii="宋体" w:hAnsi="宋体" w:hint="eastAsia"/>
          <w:lang w:eastAsia="zh-CN"/>
        </w:rPr>
        <w:t>评标委员会全体成员签名：                     日期：  年  月  日</w:t>
      </w:r>
    </w:p>
    <w:p w14:paraId="16423881">
      <w:pPr>
        <w:spacing w:line="36" w:lineRule="auto"/>
        <w:rPr>
          <w:rFonts w:ascii="宋体" w:hAnsi="宋体"/>
          <w:sz w:val="27"/>
          <w:szCs w:val="22"/>
          <w:lang w:eastAsia="zh-CN"/>
        </w:rPr>
      </w:pPr>
    </w:p>
    <w:p w14:paraId="7B1ED08E">
      <w:pPr>
        <w:rPr>
          <w:rFonts w:ascii="Calibri" w:hAnsi="Calibri"/>
          <w:sz w:val="21"/>
          <w:lang w:eastAsia="zh-CN"/>
        </w:rPr>
      </w:pPr>
    </w:p>
    <w:p w14:paraId="444BBA34">
      <w:pPr>
        <w:rPr>
          <w:lang w:eastAsia="zh-CN"/>
        </w:rPr>
      </w:pPr>
    </w:p>
    <w:p w14:paraId="1AB08360">
      <w:pPr>
        <w:rPr>
          <w:lang w:eastAsia="zh-CN"/>
        </w:rPr>
      </w:pPr>
    </w:p>
    <w:p w14:paraId="336D2683">
      <w:pPr>
        <w:rPr>
          <w:lang w:eastAsia="zh-CN"/>
        </w:rPr>
      </w:pPr>
    </w:p>
    <w:p w14:paraId="512A6287">
      <w:pPr>
        <w:rPr>
          <w:lang w:eastAsia="zh-CN"/>
        </w:rPr>
      </w:pPr>
    </w:p>
    <w:p w14:paraId="2AC46508">
      <w:pPr>
        <w:rPr>
          <w:lang w:eastAsia="zh-CN"/>
        </w:rPr>
      </w:pPr>
    </w:p>
    <w:p w14:paraId="43EFB2D9">
      <w:pPr>
        <w:rPr>
          <w:lang w:eastAsia="zh-CN"/>
        </w:rPr>
      </w:pPr>
    </w:p>
    <w:p w14:paraId="2C68D16B">
      <w:pPr>
        <w:rPr>
          <w:lang w:eastAsia="zh-CN"/>
        </w:rPr>
      </w:pPr>
    </w:p>
    <w:p w14:paraId="7DFED912">
      <w:pPr>
        <w:outlineLvl w:val="1"/>
        <w:rPr>
          <w:rFonts w:eastAsia="黑体"/>
          <w:sz w:val="28"/>
          <w:szCs w:val="28"/>
          <w:lang w:eastAsia="zh-CN"/>
        </w:rPr>
      </w:pPr>
      <w:r>
        <w:rPr>
          <w:rFonts w:eastAsia="黑体" w:hint="eastAsia"/>
          <w:sz w:val="28"/>
          <w:szCs w:val="28"/>
          <w:lang w:eastAsia="zh-CN"/>
        </w:rPr>
        <w:t>附表</w:t>
      </w:r>
      <w:r>
        <w:rPr>
          <w:rFonts w:eastAsia="黑体"/>
          <w:sz w:val="28"/>
          <w:szCs w:val="28"/>
          <w:lang w:eastAsia="zh-CN"/>
        </w:rPr>
        <w:t>A-11</w:t>
      </w:r>
      <w:r>
        <w:rPr>
          <w:rFonts w:eastAsia="黑体" w:hint="eastAsia"/>
          <w:sz w:val="28"/>
          <w:szCs w:val="28"/>
          <w:lang w:eastAsia="zh-CN"/>
        </w:rPr>
        <w:t>：投标文件数字（</w:t>
      </w:r>
      <w:r>
        <w:rPr>
          <w:rFonts w:eastAsia="黑体"/>
          <w:sz w:val="28"/>
          <w:szCs w:val="28"/>
          <w:lang w:eastAsia="zh-CN"/>
        </w:rPr>
        <w:t>CA</w:t>
      </w:r>
      <w:r>
        <w:rPr>
          <w:rFonts w:eastAsia="黑体" w:hint="eastAsia"/>
          <w:sz w:val="28"/>
          <w:szCs w:val="28"/>
          <w:lang w:eastAsia="zh-CN"/>
        </w:rPr>
        <w:t>）签名信息表</w:t>
      </w:r>
    </w:p>
    <w:p w14:paraId="3D0461D2">
      <w:pPr>
        <w:jc w:val="center"/>
        <w:rPr>
          <w:rFonts w:ascii="宋体" w:eastAsia="宋体" w:hAnsi="宋体"/>
          <w:lang w:eastAsia="zh-CN"/>
        </w:rPr>
      </w:pPr>
      <w:r>
        <w:rPr>
          <w:rFonts w:ascii="宋体" w:hAnsi="宋体" w:hint="eastAsia"/>
          <w:lang w:eastAsia="zh-CN"/>
        </w:rPr>
        <w:t>___________（项目名称） ______标段施工</w:t>
      </w:r>
    </w:p>
    <w:p w14:paraId="3FD201CA">
      <w:pPr>
        <w:jc w:val="center"/>
        <w:rPr>
          <w:rFonts w:ascii="宋体" w:hAnsi="宋体"/>
          <w:lang w:eastAsia="zh-CN"/>
        </w:rPr>
      </w:pPr>
      <w:r>
        <w:rPr>
          <w:rFonts w:ascii="宋体" w:hAnsi="宋体" w:hint="eastAsia"/>
          <w:lang w:eastAsia="zh-CN"/>
        </w:rPr>
        <w:t>投标文件数字（CA）签名信息表</w:t>
      </w:r>
    </w:p>
    <w:p w14:paraId="4830AFBE">
      <w:pPr>
        <w:pStyle w:val="Normal1"/>
        <w:topLinePunct/>
        <w:spacing w:line="360" w:lineRule="auto"/>
        <w:jc w:val="left"/>
        <w:rPr>
          <w:rFonts w:ascii="宋体" w:hAnsi="宋体"/>
          <w:sz w:val="24"/>
          <w:szCs w:val="24"/>
        </w:rPr>
      </w:pPr>
      <w:r>
        <w:rPr>
          <w:rFonts w:ascii="宋体" w:hAnsi="宋体" w:hint="eastAsia"/>
          <w:sz w:val="24"/>
          <w:szCs w:val="24"/>
        </w:rPr>
        <w:t>开标时间：______年______月______日</w:t>
      </w:r>
    </w:p>
    <w:p w14:paraId="700E604F">
      <w:pPr>
        <w:pStyle w:val="Normal1"/>
        <w:topLinePunct/>
        <w:spacing w:line="360" w:lineRule="auto"/>
        <w:jc w:val="left"/>
        <w:rPr>
          <w:rFonts w:ascii="宋体" w:hAnsi="宋体"/>
          <w:sz w:val="24"/>
          <w:szCs w:val="24"/>
        </w:rPr>
      </w:pPr>
    </w:p>
    <w:tbl>
      <w:tblPr>
        <w:tblStyle w:val="TableNormal"/>
        <w:tblW w:w="96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64"/>
        <w:gridCol w:w="1766"/>
        <w:gridCol w:w="1516"/>
        <w:gridCol w:w="1138"/>
        <w:gridCol w:w="1389"/>
        <w:gridCol w:w="1517"/>
        <w:gridCol w:w="1010"/>
      </w:tblGrid>
      <w:tr w14:paraId="58D6FF4E">
        <w:tblPrEx>
          <w:tblW w:w="96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136"/>
        </w:trPr>
        <w:tc>
          <w:tcPr>
            <w:tcW w:w="1263" w:type="dxa"/>
            <w:vMerge w:val="restart"/>
            <w:tcBorders>
              <w:top w:val="single" w:sz="4" w:space="0" w:color="auto"/>
              <w:left w:val="single" w:sz="4" w:space="0" w:color="auto"/>
              <w:bottom w:val="single" w:sz="4" w:space="0" w:color="auto"/>
              <w:right w:val="single" w:sz="4" w:space="0" w:color="auto"/>
            </w:tcBorders>
            <w:vAlign w:val="center"/>
          </w:tcPr>
          <w:p w14:paraId="4DD70AFC">
            <w:pPr>
              <w:jc w:val="center"/>
              <w:rPr>
                <w:rFonts w:ascii="宋体" w:hAnsi="宋体"/>
                <w:szCs w:val="22"/>
              </w:rPr>
            </w:pPr>
            <w:r>
              <w:rPr>
                <w:rFonts w:ascii="宋体" w:hAnsi="宋体" w:hint="eastAsia"/>
              </w:rPr>
              <w:t>序号</w:t>
            </w:r>
          </w:p>
        </w:tc>
        <w:tc>
          <w:tcPr>
            <w:tcW w:w="1765" w:type="dxa"/>
            <w:vMerge w:val="restart"/>
            <w:tcBorders>
              <w:top w:val="single" w:sz="4" w:space="0" w:color="auto"/>
              <w:left w:val="single" w:sz="4" w:space="0" w:color="auto"/>
              <w:bottom w:val="single" w:sz="4" w:space="0" w:color="auto"/>
              <w:right w:val="single" w:sz="4" w:space="0" w:color="auto"/>
            </w:tcBorders>
            <w:vAlign w:val="center"/>
          </w:tcPr>
          <w:p w14:paraId="0BCD3AD6">
            <w:pPr>
              <w:jc w:val="center"/>
              <w:rPr>
                <w:rFonts w:ascii="宋体" w:hAnsi="宋体"/>
              </w:rPr>
            </w:pPr>
            <w:r>
              <w:rPr>
                <w:rFonts w:ascii="宋体" w:hAnsi="宋体" w:hint="eastAsia"/>
              </w:rPr>
              <w:t>投标人名称</w:t>
            </w:r>
          </w:p>
        </w:tc>
        <w:tc>
          <w:tcPr>
            <w:tcW w:w="2654" w:type="dxa"/>
            <w:gridSpan w:val="2"/>
            <w:tcBorders>
              <w:top w:val="single" w:sz="4" w:space="0" w:color="auto"/>
              <w:left w:val="single" w:sz="4" w:space="0" w:color="auto"/>
              <w:bottom w:val="single" w:sz="4" w:space="0" w:color="auto"/>
              <w:right w:val="single" w:sz="4" w:space="0" w:color="auto"/>
            </w:tcBorders>
            <w:vAlign w:val="center"/>
          </w:tcPr>
          <w:p w14:paraId="29E51E99">
            <w:pPr>
              <w:jc w:val="center"/>
              <w:rPr>
                <w:rFonts w:ascii="宋体" w:hAnsi="宋体"/>
              </w:rPr>
            </w:pPr>
            <w:r>
              <w:rPr>
                <w:rFonts w:ascii="宋体" w:hAnsi="宋体" w:hint="eastAsia"/>
              </w:rPr>
              <w:t>商务标</w:t>
            </w:r>
          </w:p>
        </w:tc>
        <w:tc>
          <w:tcPr>
            <w:tcW w:w="2906" w:type="dxa"/>
            <w:gridSpan w:val="2"/>
            <w:tcBorders>
              <w:top w:val="single" w:sz="4" w:space="0" w:color="auto"/>
              <w:left w:val="single" w:sz="4" w:space="0" w:color="auto"/>
              <w:bottom w:val="single" w:sz="4" w:space="0" w:color="auto"/>
              <w:right w:val="single" w:sz="4" w:space="0" w:color="auto"/>
            </w:tcBorders>
            <w:vAlign w:val="center"/>
          </w:tcPr>
          <w:p w14:paraId="3A7E38D3">
            <w:pPr>
              <w:jc w:val="center"/>
              <w:rPr>
                <w:rFonts w:ascii="宋体" w:hAnsi="宋体"/>
              </w:rPr>
            </w:pPr>
            <w:r>
              <w:rPr>
                <w:rFonts w:ascii="宋体" w:hAnsi="宋体" w:hint="eastAsia"/>
              </w:rPr>
              <w:t>技术标</w:t>
            </w:r>
          </w:p>
        </w:tc>
        <w:tc>
          <w:tcPr>
            <w:tcW w:w="1010" w:type="dxa"/>
            <w:vMerge w:val="restart"/>
            <w:tcBorders>
              <w:top w:val="single" w:sz="4" w:space="0" w:color="auto"/>
              <w:left w:val="single" w:sz="4" w:space="0" w:color="auto"/>
              <w:bottom w:val="single" w:sz="4" w:space="0" w:color="auto"/>
              <w:right w:val="single" w:sz="4" w:space="0" w:color="auto"/>
            </w:tcBorders>
            <w:vAlign w:val="center"/>
          </w:tcPr>
          <w:p w14:paraId="3261D734">
            <w:pPr>
              <w:jc w:val="center"/>
              <w:rPr>
                <w:rFonts w:ascii="宋体" w:hAnsi="宋体"/>
              </w:rPr>
            </w:pPr>
            <w:r>
              <w:rPr>
                <w:rFonts w:ascii="宋体" w:hAnsi="宋体" w:hint="eastAsia"/>
              </w:rPr>
              <w:t>签名</w:t>
            </w:r>
          </w:p>
        </w:tc>
      </w:tr>
      <w:tr w14:paraId="2CDB6735">
        <w:tblPrEx>
          <w:tblW w:w="9600" w:type="dxa"/>
          <w:tblInd w:w="0" w:type="dxa"/>
          <w:tblLayout w:type="fixed"/>
          <w:tblCellMar>
            <w:top w:w="0" w:type="dxa"/>
            <w:left w:w="108" w:type="dxa"/>
            <w:bottom w:w="0" w:type="dxa"/>
            <w:right w:w="108" w:type="dxa"/>
          </w:tblCellMar>
        </w:tblPrEx>
        <w:trPr>
          <w:trHeight w:val="1136"/>
        </w:trPr>
        <w:tc>
          <w:tcPr>
            <w:tcW w:w="1263" w:type="dxa"/>
            <w:vMerge/>
            <w:tcBorders>
              <w:top w:val="single" w:sz="4" w:space="0" w:color="auto"/>
              <w:left w:val="single" w:sz="4" w:space="0" w:color="auto"/>
              <w:bottom w:val="single" w:sz="4" w:space="0" w:color="auto"/>
              <w:right w:val="single" w:sz="4" w:space="0" w:color="auto"/>
            </w:tcBorders>
            <w:vAlign w:val="center"/>
          </w:tcPr>
          <w:p w14:paraId="5A5CCCC6">
            <w:pPr>
              <w:rPr>
                <w:rFonts w:ascii="宋体" w:eastAsia="宋体" w:hAnsi="宋体"/>
                <w:kern w:val="2"/>
                <w:szCs w:val="22"/>
              </w:rPr>
            </w:pPr>
          </w:p>
        </w:tc>
        <w:tc>
          <w:tcPr>
            <w:tcW w:w="1765" w:type="dxa"/>
            <w:vMerge/>
            <w:tcBorders>
              <w:top w:val="single" w:sz="4" w:space="0" w:color="auto"/>
              <w:left w:val="single" w:sz="4" w:space="0" w:color="auto"/>
              <w:bottom w:val="single" w:sz="4" w:space="0" w:color="auto"/>
              <w:right w:val="single" w:sz="4" w:space="0" w:color="auto"/>
            </w:tcBorders>
            <w:vAlign w:val="center"/>
          </w:tcPr>
          <w:p w14:paraId="0395B7E7">
            <w:pPr>
              <w:rPr>
                <w:rFonts w:ascii="宋体" w:eastAsia="宋体" w:hAnsi="宋体"/>
                <w:kern w:val="2"/>
                <w:szCs w:val="22"/>
              </w:rPr>
            </w:pPr>
          </w:p>
        </w:tc>
        <w:tc>
          <w:tcPr>
            <w:tcW w:w="1516" w:type="dxa"/>
            <w:tcBorders>
              <w:top w:val="single" w:sz="4" w:space="0" w:color="auto"/>
              <w:left w:val="single" w:sz="4" w:space="0" w:color="auto"/>
              <w:bottom w:val="single" w:sz="4" w:space="0" w:color="auto"/>
              <w:right w:val="single" w:sz="4" w:space="0" w:color="auto"/>
            </w:tcBorders>
            <w:vAlign w:val="center"/>
          </w:tcPr>
          <w:p w14:paraId="7794CD91">
            <w:pPr>
              <w:jc w:val="center"/>
              <w:rPr>
                <w:rFonts w:ascii="宋体" w:hAnsi="宋体"/>
              </w:rPr>
            </w:pPr>
            <w:r>
              <w:rPr>
                <w:rFonts w:ascii="宋体" w:hAnsi="宋体" w:hint="eastAsia"/>
              </w:rPr>
              <w:t>法定代表人</w:t>
            </w:r>
          </w:p>
        </w:tc>
        <w:tc>
          <w:tcPr>
            <w:tcW w:w="1138" w:type="dxa"/>
            <w:tcBorders>
              <w:top w:val="single" w:sz="4" w:space="0" w:color="auto"/>
              <w:left w:val="single" w:sz="4" w:space="0" w:color="auto"/>
              <w:bottom w:val="single" w:sz="4" w:space="0" w:color="auto"/>
              <w:right w:val="single" w:sz="4" w:space="0" w:color="auto"/>
            </w:tcBorders>
            <w:vAlign w:val="center"/>
          </w:tcPr>
          <w:p w14:paraId="7C46D480">
            <w:pPr>
              <w:jc w:val="center"/>
              <w:rPr>
                <w:rFonts w:ascii="宋体" w:hAnsi="宋体"/>
              </w:rPr>
            </w:pPr>
            <w:r>
              <w:rPr>
                <w:rFonts w:ascii="宋体" w:hAnsi="宋体" w:hint="eastAsia"/>
              </w:rPr>
              <w:t>造价人员</w:t>
            </w:r>
          </w:p>
        </w:tc>
        <w:tc>
          <w:tcPr>
            <w:tcW w:w="1389" w:type="dxa"/>
            <w:tcBorders>
              <w:top w:val="single" w:sz="4" w:space="0" w:color="auto"/>
              <w:left w:val="single" w:sz="4" w:space="0" w:color="auto"/>
              <w:bottom w:val="single" w:sz="4" w:space="0" w:color="auto"/>
              <w:right w:val="single" w:sz="4" w:space="0" w:color="auto"/>
            </w:tcBorders>
            <w:vAlign w:val="center"/>
          </w:tcPr>
          <w:p w14:paraId="317C6FB4">
            <w:pPr>
              <w:jc w:val="center"/>
              <w:rPr>
                <w:rFonts w:ascii="宋体" w:hAnsi="宋体"/>
              </w:rPr>
            </w:pPr>
            <w:r>
              <w:rPr>
                <w:rFonts w:ascii="宋体" w:hAnsi="宋体" w:hint="eastAsia"/>
              </w:rPr>
              <w:t>法定代表人</w:t>
            </w:r>
          </w:p>
        </w:tc>
        <w:tc>
          <w:tcPr>
            <w:tcW w:w="1517" w:type="dxa"/>
            <w:tcBorders>
              <w:top w:val="single" w:sz="4" w:space="0" w:color="auto"/>
              <w:left w:val="single" w:sz="4" w:space="0" w:color="auto"/>
              <w:bottom w:val="single" w:sz="4" w:space="0" w:color="auto"/>
              <w:right w:val="single" w:sz="4" w:space="0" w:color="auto"/>
            </w:tcBorders>
            <w:vAlign w:val="center"/>
          </w:tcPr>
          <w:p w14:paraId="26BED246">
            <w:pPr>
              <w:jc w:val="center"/>
              <w:rPr>
                <w:rFonts w:ascii="宋体" w:hAnsi="宋体"/>
              </w:rPr>
            </w:pPr>
            <w:r>
              <w:rPr>
                <w:rFonts w:ascii="宋体" w:hAnsi="宋体" w:hint="eastAsia"/>
              </w:rPr>
              <w:t>项目建负责人</w:t>
            </w:r>
          </w:p>
        </w:tc>
        <w:tc>
          <w:tcPr>
            <w:tcW w:w="1010" w:type="dxa"/>
            <w:vMerge/>
            <w:tcBorders>
              <w:top w:val="single" w:sz="4" w:space="0" w:color="auto"/>
              <w:left w:val="single" w:sz="4" w:space="0" w:color="auto"/>
              <w:bottom w:val="single" w:sz="4" w:space="0" w:color="auto"/>
              <w:right w:val="single" w:sz="4" w:space="0" w:color="auto"/>
            </w:tcBorders>
            <w:vAlign w:val="center"/>
          </w:tcPr>
          <w:p w14:paraId="4CCA8082">
            <w:pPr>
              <w:rPr>
                <w:rFonts w:ascii="宋体" w:eastAsia="宋体" w:hAnsi="宋体"/>
                <w:kern w:val="2"/>
                <w:szCs w:val="22"/>
              </w:rPr>
            </w:pPr>
          </w:p>
        </w:tc>
      </w:tr>
      <w:tr w14:paraId="1120BEBE">
        <w:tblPrEx>
          <w:tblW w:w="9600" w:type="dxa"/>
          <w:tblInd w:w="0" w:type="dxa"/>
          <w:tblLayout w:type="fixed"/>
          <w:tblCellMar>
            <w:top w:w="0" w:type="dxa"/>
            <w:left w:w="108" w:type="dxa"/>
            <w:bottom w:w="0" w:type="dxa"/>
            <w:right w:w="108" w:type="dxa"/>
          </w:tblCellMar>
        </w:tblPrEx>
        <w:trPr>
          <w:trHeight w:val="1136"/>
        </w:trPr>
        <w:tc>
          <w:tcPr>
            <w:tcW w:w="1263" w:type="dxa"/>
            <w:tcBorders>
              <w:top w:val="single" w:sz="4" w:space="0" w:color="auto"/>
              <w:left w:val="single" w:sz="4" w:space="0" w:color="auto"/>
              <w:bottom w:val="single" w:sz="4" w:space="0" w:color="auto"/>
              <w:right w:val="single" w:sz="4" w:space="0" w:color="auto"/>
            </w:tcBorders>
            <w:vAlign w:val="center"/>
          </w:tcPr>
          <w:p w14:paraId="6B0359FB">
            <w:pPr>
              <w:jc w:val="center"/>
              <w:rPr>
                <w:rFonts w:ascii="宋体" w:hAnsi="宋体"/>
              </w:rPr>
            </w:pPr>
          </w:p>
        </w:tc>
        <w:tc>
          <w:tcPr>
            <w:tcW w:w="1765" w:type="dxa"/>
            <w:tcBorders>
              <w:top w:val="single" w:sz="4" w:space="0" w:color="auto"/>
              <w:left w:val="single" w:sz="4" w:space="0" w:color="auto"/>
              <w:bottom w:val="single" w:sz="4" w:space="0" w:color="auto"/>
              <w:right w:val="single" w:sz="4" w:space="0" w:color="auto"/>
            </w:tcBorders>
            <w:vAlign w:val="center"/>
          </w:tcPr>
          <w:p w14:paraId="5C0FA538">
            <w:pPr>
              <w:jc w:val="center"/>
              <w:rPr>
                <w:rFonts w:ascii="宋体" w:hAnsi="宋体"/>
              </w:rPr>
            </w:pPr>
          </w:p>
        </w:tc>
        <w:tc>
          <w:tcPr>
            <w:tcW w:w="1516" w:type="dxa"/>
            <w:tcBorders>
              <w:top w:val="single" w:sz="4" w:space="0" w:color="auto"/>
              <w:left w:val="single" w:sz="4" w:space="0" w:color="auto"/>
              <w:bottom w:val="single" w:sz="4" w:space="0" w:color="auto"/>
              <w:right w:val="single" w:sz="4" w:space="0" w:color="auto"/>
            </w:tcBorders>
            <w:vAlign w:val="center"/>
          </w:tcPr>
          <w:p w14:paraId="2145B784">
            <w:pPr>
              <w:jc w:val="center"/>
              <w:rPr>
                <w:rFonts w:ascii="宋体" w:hAnsi="宋体"/>
              </w:rPr>
            </w:pPr>
          </w:p>
        </w:tc>
        <w:tc>
          <w:tcPr>
            <w:tcW w:w="1138" w:type="dxa"/>
            <w:tcBorders>
              <w:top w:val="single" w:sz="4" w:space="0" w:color="auto"/>
              <w:left w:val="single" w:sz="4" w:space="0" w:color="auto"/>
              <w:bottom w:val="single" w:sz="4" w:space="0" w:color="auto"/>
              <w:right w:val="single" w:sz="4" w:space="0" w:color="auto"/>
            </w:tcBorders>
            <w:vAlign w:val="center"/>
          </w:tcPr>
          <w:p w14:paraId="022F63D7">
            <w:pPr>
              <w:jc w:val="center"/>
              <w:rPr>
                <w:rFonts w:ascii="宋体" w:hAnsi="宋体"/>
              </w:rPr>
            </w:pPr>
          </w:p>
        </w:tc>
        <w:tc>
          <w:tcPr>
            <w:tcW w:w="1389" w:type="dxa"/>
            <w:tcBorders>
              <w:top w:val="single" w:sz="4" w:space="0" w:color="auto"/>
              <w:left w:val="single" w:sz="4" w:space="0" w:color="auto"/>
              <w:bottom w:val="single" w:sz="4" w:space="0" w:color="auto"/>
              <w:right w:val="single" w:sz="4" w:space="0" w:color="auto"/>
            </w:tcBorders>
            <w:vAlign w:val="center"/>
          </w:tcPr>
          <w:p w14:paraId="6C58EA14">
            <w:pPr>
              <w:jc w:val="center"/>
              <w:rPr>
                <w:rFonts w:ascii="宋体" w:hAnsi="宋体"/>
              </w:rPr>
            </w:pPr>
          </w:p>
        </w:tc>
        <w:tc>
          <w:tcPr>
            <w:tcW w:w="1517" w:type="dxa"/>
            <w:tcBorders>
              <w:top w:val="single" w:sz="4" w:space="0" w:color="auto"/>
              <w:left w:val="single" w:sz="4" w:space="0" w:color="auto"/>
              <w:bottom w:val="single" w:sz="4" w:space="0" w:color="auto"/>
              <w:right w:val="single" w:sz="4" w:space="0" w:color="auto"/>
            </w:tcBorders>
            <w:vAlign w:val="center"/>
          </w:tcPr>
          <w:p w14:paraId="416857FB">
            <w:pPr>
              <w:jc w:val="center"/>
              <w:rPr>
                <w:rFonts w:ascii="宋体" w:hAnsi="宋体"/>
              </w:rPr>
            </w:pPr>
          </w:p>
        </w:tc>
        <w:tc>
          <w:tcPr>
            <w:tcW w:w="1010" w:type="dxa"/>
            <w:tcBorders>
              <w:top w:val="single" w:sz="4" w:space="0" w:color="auto"/>
              <w:left w:val="single" w:sz="4" w:space="0" w:color="auto"/>
              <w:bottom w:val="single" w:sz="4" w:space="0" w:color="auto"/>
              <w:right w:val="single" w:sz="4" w:space="0" w:color="auto"/>
            </w:tcBorders>
            <w:vAlign w:val="center"/>
          </w:tcPr>
          <w:p w14:paraId="7231DBAD">
            <w:pPr>
              <w:jc w:val="center"/>
              <w:rPr>
                <w:rFonts w:ascii="宋体" w:hAnsi="宋体"/>
              </w:rPr>
            </w:pPr>
          </w:p>
        </w:tc>
      </w:tr>
      <w:tr w14:paraId="7ACC249D">
        <w:tblPrEx>
          <w:tblW w:w="9600" w:type="dxa"/>
          <w:tblInd w:w="0" w:type="dxa"/>
          <w:tblLayout w:type="fixed"/>
          <w:tblCellMar>
            <w:top w:w="0" w:type="dxa"/>
            <w:left w:w="108" w:type="dxa"/>
            <w:bottom w:w="0" w:type="dxa"/>
            <w:right w:w="108" w:type="dxa"/>
          </w:tblCellMar>
        </w:tblPrEx>
        <w:trPr>
          <w:trHeight w:val="1136"/>
        </w:trPr>
        <w:tc>
          <w:tcPr>
            <w:tcW w:w="1263" w:type="dxa"/>
            <w:tcBorders>
              <w:top w:val="single" w:sz="4" w:space="0" w:color="auto"/>
              <w:left w:val="single" w:sz="4" w:space="0" w:color="auto"/>
              <w:bottom w:val="single" w:sz="4" w:space="0" w:color="auto"/>
              <w:right w:val="single" w:sz="4" w:space="0" w:color="auto"/>
            </w:tcBorders>
            <w:vAlign w:val="center"/>
          </w:tcPr>
          <w:p w14:paraId="3C5CBDBF">
            <w:pPr>
              <w:jc w:val="center"/>
              <w:rPr>
                <w:rFonts w:ascii="宋体" w:hAnsi="宋体"/>
              </w:rPr>
            </w:pPr>
          </w:p>
        </w:tc>
        <w:tc>
          <w:tcPr>
            <w:tcW w:w="1765" w:type="dxa"/>
            <w:tcBorders>
              <w:top w:val="single" w:sz="4" w:space="0" w:color="auto"/>
              <w:left w:val="single" w:sz="4" w:space="0" w:color="auto"/>
              <w:bottom w:val="single" w:sz="4" w:space="0" w:color="auto"/>
              <w:right w:val="single" w:sz="4" w:space="0" w:color="auto"/>
            </w:tcBorders>
            <w:vAlign w:val="center"/>
          </w:tcPr>
          <w:p w14:paraId="516AC961">
            <w:pPr>
              <w:jc w:val="center"/>
              <w:rPr>
                <w:rFonts w:ascii="宋体" w:hAnsi="宋体"/>
              </w:rPr>
            </w:pPr>
          </w:p>
        </w:tc>
        <w:tc>
          <w:tcPr>
            <w:tcW w:w="1516" w:type="dxa"/>
            <w:tcBorders>
              <w:top w:val="single" w:sz="4" w:space="0" w:color="auto"/>
              <w:left w:val="single" w:sz="4" w:space="0" w:color="auto"/>
              <w:bottom w:val="single" w:sz="4" w:space="0" w:color="auto"/>
              <w:right w:val="single" w:sz="4" w:space="0" w:color="auto"/>
            </w:tcBorders>
            <w:vAlign w:val="center"/>
          </w:tcPr>
          <w:p w14:paraId="6C587BCE">
            <w:pPr>
              <w:jc w:val="center"/>
              <w:rPr>
                <w:rFonts w:ascii="宋体" w:hAnsi="宋体"/>
              </w:rPr>
            </w:pPr>
          </w:p>
        </w:tc>
        <w:tc>
          <w:tcPr>
            <w:tcW w:w="1138" w:type="dxa"/>
            <w:tcBorders>
              <w:top w:val="single" w:sz="4" w:space="0" w:color="auto"/>
              <w:left w:val="single" w:sz="4" w:space="0" w:color="auto"/>
              <w:bottom w:val="single" w:sz="4" w:space="0" w:color="auto"/>
              <w:right w:val="single" w:sz="4" w:space="0" w:color="auto"/>
            </w:tcBorders>
            <w:vAlign w:val="center"/>
          </w:tcPr>
          <w:p w14:paraId="79688CD9">
            <w:pPr>
              <w:jc w:val="center"/>
              <w:rPr>
                <w:rFonts w:ascii="宋体" w:hAnsi="宋体"/>
              </w:rPr>
            </w:pPr>
          </w:p>
        </w:tc>
        <w:tc>
          <w:tcPr>
            <w:tcW w:w="1389" w:type="dxa"/>
            <w:tcBorders>
              <w:top w:val="single" w:sz="4" w:space="0" w:color="auto"/>
              <w:left w:val="single" w:sz="4" w:space="0" w:color="auto"/>
              <w:bottom w:val="single" w:sz="4" w:space="0" w:color="auto"/>
              <w:right w:val="single" w:sz="4" w:space="0" w:color="auto"/>
            </w:tcBorders>
            <w:vAlign w:val="center"/>
          </w:tcPr>
          <w:p w14:paraId="4645E28F">
            <w:pPr>
              <w:jc w:val="center"/>
              <w:rPr>
                <w:rFonts w:ascii="宋体" w:hAnsi="宋体"/>
              </w:rPr>
            </w:pPr>
          </w:p>
        </w:tc>
        <w:tc>
          <w:tcPr>
            <w:tcW w:w="1517" w:type="dxa"/>
            <w:tcBorders>
              <w:top w:val="single" w:sz="4" w:space="0" w:color="auto"/>
              <w:left w:val="single" w:sz="4" w:space="0" w:color="auto"/>
              <w:bottom w:val="single" w:sz="4" w:space="0" w:color="auto"/>
              <w:right w:val="single" w:sz="4" w:space="0" w:color="auto"/>
            </w:tcBorders>
            <w:vAlign w:val="center"/>
          </w:tcPr>
          <w:p w14:paraId="38DE0B3A">
            <w:pPr>
              <w:jc w:val="center"/>
              <w:rPr>
                <w:rFonts w:ascii="宋体" w:hAnsi="宋体"/>
              </w:rPr>
            </w:pPr>
          </w:p>
        </w:tc>
        <w:tc>
          <w:tcPr>
            <w:tcW w:w="1010" w:type="dxa"/>
            <w:tcBorders>
              <w:top w:val="single" w:sz="4" w:space="0" w:color="auto"/>
              <w:left w:val="single" w:sz="4" w:space="0" w:color="auto"/>
              <w:bottom w:val="single" w:sz="4" w:space="0" w:color="auto"/>
              <w:right w:val="single" w:sz="4" w:space="0" w:color="auto"/>
            </w:tcBorders>
            <w:vAlign w:val="center"/>
          </w:tcPr>
          <w:p w14:paraId="3902900D">
            <w:pPr>
              <w:jc w:val="center"/>
              <w:rPr>
                <w:rFonts w:ascii="宋体" w:hAnsi="宋体"/>
              </w:rPr>
            </w:pPr>
          </w:p>
        </w:tc>
      </w:tr>
      <w:tr w14:paraId="26D996A7">
        <w:tblPrEx>
          <w:tblW w:w="9600" w:type="dxa"/>
          <w:tblInd w:w="0" w:type="dxa"/>
          <w:tblLayout w:type="fixed"/>
          <w:tblCellMar>
            <w:top w:w="0" w:type="dxa"/>
            <w:left w:w="108" w:type="dxa"/>
            <w:bottom w:w="0" w:type="dxa"/>
            <w:right w:w="108" w:type="dxa"/>
          </w:tblCellMar>
        </w:tblPrEx>
        <w:trPr>
          <w:trHeight w:val="1145"/>
        </w:trPr>
        <w:tc>
          <w:tcPr>
            <w:tcW w:w="1263" w:type="dxa"/>
            <w:tcBorders>
              <w:top w:val="single" w:sz="4" w:space="0" w:color="auto"/>
              <w:left w:val="single" w:sz="4" w:space="0" w:color="auto"/>
              <w:bottom w:val="single" w:sz="4" w:space="0" w:color="auto"/>
              <w:right w:val="single" w:sz="4" w:space="0" w:color="auto"/>
            </w:tcBorders>
            <w:vAlign w:val="center"/>
          </w:tcPr>
          <w:p w14:paraId="158E1D3E">
            <w:pPr>
              <w:jc w:val="center"/>
              <w:rPr>
                <w:rFonts w:ascii="宋体" w:hAnsi="宋体"/>
              </w:rPr>
            </w:pPr>
          </w:p>
        </w:tc>
        <w:tc>
          <w:tcPr>
            <w:tcW w:w="1765" w:type="dxa"/>
            <w:tcBorders>
              <w:top w:val="single" w:sz="4" w:space="0" w:color="auto"/>
              <w:left w:val="single" w:sz="4" w:space="0" w:color="auto"/>
              <w:bottom w:val="single" w:sz="4" w:space="0" w:color="auto"/>
              <w:right w:val="single" w:sz="4" w:space="0" w:color="auto"/>
            </w:tcBorders>
            <w:vAlign w:val="center"/>
          </w:tcPr>
          <w:p w14:paraId="72D29BAD">
            <w:pPr>
              <w:jc w:val="center"/>
              <w:rPr>
                <w:rFonts w:ascii="宋体" w:hAnsi="宋体"/>
              </w:rPr>
            </w:pPr>
          </w:p>
        </w:tc>
        <w:tc>
          <w:tcPr>
            <w:tcW w:w="1516" w:type="dxa"/>
            <w:tcBorders>
              <w:top w:val="single" w:sz="4" w:space="0" w:color="auto"/>
              <w:left w:val="single" w:sz="4" w:space="0" w:color="auto"/>
              <w:bottom w:val="single" w:sz="4" w:space="0" w:color="auto"/>
              <w:right w:val="single" w:sz="4" w:space="0" w:color="auto"/>
            </w:tcBorders>
            <w:vAlign w:val="center"/>
          </w:tcPr>
          <w:p w14:paraId="28C7B059">
            <w:pPr>
              <w:jc w:val="center"/>
              <w:rPr>
                <w:rFonts w:ascii="宋体" w:hAnsi="宋体"/>
              </w:rPr>
            </w:pPr>
          </w:p>
        </w:tc>
        <w:tc>
          <w:tcPr>
            <w:tcW w:w="1138" w:type="dxa"/>
            <w:tcBorders>
              <w:top w:val="single" w:sz="4" w:space="0" w:color="auto"/>
              <w:left w:val="single" w:sz="4" w:space="0" w:color="auto"/>
              <w:bottom w:val="single" w:sz="4" w:space="0" w:color="auto"/>
              <w:right w:val="single" w:sz="4" w:space="0" w:color="auto"/>
            </w:tcBorders>
            <w:vAlign w:val="center"/>
          </w:tcPr>
          <w:p w14:paraId="75E39772">
            <w:pPr>
              <w:jc w:val="center"/>
              <w:rPr>
                <w:rFonts w:ascii="宋体" w:hAnsi="宋体"/>
              </w:rPr>
            </w:pPr>
          </w:p>
        </w:tc>
        <w:tc>
          <w:tcPr>
            <w:tcW w:w="1389" w:type="dxa"/>
            <w:tcBorders>
              <w:top w:val="single" w:sz="4" w:space="0" w:color="auto"/>
              <w:left w:val="single" w:sz="4" w:space="0" w:color="auto"/>
              <w:bottom w:val="single" w:sz="4" w:space="0" w:color="auto"/>
              <w:right w:val="single" w:sz="4" w:space="0" w:color="auto"/>
            </w:tcBorders>
            <w:vAlign w:val="center"/>
          </w:tcPr>
          <w:p w14:paraId="15D9C767">
            <w:pPr>
              <w:jc w:val="center"/>
              <w:rPr>
                <w:rFonts w:ascii="宋体" w:hAnsi="宋体"/>
              </w:rPr>
            </w:pPr>
          </w:p>
        </w:tc>
        <w:tc>
          <w:tcPr>
            <w:tcW w:w="1517" w:type="dxa"/>
            <w:tcBorders>
              <w:top w:val="single" w:sz="4" w:space="0" w:color="auto"/>
              <w:left w:val="single" w:sz="4" w:space="0" w:color="auto"/>
              <w:bottom w:val="single" w:sz="4" w:space="0" w:color="auto"/>
              <w:right w:val="single" w:sz="4" w:space="0" w:color="auto"/>
            </w:tcBorders>
            <w:vAlign w:val="center"/>
          </w:tcPr>
          <w:p w14:paraId="4D893E1B">
            <w:pPr>
              <w:jc w:val="center"/>
              <w:rPr>
                <w:rFonts w:ascii="宋体" w:hAnsi="宋体"/>
              </w:rPr>
            </w:pPr>
          </w:p>
        </w:tc>
        <w:tc>
          <w:tcPr>
            <w:tcW w:w="1010" w:type="dxa"/>
            <w:tcBorders>
              <w:top w:val="single" w:sz="4" w:space="0" w:color="auto"/>
              <w:left w:val="single" w:sz="4" w:space="0" w:color="auto"/>
              <w:bottom w:val="single" w:sz="4" w:space="0" w:color="auto"/>
              <w:right w:val="single" w:sz="4" w:space="0" w:color="auto"/>
            </w:tcBorders>
            <w:vAlign w:val="center"/>
          </w:tcPr>
          <w:p w14:paraId="0F08EF90">
            <w:pPr>
              <w:jc w:val="center"/>
              <w:rPr>
                <w:rFonts w:ascii="宋体" w:hAnsi="宋体"/>
              </w:rPr>
            </w:pPr>
          </w:p>
        </w:tc>
      </w:tr>
    </w:tbl>
    <w:p w14:paraId="79BB5242">
      <w:pPr>
        <w:rPr>
          <w:rFonts w:ascii="宋体" w:hAnsi="宋体"/>
          <w:kern w:val="2"/>
          <w:szCs w:val="22"/>
        </w:rPr>
      </w:pPr>
    </w:p>
    <w:p w14:paraId="722A73FB">
      <w:pPr>
        <w:pStyle w:val="Heading10"/>
        <w:jc w:val="center"/>
        <w:rPr>
          <w:rFonts w:ascii="宋体" w:hAnsi="宋体"/>
          <w:b w:val="0"/>
          <w:lang w:eastAsia="zh-CN"/>
        </w:rPr>
      </w:pPr>
      <w:r>
        <w:rPr>
          <w:rFonts w:asciiTheme="minorHAnsi" w:hAnsiTheme="minorHAnsi" w:cstheme="minorBidi" w:hint="eastAsia"/>
          <w:lang w:eastAsia="zh-CN"/>
        </w:rPr>
        <w:br w:type="page"/>
      </w:r>
      <w:r>
        <w:rPr>
          <w:rFonts w:ascii="宋体" w:hAnsi="宋体" w:hint="eastAsia"/>
          <w:sz w:val="32"/>
          <w:szCs w:val="32"/>
          <w:lang w:eastAsia="zh-CN"/>
        </w:rPr>
        <w:t>□ 第三章</w:t>
      </w:r>
      <w:r>
        <w:rPr>
          <w:rFonts w:ascii="宋体" w:hAnsi="宋体" w:hint="eastAsia"/>
          <w:sz w:val="24"/>
          <w:szCs w:val="24"/>
          <w:lang w:eastAsia="zh-CN"/>
        </w:rPr>
        <w:t xml:space="preserve"> </w:t>
      </w:r>
      <w:r>
        <w:rPr>
          <w:rFonts w:ascii="宋体" w:hAnsi="宋体" w:hint="eastAsia"/>
          <w:sz w:val="32"/>
          <w:szCs w:val="32"/>
          <w:lang w:eastAsia="zh-CN"/>
        </w:rPr>
        <w:t>评标办法（经评审的最低投标价法）</w:t>
      </w:r>
    </w:p>
    <w:p w14:paraId="46C009B2">
      <w:pPr>
        <w:spacing w:line="36" w:lineRule="auto"/>
        <w:rPr>
          <w:rFonts w:ascii="宋体" w:hAnsi="宋体"/>
          <w:sz w:val="27"/>
          <w:lang w:eastAsia="zh-CN"/>
        </w:rPr>
      </w:pPr>
    </w:p>
    <w:p w14:paraId="15364FDC">
      <w:pPr>
        <w:pStyle w:val="Heading3"/>
        <w:jc w:val="center"/>
        <w:rPr>
          <w:rFonts w:ascii="宋体" w:hAnsi="宋体"/>
          <w:sz w:val="24"/>
          <w:szCs w:val="24"/>
        </w:rPr>
      </w:pPr>
      <w:r>
        <w:rPr>
          <w:rFonts w:ascii="宋体" w:hAnsi="宋体" w:hint="eastAsia"/>
          <w:sz w:val="24"/>
          <w:szCs w:val="24"/>
        </w:rPr>
        <w:t>评标办法前附表</w:t>
      </w: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1134"/>
        <w:gridCol w:w="993"/>
        <w:gridCol w:w="1842"/>
        <w:gridCol w:w="2620"/>
        <w:gridCol w:w="2620"/>
      </w:tblGrid>
      <w:tr w14:paraId="1B2A8862">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476"/>
          <w:jc w:val="center"/>
        </w:trPr>
        <w:tc>
          <w:tcPr>
            <w:tcW w:w="2127" w:type="dxa"/>
            <w:gridSpan w:val="2"/>
            <w:tcBorders>
              <w:top w:val="single" w:sz="2" w:space="0" w:color="auto"/>
              <w:left w:val="single" w:sz="2" w:space="0" w:color="auto"/>
              <w:bottom w:val="single" w:sz="2" w:space="0" w:color="auto"/>
              <w:right w:val="single" w:sz="2" w:space="0" w:color="auto"/>
            </w:tcBorders>
            <w:vAlign w:val="center"/>
          </w:tcPr>
          <w:p w14:paraId="12399755">
            <w:pPr>
              <w:spacing w:line="360" w:lineRule="auto"/>
              <w:jc w:val="center"/>
              <w:rPr>
                <w:rFonts w:ascii="宋体" w:hAnsi="宋体"/>
                <w:b/>
              </w:rPr>
            </w:pPr>
            <w:r>
              <w:rPr>
                <w:rFonts w:ascii="宋体" w:hAnsi="宋体" w:hint="eastAsia"/>
                <w:b/>
              </w:rPr>
              <w:t>条款号</w:t>
            </w:r>
          </w:p>
        </w:tc>
        <w:tc>
          <w:tcPr>
            <w:tcW w:w="1842" w:type="dxa"/>
            <w:tcBorders>
              <w:top w:val="single" w:sz="2" w:space="0" w:color="auto"/>
              <w:left w:val="single" w:sz="2" w:space="0" w:color="auto"/>
              <w:bottom w:val="single" w:sz="2" w:space="0" w:color="auto"/>
              <w:right w:val="single" w:sz="2" w:space="0" w:color="auto"/>
            </w:tcBorders>
            <w:vAlign w:val="center"/>
          </w:tcPr>
          <w:p w14:paraId="3E98EBFA">
            <w:pPr>
              <w:spacing w:line="360" w:lineRule="auto"/>
              <w:jc w:val="center"/>
              <w:rPr>
                <w:rFonts w:ascii="宋体" w:hAnsi="宋体"/>
                <w:b/>
              </w:rPr>
            </w:pPr>
            <w:r>
              <w:rPr>
                <w:rFonts w:ascii="宋体" w:hAnsi="宋体" w:hint="eastAsia"/>
                <w:b/>
              </w:rPr>
              <w:t>评审因素</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2EBDBF91">
            <w:pPr>
              <w:spacing w:line="360" w:lineRule="auto"/>
              <w:jc w:val="center"/>
              <w:rPr>
                <w:rFonts w:ascii="宋体" w:hAnsi="宋体"/>
                <w:b/>
              </w:rPr>
            </w:pPr>
            <w:r>
              <w:rPr>
                <w:rFonts w:ascii="宋体" w:hAnsi="宋体" w:hint="eastAsia"/>
                <w:b/>
              </w:rPr>
              <w:t>评审标准</w:t>
            </w:r>
          </w:p>
        </w:tc>
      </w:tr>
      <w:tr w14:paraId="78D77715">
        <w:tblPrEx>
          <w:tblW w:w="0" w:type="auto"/>
          <w:jc w:val="center"/>
          <w:tblLayout w:type="fixed"/>
          <w:tblCellMar>
            <w:top w:w="0" w:type="dxa"/>
            <w:left w:w="108" w:type="dxa"/>
            <w:bottom w:w="0" w:type="dxa"/>
            <w:right w:w="108" w:type="dxa"/>
          </w:tblCellMar>
        </w:tblPrEx>
        <w:trPr>
          <w:trHeight w:val="691"/>
          <w:jc w:val="center"/>
        </w:trPr>
        <w:tc>
          <w:tcPr>
            <w:tcW w:w="1134" w:type="dxa"/>
            <w:vMerge w:val="restart"/>
            <w:tcBorders>
              <w:top w:val="single" w:sz="2" w:space="0" w:color="auto"/>
              <w:left w:val="single" w:sz="2" w:space="0" w:color="auto"/>
              <w:bottom w:val="single" w:sz="2" w:space="0" w:color="auto"/>
              <w:right w:val="single" w:sz="2" w:space="0" w:color="auto"/>
            </w:tcBorders>
            <w:vAlign w:val="center"/>
          </w:tcPr>
          <w:p w14:paraId="5770E2B4">
            <w:pPr>
              <w:spacing w:line="360" w:lineRule="auto"/>
              <w:jc w:val="center"/>
              <w:rPr>
                <w:rFonts w:ascii="宋体" w:hAnsi="宋体"/>
              </w:rPr>
            </w:pPr>
            <w:r>
              <w:rPr>
                <w:rFonts w:ascii="宋体" w:hAnsi="宋体" w:hint="eastAsia"/>
              </w:rPr>
              <w:t>2.1.1</w:t>
            </w:r>
          </w:p>
        </w:tc>
        <w:tc>
          <w:tcPr>
            <w:tcW w:w="993" w:type="dxa"/>
            <w:vMerge w:val="restart"/>
            <w:tcBorders>
              <w:top w:val="single" w:sz="2" w:space="0" w:color="auto"/>
              <w:left w:val="single" w:sz="2" w:space="0" w:color="auto"/>
              <w:bottom w:val="single" w:sz="2" w:space="0" w:color="auto"/>
              <w:right w:val="single" w:sz="2" w:space="0" w:color="auto"/>
            </w:tcBorders>
            <w:vAlign w:val="center"/>
          </w:tcPr>
          <w:p w14:paraId="0F18D25E">
            <w:pPr>
              <w:spacing w:line="360" w:lineRule="auto"/>
              <w:jc w:val="center"/>
              <w:rPr>
                <w:rFonts w:ascii="宋体" w:hAnsi="宋体"/>
              </w:rPr>
            </w:pPr>
            <w:r>
              <w:rPr>
                <w:rFonts w:ascii="宋体" w:hAnsi="宋体" w:hint="eastAsia"/>
              </w:rPr>
              <w:t>形式评审标准</w:t>
            </w:r>
          </w:p>
        </w:tc>
        <w:tc>
          <w:tcPr>
            <w:tcW w:w="1842" w:type="dxa"/>
            <w:tcBorders>
              <w:top w:val="single" w:sz="2" w:space="0" w:color="auto"/>
              <w:left w:val="single" w:sz="2" w:space="0" w:color="auto"/>
              <w:bottom w:val="single" w:sz="2" w:space="0" w:color="auto"/>
              <w:right w:val="single" w:sz="2" w:space="0" w:color="auto"/>
            </w:tcBorders>
            <w:vAlign w:val="center"/>
          </w:tcPr>
          <w:p w14:paraId="28DC1469">
            <w:pPr>
              <w:spacing w:line="360" w:lineRule="auto"/>
              <w:jc w:val="center"/>
              <w:rPr>
                <w:rFonts w:ascii="宋体" w:hAnsi="宋体"/>
              </w:rPr>
            </w:pPr>
            <w:r>
              <w:rPr>
                <w:rFonts w:ascii="宋体" w:hAnsi="宋体" w:hint="eastAsia"/>
              </w:rPr>
              <w:t>投标人名称</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3A7B6F65">
            <w:pPr>
              <w:spacing w:line="360" w:lineRule="auto"/>
              <w:rPr>
                <w:rFonts w:ascii="宋体" w:hAnsi="宋体"/>
                <w:lang w:eastAsia="zh-CN"/>
              </w:rPr>
            </w:pPr>
            <w:r>
              <w:rPr>
                <w:rFonts w:ascii="宋体" w:hAnsi="宋体" w:hint="eastAsia"/>
                <w:lang w:eastAsia="zh-CN"/>
              </w:rPr>
              <w:t>与营业执照、资质证书、安全生产许可证一致</w:t>
            </w:r>
          </w:p>
        </w:tc>
      </w:tr>
      <w:tr w14:paraId="055D76A6">
        <w:tblPrEx>
          <w:tblW w:w="0" w:type="auto"/>
          <w:jc w:val="center"/>
          <w:tblLayout w:type="fixed"/>
          <w:tblCellMar>
            <w:top w:w="0" w:type="dxa"/>
            <w:left w:w="108" w:type="dxa"/>
            <w:bottom w:w="0" w:type="dxa"/>
            <w:right w:w="108" w:type="dxa"/>
          </w:tblCellMar>
        </w:tblPrEx>
        <w:trPr>
          <w:trHeight w:val="984"/>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523EDC70">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0044BD50">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11DEC662">
            <w:pPr>
              <w:spacing w:line="360" w:lineRule="auto"/>
              <w:jc w:val="center"/>
              <w:rPr>
                <w:rFonts w:ascii="宋体" w:hAnsi="宋体"/>
              </w:rPr>
            </w:pPr>
            <w:r>
              <w:rPr>
                <w:rFonts w:ascii="宋体" w:hAnsi="宋体" w:hint="eastAsia"/>
              </w:rPr>
              <w:t>投标文件格式</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427D24B4">
            <w:pPr>
              <w:spacing w:line="360" w:lineRule="auto"/>
              <w:rPr>
                <w:rFonts w:ascii="宋体" w:hAnsi="宋体"/>
                <w:lang w:eastAsia="zh-CN"/>
              </w:rPr>
            </w:pPr>
            <w:r>
              <w:rPr>
                <w:rFonts w:ascii="宋体" w:hAnsi="宋体" w:hint="eastAsia"/>
                <w:lang w:eastAsia="zh-CN"/>
              </w:rPr>
              <w:t>符合第八章“投标文件格式”的要求、符合第二章“投标人须知”第 3.7.1 项和第5.2项要求</w:t>
            </w:r>
          </w:p>
        </w:tc>
      </w:tr>
      <w:tr w14:paraId="028252E9">
        <w:tblPrEx>
          <w:tblW w:w="0" w:type="auto"/>
          <w:jc w:val="center"/>
          <w:tblLayout w:type="fixed"/>
          <w:tblCellMar>
            <w:top w:w="0" w:type="dxa"/>
            <w:left w:w="108" w:type="dxa"/>
            <w:bottom w:w="0" w:type="dxa"/>
            <w:right w:w="108" w:type="dxa"/>
          </w:tblCellMar>
        </w:tblPrEx>
        <w:trPr>
          <w:trHeight w:val="587"/>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2B48E6E2">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6B76244A">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1DA928F6">
            <w:pPr>
              <w:spacing w:line="360" w:lineRule="auto"/>
              <w:jc w:val="center"/>
              <w:rPr>
                <w:rFonts w:ascii="宋体" w:hAnsi="宋体"/>
              </w:rPr>
            </w:pPr>
            <w:r>
              <w:rPr>
                <w:rFonts w:ascii="宋体" w:hAnsi="宋体" w:hint="eastAsia"/>
              </w:rPr>
              <w:t>签字、盖章</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4D9A01B7">
            <w:pPr>
              <w:spacing w:line="360" w:lineRule="auto"/>
              <w:rPr>
                <w:rFonts w:ascii="宋体" w:hAnsi="宋体"/>
                <w:lang w:eastAsia="zh-CN"/>
              </w:rPr>
            </w:pPr>
            <w:r>
              <w:rPr>
                <w:rFonts w:ascii="宋体" w:hAnsi="宋体" w:hint="eastAsia"/>
                <w:lang w:eastAsia="zh-CN"/>
              </w:rPr>
              <w:t>符合第二章“投标人须知”第 3.7.3 项要求</w:t>
            </w:r>
          </w:p>
        </w:tc>
      </w:tr>
      <w:tr w14:paraId="0182E87C">
        <w:tblPrEx>
          <w:tblW w:w="0" w:type="auto"/>
          <w:jc w:val="center"/>
          <w:tblLayout w:type="fixed"/>
          <w:tblCellMar>
            <w:top w:w="0" w:type="dxa"/>
            <w:left w:w="108" w:type="dxa"/>
            <w:bottom w:w="0" w:type="dxa"/>
            <w:right w:w="108" w:type="dxa"/>
          </w:tblCellMar>
        </w:tblPrEx>
        <w:trPr>
          <w:trHeight w:val="594"/>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6F8045AC">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6430D8CC">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7F79CC71">
            <w:pPr>
              <w:spacing w:line="360" w:lineRule="auto"/>
              <w:jc w:val="center"/>
              <w:rPr>
                <w:rFonts w:ascii="宋体" w:hAnsi="宋体"/>
              </w:rPr>
            </w:pPr>
            <w:r>
              <w:rPr>
                <w:rFonts w:ascii="宋体" w:hAnsi="宋体" w:hint="eastAsia"/>
              </w:rPr>
              <w:t>联合体投标人</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3C608934">
            <w:pPr>
              <w:spacing w:line="360" w:lineRule="auto"/>
              <w:rPr>
                <w:rFonts w:ascii="宋体" w:hAnsi="宋体"/>
                <w:lang w:eastAsia="zh-CN"/>
              </w:rPr>
            </w:pPr>
            <w:r>
              <w:rPr>
                <w:rFonts w:ascii="宋体" w:hAnsi="宋体" w:hint="eastAsia"/>
                <w:lang w:eastAsia="zh-CN"/>
              </w:rPr>
              <w:t>提交联合体协议书，并明确联合体牵头人（如有）</w:t>
            </w:r>
          </w:p>
        </w:tc>
      </w:tr>
      <w:tr w14:paraId="3530E548">
        <w:tblPrEx>
          <w:tblW w:w="0" w:type="auto"/>
          <w:jc w:val="center"/>
          <w:tblLayout w:type="fixed"/>
          <w:tblCellMar>
            <w:top w:w="0" w:type="dxa"/>
            <w:left w:w="108" w:type="dxa"/>
            <w:bottom w:w="0" w:type="dxa"/>
            <w:right w:w="108" w:type="dxa"/>
          </w:tblCellMar>
        </w:tblPrEx>
        <w:trPr>
          <w:trHeight w:val="985"/>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06352EEA">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681585CF">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7AEEB288">
            <w:pPr>
              <w:spacing w:line="360" w:lineRule="auto"/>
              <w:jc w:val="center"/>
              <w:rPr>
                <w:rFonts w:ascii="宋体" w:hAnsi="宋体"/>
              </w:rPr>
            </w:pPr>
            <w:r>
              <w:rPr>
                <w:rFonts w:ascii="宋体" w:hAnsi="宋体" w:hint="eastAsia"/>
              </w:rPr>
              <w:t>报价唯一</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514BA059">
            <w:pPr>
              <w:spacing w:line="360" w:lineRule="auto"/>
              <w:rPr>
                <w:rFonts w:ascii="宋体" w:hAnsi="宋体"/>
                <w:lang w:eastAsia="zh-CN"/>
              </w:rPr>
            </w:pPr>
            <w:r>
              <w:rPr>
                <w:rFonts w:ascii="宋体" w:hAnsi="宋体" w:hint="eastAsia"/>
                <w:lang w:eastAsia="zh-CN"/>
              </w:rPr>
              <w:t>只能有一个报价，即符合第二章“投标人须知”第 10.3</w:t>
            </w:r>
            <w:r>
              <w:rPr>
                <w:rFonts w:hint="eastAsia"/>
                <w:lang w:eastAsia="zh-CN"/>
              </w:rPr>
              <w:t>项</w:t>
            </w:r>
            <w:r>
              <w:rPr>
                <w:rFonts w:ascii="宋体" w:hAnsi="宋体" w:hint="eastAsia"/>
                <w:lang w:eastAsia="zh-CN"/>
              </w:rPr>
              <w:t>要求</w:t>
            </w:r>
          </w:p>
        </w:tc>
      </w:tr>
      <w:tr w14:paraId="19FCF7F7">
        <w:tblPrEx>
          <w:tblW w:w="0" w:type="auto"/>
          <w:jc w:val="center"/>
          <w:tblLayout w:type="fixed"/>
          <w:tblCellMar>
            <w:top w:w="0" w:type="dxa"/>
            <w:left w:w="108" w:type="dxa"/>
            <w:bottom w:w="0" w:type="dxa"/>
            <w:right w:w="108" w:type="dxa"/>
          </w:tblCellMar>
        </w:tblPrEx>
        <w:trPr>
          <w:trHeight w:val="985"/>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1FF4E92F">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626ECFA2">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4C259980">
            <w:pPr>
              <w:spacing w:line="360" w:lineRule="auto"/>
              <w:jc w:val="center"/>
              <w:rPr>
                <w:rFonts w:ascii="宋体" w:hAnsi="宋体"/>
              </w:rPr>
            </w:pPr>
            <w:r>
              <w:rPr>
                <w:rFonts w:ascii="宋体" w:hAnsi="宋体" w:hint="eastAsia"/>
              </w:rPr>
              <w:t>备选投标</w:t>
            </w:r>
          </w:p>
          <w:p w14:paraId="775B75E6">
            <w:pPr>
              <w:spacing w:line="360" w:lineRule="auto"/>
              <w:jc w:val="center"/>
              <w:rPr>
                <w:rFonts w:ascii="宋体" w:hAnsi="宋体"/>
              </w:rPr>
            </w:pPr>
            <w:r>
              <w:rPr>
                <w:rFonts w:ascii="宋体" w:hAnsi="宋体" w:hint="eastAsia"/>
              </w:rPr>
              <w:t>方案</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08EA907F">
            <w:pPr>
              <w:spacing w:line="360" w:lineRule="auto"/>
              <w:rPr>
                <w:rFonts w:ascii="宋体" w:hAnsi="宋体"/>
                <w:lang w:eastAsia="zh-CN"/>
              </w:rPr>
            </w:pPr>
            <w:r>
              <w:rPr>
                <w:rFonts w:ascii="宋体" w:hAnsi="宋体" w:hint="eastAsia"/>
                <w:lang w:eastAsia="zh-CN"/>
              </w:rPr>
              <w:t>除招标文件明确允许提交备选投标方案外，投标人不得提交备选投标方案</w:t>
            </w:r>
          </w:p>
        </w:tc>
      </w:tr>
      <w:tr w14:paraId="24E5C1D6">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45FADA2D">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6B65243A">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3374F84E">
            <w:pPr>
              <w:spacing w:line="360" w:lineRule="auto"/>
              <w:jc w:val="center"/>
              <w:rPr>
                <w:rFonts w:ascii="宋体" w:hAnsi="宋体"/>
              </w:rPr>
            </w:pPr>
            <w:r>
              <w:rPr>
                <w:rFonts w:ascii="宋体" w:hAnsi="宋体" w:hint="eastAsia"/>
              </w:rPr>
              <w:t>……</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4F58326F">
            <w:pPr>
              <w:spacing w:line="360" w:lineRule="auto"/>
              <w:jc w:val="center"/>
              <w:rPr>
                <w:rFonts w:ascii="宋体" w:hAnsi="宋体"/>
              </w:rPr>
            </w:pPr>
            <w:r>
              <w:rPr>
                <w:rFonts w:ascii="宋体" w:hAnsi="宋体" w:hint="eastAsia"/>
              </w:rPr>
              <w:t>……</w:t>
            </w:r>
          </w:p>
        </w:tc>
      </w:tr>
      <w:tr w14:paraId="42318245">
        <w:tblPrEx>
          <w:tblW w:w="0" w:type="auto"/>
          <w:jc w:val="center"/>
          <w:tblLayout w:type="fixed"/>
          <w:tblCellMar>
            <w:top w:w="0" w:type="dxa"/>
            <w:left w:w="108" w:type="dxa"/>
            <w:bottom w:w="0" w:type="dxa"/>
            <w:right w:w="108" w:type="dxa"/>
          </w:tblCellMar>
        </w:tblPrEx>
        <w:trPr>
          <w:trHeight w:val="476"/>
          <w:jc w:val="center"/>
        </w:trPr>
        <w:tc>
          <w:tcPr>
            <w:tcW w:w="1134" w:type="dxa"/>
            <w:vMerge w:val="restart"/>
            <w:tcBorders>
              <w:top w:val="single" w:sz="2" w:space="0" w:color="auto"/>
              <w:left w:val="single" w:sz="2" w:space="0" w:color="auto"/>
              <w:bottom w:val="single" w:sz="2" w:space="0" w:color="auto"/>
              <w:right w:val="single" w:sz="2" w:space="0" w:color="auto"/>
            </w:tcBorders>
            <w:vAlign w:val="center"/>
          </w:tcPr>
          <w:p w14:paraId="1BE599B8">
            <w:pPr>
              <w:spacing w:line="360" w:lineRule="auto"/>
              <w:jc w:val="center"/>
              <w:rPr>
                <w:rFonts w:ascii="宋体" w:hAnsi="宋体"/>
              </w:rPr>
            </w:pPr>
            <w:r>
              <w:rPr>
                <w:rFonts w:ascii="宋体" w:hAnsi="宋体" w:hint="eastAsia"/>
              </w:rPr>
              <w:t>2.1.2</w:t>
            </w:r>
          </w:p>
        </w:tc>
        <w:tc>
          <w:tcPr>
            <w:tcW w:w="993" w:type="dxa"/>
            <w:vMerge w:val="restart"/>
            <w:tcBorders>
              <w:top w:val="single" w:sz="2" w:space="0" w:color="auto"/>
              <w:left w:val="single" w:sz="2" w:space="0" w:color="auto"/>
              <w:bottom w:val="single" w:sz="2" w:space="0" w:color="auto"/>
              <w:right w:val="single" w:sz="2" w:space="0" w:color="auto"/>
            </w:tcBorders>
            <w:vAlign w:val="center"/>
          </w:tcPr>
          <w:p w14:paraId="049ECEEA">
            <w:pPr>
              <w:spacing w:line="360" w:lineRule="auto"/>
              <w:jc w:val="center"/>
              <w:rPr>
                <w:rFonts w:ascii="宋体" w:hAnsi="宋体"/>
              </w:rPr>
            </w:pPr>
            <w:r>
              <w:rPr>
                <w:rFonts w:ascii="宋体" w:hAnsi="宋体" w:hint="eastAsia"/>
              </w:rPr>
              <w:t>资格评审标准</w:t>
            </w:r>
          </w:p>
        </w:tc>
        <w:tc>
          <w:tcPr>
            <w:tcW w:w="1842" w:type="dxa"/>
            <w:tcBorders>
              <w:top w:val="single" w:sz="2" w:space="0" w:color="auto"/>
              <w:left w:val="single" w:sz="2" w:space="0" w:color="auto"/>
              <w:bottom w:val="single" w:sz="2" w:space="0" w:color="auto"/>
              <w:right w:val="single" w:sz="2" w:space="0" w:color="auto"/>
            </w:tcBorders>
            <w:vAlign w:val="center"/>
          </w:tcPr>
          <w:p w14:paraId="173350B7">
            <w:pPr>
              <w:spacing w:line="360" w:lineRule="auto"/>
              <w:jc w:val="center"/>
              <w:rPr>
                <w:rFonts w:ascii="宋体" w:hAnsi="宋体"/>
              </w:rPr>
            </w:pPr>
            <w:r>
              <w:rPr>
                <w:rFonts w:ascii="宋体" w:hAnsi="宋体" w:hint="eastAsia"/>
              </w:rPr>
              <w:t>营业执照</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3D1394FC">
            <w:pPr>
              <w:spacing w:line="360" w:lineRule="auto"/>
              <w:rPr>
                <w:rFonts w:ascii="宋体" w:hAnsi="宋体"/>
              </w:rPr>
            </w:pPr>
            <w:r>
              <w:rPr>
                <w:rFonts w:ascii="宋体" w:hAnsi="宋体" w:hint="eastAsia"/>
              </w:rPr>
              <w:t>具备有效的营业执照</w:t>
            </w:r>
          </w:p>
        </w:tc>
      </w:tr>
      <w:tr w14:paraId="3143ED24">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14B8AF5F">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20BDD795">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05996F92">
            <w:pPr>
              <w:spacing w:line="360" w:lineRule="auto"/>
              <w:jc w:val="center"/>
              <w:rPr>
                <w:rFonts w:ascii="宋体" w:hAnsi="宋体"/>
              </w:rPr>
            </w:pPr>
            <w:r>
              <w:rPr>
                <w:rFonts w:ascii="宋体" w:hAnsi="宋体" w:hint="eastAsia"/>
              </w:rPr>
              <w:t>安全生产</w:t>
            </w:r>
          </w:p>
          <w:p w14:paraId="12F51D49">
            <w:pPr>
              <w:spacing w:line="360" w:lineRule="auto"/>
              <w:jc w:val="center"/>
              <w:rPr>
                <w:rFonts w:ascii="宋体" w:hAnsi="宋体"/>
              </w:rPr>
            </w:pPr>
            <w:r>
              <w:rPr>
                <w:rFonts w:ascii="宋体" w:hAnsi="宋体" w:hint="eastAsia"/>
              </w:rPr>
              <w:t>许可证</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28DFEA50">
            <w:pPr>
              <w:spacing w:line="360" w:lineRule="auto"/>
              <w:rPr>
                <w:rFonts w:ascii="宋体" w:hAnsi="宋体"/>
                <w:lang w:eastAsia="zh-CN"/>
              </w:rPr>
            </w:pPr>
            <w:r>
              <w:rPr>
                <w:rFonts w:ascii="宋体" w:hAnsi="宋体" w:hint="eastAsia"/>
                <w:lang w:eastAsia="zh-CN"/>
              </w:rPr>
              <w:t>具备有效的安全生产许可证（园林绿化、电梯安装等不实行安全生产许可的除外）</w:t>
            </w:r>
          </w:p>
        </w:tc>
      </w:tr>
      <w:tr w14:paraId="0FE24F6C">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4BF2033E">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56D625C3">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5CCA7885">
            <w:pPr>
              <w:spacing w:line="360" w:lineRule="auto"/>
              <w:jc w:val="center"/>
              <w:rPr>
                <w:rFonts w:ascii="宋体" w:hAnsi="宋体"/>
              </w:rPr>
            </w:pPr>
            <w:r>
              <w:rPr>
                <w:rFonts w:ascii="宋体" w:hAnsi="宋体" w:hint="eastAsia"/>
              </w:rPr>
              <w:t>资质等级</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35066156">
            <w:pPr>
              <w:spacing w:line="360" w:lineRule="auto"/>
              <w:rPr>
                <w:rFonts w:ascii="宋体" w:hAnsi="宋体"/>
                <w:lang w:eastAsia="zh-CN"/>
              </w:rPr>
            </w:pPr>
            <w:r>
              <w:rPr>
                <w:rFonts w:ascii="宋体" w:hAnsi="宋体" w:hint="eastAsia"/>
                <w:lang w:eastAsia="zh-CN"/>
              </w:rPr>
              <w:t>符合第二章“投标人须知”第 1.4.1  项规定</w:t>
            </w:r>
          </w:p>
        </w:tc>
      </w:tr>
      <w:tr w14:paraId="66AFF469">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7F4AEC07">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1AF44855">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29BF5C48">
            <w:pPr>
              <w:spacing w:line="360" w:lineRule="auto"/>
              <w:jc w:val="center"/>
              <w:rPr>
                <w:rFonts w:ascii="宋体" w:hAnsi="宋体"/>
              </w:rPr>
            </w:pPr>
            <w:r>
              <w:rPr>
                <w:rFonts w:ascii="宋体" w:hAnsi="宋体" w:hint="eastAsia"/>
              </w:rPr>
              <w:t>财务状况</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33FD83EC">
            <w:pPr>
              <w:spacing w:line="360" w:lineRule="auto"/>
              <w:rPr>
                <w:rFonts w:ascii="宋体" w:hAnsi="宋体"/>
                <w:lang w:eastAsia="zh-CN"/>
              </w:rPr>
            </w:pPr>
            <w:r>
              <w:rPr>
                <w:rFonts w:ascii="宋体" w:hAnsi="宋体" w:hint="eastAsia"/>
                <w:lang w:eastAsia="zh-CN"/>
              </w:rPr>
              <w:t>符合第二章“投标人须知”第 1.4.1  项规定</w:t>
            </w:r>
          </w:p>
        </w:tc>
      </w:tr>
      <w:tr w14:paraId="65F19653">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7A26EB52">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31392288">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5FA4A038">
            <w:pPr>
              <w:spacing w:line="360" w:lineRule="auto"/>
              <w:jc w:val="center"/>
              <w:rPr>
                <w:rFonts w:ascii="宋体" w:hAnsi="宋体"/>
              </w:rPr>
            </w:pPr>
            <w:r>
              <w:rPr>
                <w:rFonts w:ascii="宋体" w:hAnsi="宋体" w:hint="eastAsia"/>
              </w:rPr>
              <w:t>类似项目业绩</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5D4A8F58">
            <w:pPr>
              <w:spacing w:line="360" w:lineRule="auto"/>
              <w:rPr>
                <w:rFonts w:ascii="宋体" w:hAnsi="宋体"/>
                <w:lang w:eastAsia="zh-CN"/>
              </w:rPr>
            </w:pPr>
            <w:r>
              <w:rPr>
                <w:rFonts w:ascii="宋体" w:hAnsi="宋体" w:hint="eastAsia"/>
                <w:lang w:eastAsia="zh-CN"/>
              </w:rPr>
              <w:t>符合第二章“投标人须知”第 1.4.1  项规定</w:t>
            </w:r>
          </w:p>
        </w:tc>
      </w:tr>
      <w:tr w14:paraId="78A09E39">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1711217C">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600DF5D1">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255CEA58">
            <w:pPr>
              <w:spacing w:line="360" w:lineRule="auto"/>
              <w:jc w:val="center"/>
              <w:rPr>
                <w:rFonts w:ascii="宋体" w:hAnsi="宋体"/>
              </w:rPr>
            </w:pPr>
            <w:r>
              <w:rPr>
                <w:rFonts w:ascii="宋体" w:hAnsi="宋体" w:hint="eastAsia"/>
              </w:rPr>
              <w:t>信誉</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123162ED">
            <w:pPr>
              <w:spacing w:line="360" w:lineRule="auto"/>
              <w:rPr>
                <w:rFonts w:ascii="宋体" w:hAnsi="宋体"/>
                <w:lang w:eastAsia="zh-CN"/>
              </w:rPr>
            </w:pPr>
            <w:r>
              <w:rPr>
                <w:rFonts w:ascii="宋体" w:hAnsi="宋体" w:hint="eastAsia"/>
                <w:lang w:eastAsia="zh-CN"/>
              </w:rPr>
              <w:t>符合第二章“投标人须知”第 1.4.1  项规定</w:t>
            </w:r>
          </w:p>
        </w:tc>
      </w:tr>
      <w:tr w14:paraId="4A532A60">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19CB76FF">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58F4D3B2">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2C0BDB9A">
            <w:pPr>
              <w:spacing w:line="360" w:lineRule="auto"/>
              <w:jc w:val="center"/>
              <w:rPr>
                <w:rFonts w:ascii="宋体" w:hAnsi="宋体"/>
              </w:rPr>
            </w:pPr>
            <w:r>
              <w:rPr>
                <w:rFonts w:ascii="宋体" w:hAnsi="宋体" w:hint="eastAsia"/>
              </w:rPr>
              <w:t>项目经理</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36D670B7">
            <w:pPr>
              <w:spacing w:line="360" w:lineRule="auto"/>
              <w:rPr>
                <w:rFonts w:ascii="宋体" w:hAnsi="宋体"/>
                <w:lang w:eastAsia="zh-CN"/>
              </w:rPr>
            </w:pPr>
            <w:r>
              <w:rPr>
                <w:rFonts w:ascii="宋体" w:hAnsi="宋体" w:hint="eastAsia"/>
                <w:lang w:eastAsia="zh-CN"/>
              </w:rPr>
              <w:t>符合第二章“投标人须知”第 1.4.1  项规定</w:t>
            </w:r>
          </w:p>
        </w:tc>
      </w:tr>
      <w:tr w14:paraId="3C83011B">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2479BB65">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009A5501">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191D60E8">
            <w:pPr>
              <w:spacing w:line="360" w:lineRule="auto"/>
              <w:jc w:val="center"/>
              <w:rPr>
                <w:rFonts w:ascii="宋体" w:hAnsi="宋体"/>
              </w:rPr>
            </w:pPr>
            <w:r>
              <w:rPr>
                <w:rFonts w:ascii="宋体" w:hAnsi="宋体" w:hint="eastAsia"/>
              </w:rPr>
              <w:t>技术负责人</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7A2EBE15">
            <w:pPr>
              <w:spacing w:line="360" w:lineRule="auto"/>
              <w:rPr>
                <w:rFonts w:ascii="宋体" w:hAnsi="宋体"/>
                <w:lang w:eastAsia="zh-CN"/>
              </w:rPr>
            </w:pPr>
            <w:r>
              <w:rPr>
                <w:rFonts w:ascii="宋体" w:hAnsi="宋体" w:hint="eastAsia"/>
                <w:lang w:eastAsia="zh-CN"/>
              </w:rPr>
              <w:t>符合第二章“投标人须知”第 1.4.1  项规定</w:t>
            </w:r>
          </w:p>
        </w:tc>
      </w:tr>
      <w:tr w14:paraId="5BA1C38C">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1334FDCA">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20C6784E">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6FF275B7">
            <w:pPr>
              <w:spacing w:line="360" w:lineRule="auto"/>
              <w:jc w:val="center"/>
              <w:rPr>
                <w:rFonts w:ascii="宋体" w:hAnsi="宋体"/>
              </w:rPr>
            </w:pPr>
            <w:r>
              <w:rPr>
                <w:rFonts w:ascii="宋体" w:hAnsi="宋体" w:hint="eastAsia"/>
              </w:rPr>
              <w:t>其他要求</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78A28A60">
            <w:pPr>
              <w:spacing w:line="360" w:lineRule="auto"/>
              <w:rPr>
                <w:rFonts w:ascii="宋体" w:hAnsi="宋体"/>
                <w:lang w:eastAsia="zh-CN"/>
              </w:rPr>
            </w:pPr>
            <w:r>
              <w:rPr>
                <w:rFonts w:ascii="宋体" w:hAnsi="宋体" w:hint="eastAsia"/>
                <w:lang w:eastAsia="zh-CN"/>
              </w:rPr>
              <w:t>符合第二章“投标人须知”第 1.4.1  项规定</w:t>
            </w:r>
          </w:p>
        </w:tc>
      </w:tr>
      <w:tr w14:paraId="56B07500">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5C9C1A3A">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114768EC">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7866D416">
            <w:pPr>
              <w:spacing w:line="360" w:lineRule="auto"/>
              <w:jc w:val="center"/>
              <w:rPr>
                <w:rFonts w:ascii="宋体" w:hAnsi="宋体"/>
              </w:rPr>
            </w:pPr>
            <w:r>
              <w:rPr>
                <w:rFonts w:ascii="宋体" w:hAnsi="宋体" w:hint="eastAsia"/>
              </w:rPr>
              <w:t>联合体投标人</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3AA3253A">
            <w:pPr>
              <w:spacing w:line="360" w:lineRule="auto"/>
              <w:rPr>
                <w:rFonts w:ascii="宋体" w:hAnsi="宋体"/>
                <w:lang w:eastAsia="zh-CN"/>
              </w:rPr>
            </w:pPr>
            <w:r>
              <w:rPr>
                <w:rFonts w:ascii="宋体" w:hAnsi="宋体" w:hint="eastAsia"/>
                <w:lang w:eastAsia="zh-CN"/>
              </w:rPr>
              <w:t>符合第二章“投标人须知”第 1.4.2  项规定（如有）</w:t>
            </w:r>
          </w:p>
        </w:tc>
      </w:tr>
      <w:tr w14:paraId="4ACE081E">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415B0BEA">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1195DFC7">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4871D3B3">
            <w:pPr>
              <w:spacing w:line="360" w:lineRule="auto"/>
              <w:jc w:val="center"/>
              <w:rPr>
                <w:rFonts w:ascii="宋体" w:hAnsi="宋体"/>
              </w:rPr>
            </w:pPr>
            <w:r>
              <w:rPr>
                <w:rFonts w:ascii="宋体" w:hAnsi="宋体" w:hint="eastAsia"/>
              </w:rPr>
              <w:t>投标要求</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1F0A118E">
            <w:pPr>
              <w:spacing w:line="360" w:lineRule="auto"/>
              <w:rPr>
                <w:rFonts w:ascii="宋体" w:hAnsi="宋体"/>
                <w:lang w:eastAsia="zh-CN"/>
              </w:rPr>
            </w:pPr>
            <w:r>
              <w:rPr>
                <w:rFonts w:ascii="宋体" w:hAnsi="宋体" w:hint="eastAsia"/>
                <w:lang w:eastAsia="zh-CN"/>
              </w:rPr>
              <w:t>不存在本章第 3.1.2 项任何一种情形</w:t>
            </w:r>
          </w:p>
        </w:tc>
      </w:tr>
      <w:tr w14:paraId="75563A8C">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72D8BAB7">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55B23081">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5D0A1550">
            <w:pPr>
              <w:spacing w:line="360" w:lineRule="auto"/>
              <w:jc w:val="center"/>
              <w:rPr>
                <w:rFonts w:ascii="宋体" w:hAnsi="宋体"/>
              </w:rPr>
            </w:pPr>
            <w:r>
              <w:rPr>
                <w:rFonts w:ascii="宋体" w:hAnsi="宋体" w:hint="eastAsia"/>
              </w:rPr>
              <w:t>……</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15694C4D">
            <w:pPr>
              <w:spacing w:line="360" w:lineRule="auto"/>
              <w:jc w:val="center"/>
              <w:rPr>
                <w:rFonts w:ascii="宋体" w:hAnsi="宋体"/>
              </w:rPr>
            </w:pPr>
            <w:r>
              <w:rPr>
                <w:rFonts w:ascii="宋体" w:hAnsi="宋体" w:hint="eastAsia"/>
              </w:rPr>
              <w:t>……</w:t>
            </w:r>
          </w:p>
        </w:tc>
      </w:tr>
      <w:tr w14:paraId="6607FAD3">
        <w:tblPrEx>
          <w:tblW w:w="0" w:type="auto"/>
          <w:jc w:val="center"/>
          <w:tblLayout w:type="fixed"/>
          <w:tblCellMar>
            <w:top w:w="0" w:type="dxa"/>
            <w:left w:w="108" w:type="dxa"/>
            <w:bottom w:w="0" w:type="dxa"/>
            <w:right w:w="108" w:type="dxa"/>
          </w:tblCellMar>
        </w:tblPrEx>
        <w:trPr>
          <w:trHeight w:val="476"/>
          <w:jc w:val="center"/>
        </w:trPr>
        <w:tc>
          <w:tcPr>
            <w:tcW w:w="1134" w:type="dxa"/>
            <w:vMerge w:val="restart"/>
            <w:tcBorders>
              <w:top w:val="single" w:sz="2" w:space="0" w:color="auto"/>
              <w:left w:val="single" w:sz="2" w:space="0" w:color="auto"/>
              <w:bottom w:val="single" w:sz="2" w:space="0" w:color="auto"/>
              <w:right w:val="single" w:sz="2" w:space="0" w:color="auto"/>
            </w:tcBorders>
            <w:vAlign w:val="center"/>
          </w:tcPr>
          <w:p w14:paraId="2CAF2604">
            <w:pPr>
              <w:spacing w:line="360" w:lineRule="auto"/>
              <w:jc w:val="center"/>
              <w:rPr>
                <w:rFonts w:ascii="宋体" w:hAnsi="宋体"/>
              </w:rPr>
            </w:pPr>
            <w:r>
              <w:rPr>
                <w:rFonts w:ascii="宋体" w:hAnsi="宋体" w:hint="eastAsia"/>
              </w:rPr>
              <w:t>2.1.3</w:t>
            </w:r>
          </w:p>
        </w:tc>
        <w:tc>
          <w:tcPr>
            <w:tcW w:w="993" w:type="dxa"/>
            <w:vMerge w:val="restart"/>
            <w:tcBorders>
              <w:top w:val="single" w:sz="2" w:space="0" w:color="auto"/>
              <w:left w:val="single" w:sz="2" w:space="0" w:color="auto"/>
              <w:bottom w:val="single" w:sz="2" w:space="0" w:color="auto"/>
              <w:right w:val="single" w:sz="2" w:space="0" w:color="auto"/>
            </w:tcBorders>
            <w:vAlign w:val="center"/>
          </w:tcPr>
          <w:p w14:paraId="1B311A40">
            <w:pPr>
              <w:spacing w:line="360" w:lineRule="auto"/>
              <w:jc w:val="center"/>
              <w:rPr>
                <w:rFonts w:ascii="宋体" w:hAnsi="宋体"/>
              </w:rPr>
            </w:pPr>
            <w:r>
              <w:rPr>
                <w:rFonts w:ascii="宋体" w:hAnsi="宋体" w:hint="eastAsia"/>
              </w:rPr>
              <w:t>响应性评审标准</w:t>
            </w:r>
          </w:p>
        </w:tc>
        <w:tc>
          <w:tcPr>
            <w:tcW w:w="1842" w:type="dxa"/>
            <w:tcBorders>
              <w:top w:val="single" w:sz="2" w:space="0" w:color="auto"/>
              <w:left w:val="single" w:sz="2" w:space="0" w:color="auto"/>
              <w:bottom w:val="single" w:sz="2" w:space="0" w:color="auto"/>
              <w:right w:val="single" w:sz="2" w:space="0" w:color="auto"/>
            </w:tcBorders>
            <w:vAlign w:val="center"/>
          </w:tcPr>
          <w:p w14:paraId="096949F0">
            <w:pPr>
              <w:spacing w:line="360" w:lineRule="auto"/>
              <w:jc w:val="center"/>
              <w:rPr>
                <w:rFonts w:ascii="宋体" w:hAnsi="宋体"/>
              </w:rPr>
            </w:pPr>
            <w:r>
              <w:rPr>
                <w:rFonts w:ascii="宋体" w:hAnsi="宋体" w:hint="eastAsia"/>
              </w:rPr>
              <w:t>投标内容</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0F32305A">
            <w:pPr>
              <w:spacing w:line="360" w:lineRule="auto"/>
              <w:rPr>
                <w:rFonts w:ascii="宋体" w:hAnsi="宋体"/>
                <w:lang w:eastAsia="zh-CN"/>
              </w:rPr>
            </w:pPr>
            <w:r>
              <w:rPr>
                <w:rFonts w:ascii="宋体" w:hAnsi="宋体" w:hint="eastAsia"/>
                <w:lang w:eastAsia="zh-CN"/>
              </w:rPr>
              <w:t>符合第二章“投标人须知”第 1.3.1  项规定</w:t>
            </w:r>
          </w:p>
        </w:tc>
      </w:tr>
      <w:tr w14:paraId="1657B923">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56EC2EB1">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68A6346A">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21DA4F4B">
            <w:pPr>
              <w:spacing w:line="360" w:lineRule="auto"/>
              <w:jc w:val="center"/>
              <w:rPr>
                <w:rFonts w:ascii="宋体" w:hAnsi="宋体"/>
              </w:rPr>
            </w:pPr>
            <w:r>
              <w:rPr>
                <w:rFonts w:ascii="宋体" w:hAnsi="宋体" w:hint="eastAsia"/>
              </w:rPr>
              <w:t>工期</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483E6D5F">
            <w:pPr>
              <w:spacing w:line="360" w:lineRule="auto"/>
              <w:rPr>
                <w:rFonts w:ascii="宋体" w:hAnsi="宋体"/>
                <w:lang w:eastAsia="zh-CN"/>
              </w:rPr>
            </w:pPr>
            <w:r>
              <w:rPr>
                <w:rFonts w:ascii="宋体" w:hAnsi="宋体" w:hint="eastAsia"/>
                <w:lang w:eastAsia="zh-CN"/>
              </w:rPr>
              <w:t>符合第二章“投标人须知”第 1.3.2  项规定</w:t>
            </w:r>
          </w:p>
        </w:tc>
      </w:tr>
      <w:tr w14:paraId="286477F4">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34D9CCAA">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11F7DB09">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59235E19">
            <w:pPr>
              <w:spacing w:line="360" w:lineRule="auto"/>
              <w:jc w:val="center"/>
              <w:rPr>
                <w:rFonts w:ascii="宋体" w:hAnsi="宋体"/>
              </w:rPr>
            </w:pPr>
            <w:r>
              <w:rPr>
                <w:rFonts w:ascii="宋体" w:hAnsi="宋体" w:hint="eastAsia"/>
              </w:rPr>
              <w:t>工程质量</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793FFB2D">
            <w:pPr>
              <w:spacing w:line="360" w:lineRule="auto"/>
              <w:rPr>
                <w:rFonts w:ascii="宋体" w:hAnsi="宋体"/>
                <w:lang w:eastAsia="zh-CN"/>
              </w:rPr>
            </w:pPr>
            <w:r>
              <w:rPr>
                <w:rFonts w:ascii="宋体" w:hAnsi="宋体" w:hint="eastAsia"/>
                <w:lang w:eastAsia="zh-CN"/>
              </w:rPr>
              <w:t>符合第二章“投标人须知”第 1.3.3  项规定</w:t>
            </w:r>
          </w:p>
        </w:tc>
      </w:tr>
      <w:tr w14:paraId="4292D0E4">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47E6C1A2">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28B50825">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13104FBA">
            <w:pPr>
              <w:spacing w:line="360" w:lineRule="auto"/>
              <w:jc w:val="center"/>
              <w:rPr>
                <w:rFonts w:ascii="宋体" w:hAnsi="宋体"/>
              </w:rPr>
            </w:pPr>
            <w:r>
              <w:rPr>
                <w:rFonts w:ascii="宋体" w:hAnsi="宋体" w:hint="eastAsia"/>
              </w:rPr>
              <w:t>投标有效期</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05EB9BE8">
            <w:pPr>
              <w:spacing w:line="360" w:lineRule="auto"/>
              <w:rPr>
                <w:rFonts w:ascii="宋体" w:hAnsi="宋体"/>
                <w:lang w:eastAsia="zh-CN"/>
              </w:rPr>
            </w:pPr>
            <w:r>
              <w:rPr>
                <w:rFonts w:ascii="宋体" w:hAnsi="宋体" w:hint="eastAsia"/>
                <w:lang w:eastAsia="zh-CN"/>
              </w:rPr>
              <w:t>符合第二章“投标人须知”第 3.3.1  项规定</w:t>
            </w:r>
          </w:p>
        </w:tc>
      </w:tr>
      <w:tr w14:paraId="19891C42">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0598A5C7">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1F5E5CB3">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65B53103">
            <w:pPr>
              <w:spacing w:line="360" w:lineRule="auto"/>
              <w:jc w:val="center"/>
              <w:rPr>
                <w:rFonts w:ascii="宋体" w:hAnsi="宋体"/>
              </w:rPr>
            </w:pPr>
            <w:r>
              <w:rPr>
                <w:rFonts w:ascii="宋体" w:hAnsi="宋体" w:hint="eastAsia"/>
              </w:rPr>
              <w:t>投标保证金</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106D51DD">
            <w:pPr>
              <w:spacing w:line="360" w:lineRule="auto"/>
              <w:rPr>
                <w:rFonts w:ascii="宋体" w:hAnsi="宋体"/>
                <w:lang w:eastAsia="zh-CN"/>
              </w:rPr>
            </w:pPr>
            <w:r>
              <w:rPr>
                <w:rFonts w:ascii="宋体" w:hAnsi="宋体" w:hint="eastAsia"/>
                <w:lang w:eastAsia="zh-CN"/>
              </w:rPr>
              <w:t>符合第二章“投标人须知”第 3.4.1  项规定</w:t>
            </w:r>
          </w:p>
        </w:tc>
      </w:tr>
      <w:tr w14:paraId="6D021F59">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19F4193E">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7D2F47BC">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625D1484">
            <w:pPr>
              <w:spacing w:line="360" w:lineRule="auto"/>
              <w:jc w:val="center"/>
              <w:rPr>
                <w:rFonts w:ascii="宋体" w:hAnsi="宋体"/>
              </w:rPr>
            </w:pPr>
            <w:r>
              <w:rPr>
                <w:rFonts w:ascii="宋体" w:hAnsi="宋体" w:hint="eastAsia"/>
              </w:rPr>
              <w:t>权利义务</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3FF40A62">
            <w:pPr>
              <w:spacing w:line="360" w:lineRule="auto"/>
              <w:rPr>
                <w:rFonts w:ascii="宋体" w:hAnsi="宋体"/>
                <w:lang w:eastAsia="zh-CN"/>
              </w:rPr>
            </w:pPr>
            <w:r>
              <w:rPr>
                <w:rFonts w:ascii="宋体" w:hAnsi="宋体" w:hint="eastAsia"/>
                <w:lang w:eastAsia="zh-CN"/>
              </w:rPr>
              <w:t>符合第四章“合同条款及格式”规定</w:t>
            </w:r>
          </w:p>
        </w:tc>
      </w:tr>
      <w:tr w14:paraId="549AC889">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1FFA327A">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54C5D5F2">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538AFE42">
            <w:pPr>
              <w:spacing w:line="360" w:lineRule="auto"/>
              <w:jc w:val="center"/>
              <w:rPr>
                <w:rFonts w:ascii="宋体" w:hAnsi="宋体"/>
              </w:rPr>
            </w:pPr>
            <w:r>
              <w:rPr>
                <w:rFonts w:ascii="宋体" w:hAnsi="宋体" w:hint="eastAsia"/>
              </w:rPr>
              <w:t>已标价</w:t>
            </w:r>
          </w:p>
          <w:p w14:paraId="7F3ACD9F">
            <w:pPr>
              <w:spacing w:line="360" w:lineRule="auto"/>
              <w:jc w:val="center"/>
              <w:rPr>
                <w:rFonts w:ascii="宋体" w:hAnsi="宋体"/>
              </w:rPr>
            </w:pPr>
            <w:r>
              <w:rPr>
                <w:rFonts w:ascii="宋体" w:hAnsi="宋体" w:hint="eastAsia"/>
              </w:rPr>
              <w:t>工程量清单</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231E17B1">
            <w:pPr>
              <w:spacing w:line="360" w:lineRule="auto"/>
              <w:rPr>
                <w:rFonts w:ascii="宋体" w:hAnsi="宋体"/>
                <w:lang w:eastAsia="zh-CN"/>
              </w:rPr>
            </w:pPr>
            <w:r>
              <w:rPr>
                <w:rFonts w:ascii="宋体" w:hAnsi="宋体" w:hint="eastAsia"/>
                <w:lang w:eastAsia="zh-CN"/>
              </w:rPr>
              <w:t>符合第五章“工程量清单”给出的范围及数量以及“说明”中对投标人的要求</w:t>
            </w:r>
          </w:p>
        </w:tc>
      </w:tr>
      <w:tr w14:paraId="35209DEB">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259449B8">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2802AAEF">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52192803">
            <w:pPr>
              <w:spacing w:line="360" w:lineRule="auto"/>
              <w:jc w:val="center"/>
              <w:rPr>
                <w:rFonts w:ascii="宋体" w:hAnsi="宋体"/>
              </w:rPr>
            </w:pPr>
            <w:r>
              <w:rPr>
                <w:rFonts w:ascii="宋体" w:hAnsi="宋体" w:hint="eastAsia"/>
              </w:rPr>
              <w:t>技术标准</w:t>
            </w:r>
          </w:p>
          <w:p w14:paraId="6848C205">
            <w:pPr>
              <w:spacing w:line="360" w:lineRule="auto"/>
              <w:jc w:val="center"/>
              <w:rPr>
                <w:rFonts w:ascii="宋体" w:hAnsi="宋体"/>
              </w:rPr>
            </w:pPr>
            <w:r>
              <w:rPr>
                <w:rFonts w:ascii="宋体" w:hAnsi="宋体" w:hint="eastAsia"/>
              </w:rPr>
              <w:t>和要求</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5E159B72">
            <w:pPr>
              <w:spacing w:line="360" w:lineRule="auto"/>
              <w:rPr>
                <w:rFonts w:ascii="宋体" w:hAnsi="宋体"/>
                <w:lang w:eastAsia="zh-CN"/>
              </w:rPr>
            </w:pPr>
            <w:r>
              <w:rPr>
                <w:rFonts w:ascii="宋体" w:hAnsi="宋体" w:hint="eastAsia"/>
                <w:lang w:eastAsia="zh-CN"/>
              </w:rPr>
              <w:t>符合第七章“技术标准和要求”规定</w:t>
            </w:r>
          </w:p>
        </w:tc>
      </w:tr>
      <w:tr w14:paraId="3201BE12">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006E24B7">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37292A27">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00C2B602">
            <w:pPr>
              <w:spacing w:line="360" w:lineRule="auto"/>
              <w:jc w:val="center"/>
              <w:rPr>
                <w:rFonts w:ascii="宋体" w:hAnsi="宋体"/>
              </w:rPr>
            </w:pPr>
            <w:r>
              <w:rPr>
                <w:rFonts w:ascii="宋体" w:hAnsi="宋体" w:hint="eastAsia"/>
              </w:rPr>
              <w:t>分包计划</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5089538E">
            <w:pPr>
              <w:spacing w:line="360" w:lineRule="auto"/>
              <w:rPr>
                <w:rFonts w:ascii="宋体" w:hAnsi="宋体"/>
                <w:lang w:eastAsia="zh-CN"/>
              </w:rPr>
            </w:pPr>
            <w:r>
              <w:rPr>
                <w:rFonts w:ascii="宋体" w:hAnsi="宋体" w:hint="eastAsia"/>
                <w:lang w:eastAsia="zh-CN"/>
              </w:rPr>
              <w:t>符合第二章“投标人须知”第1.11款规定</w:t>
            </w:r>
          </w:p>
        </w:tc>
      </w:tr>
      <w:tr w14:paraId="622A7EE8">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3CF013DF">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1E9DF93F">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3E819A09">
            <w:pPr>
              <w:spacing w:line="360" w:lineRule="auto"/>
              <w:jc w:val="center"/>
              <w:rPr>
                <w:rFonts w:ascii="宋体" w:hAnsi="宋体"/>
              </w:rPr>
            </w:pPr>
            <w:r>
              <w:rPr>
                <w:rFonts w:ascii="宋体" w:hAnsi="宋体" w:hint="eastAsia"/>
              </w:rPr>
              <w:t>最高限价</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4FBFF34A">
            <w:pPr>
              <w:spacing w:line="360" w:lineRule="auto"/>
              <w:rPr>
                <w:rFonts w:ascii="宋体" w:hAnsi="宋体"/>
                <w:lang w:eastAsia="zh-CN"/>
              </w:rPr>
            </w:pPr>
            <w:r>
              <w:rPr>
                <w:rFonts w:ascii="宋体" w:hAnsi="宋体" w:hint="eastAsia"/>
                <w:lang w:eastAsia="zh-CN"/>
              </w:rPr>
              <w:t>投标报价（修正价）不得超过第二章“投标人须知”7.3.1项规定的最高限价</w:t>
            </w:r>
          </w:p>
        </w:tc>
      </w:tr>
      <w:tr w14:paraId="79B504D7">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632583EB">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02190BD1">
            <w:pPr>
              <w:rPr>
                <w:rFonts w:ascii="宋体" w:eastAsia="宋体" w:hAnsi="宋体"/>
                <w:kern w:val="2"/>
                <w:lang w:eastAsia="zh-CN"/>
              </w:rPr>
            </w:pPr>
          </w:p>
        </w:tc>
        <w:tc>
          <w:tcPr>
            <w:tcW w:w="1842" w:type="dxa"/>
            <w:tcBorders>
              <w:top w:val="single" w:sz="2" w:space="0" w:color="auto"/>
              <w:left w:val="single" w:sz="2" w:space="0" w:color="auto"/>
              <w:bottom w:val="single" w:sz="2" w:space="0" w:color="auto"/>
              <w:right w:val="single" w:sz="2" w:space="0" w:color="auto"/>
            </w:tcBorders>
            <w:vAlign w:val="center"/>
          </w:tcPr>
          <w:p w14:paraId="7C036E00">
            <w:pPr>
              <w:spacing w:line="360" w:lineRule="auto"/>
              <w:jc w:val="center"/>
              <w:rPr>
                <w:rFonts w:ascii="宋体" w:hAnsi="宋体"/>
              </w:rPr>
            </w:pPr>
            <w:r>
              <w:rPr>
                <w:rFonts w:ascii="宋体" w:hAnsi="宋体" w:hint="eastAsia"/>
              </w:rPr>
              <w:t>……</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3F8091F2">
            <w:pPr>
              <w:spacing w:line="360" w:lineRule="auto"/>
              <w:jc w:val="center"/>
              <w:rPr>
                <w:rFonts w:ascii="宋体" w:hAnsi="宋体"/>
              </w:rPr>
            </w:pPr>
            <w:r>
              <w:rPr>
                <w:rFonts w:ascii="宋体" w:hAnsi="宋体" w:hint="eastAsia"/>
              </w:rPr>
              <w:t>……</w:t>
            </w:r>
          </w:p>
        </w:tc>
      </w:tr>
      <w:tr w14:paraId="3218A909">
        <w:tblPrEx>
          <w:tblW w:w="0" w:type="auto"/>
          <w:jc w:val="center"/>
          <w:tblLayout w:type="fixed"/>
          <w:tblCellMar>
            <w:top w:w="0" w:type="dxa"/>
            <w:left w:w="108" w:type="dxa"/>
            <w:bottom w:w="0" w:type="dxa"/>
            <w:right w:w="108" w:type="dxa"/>
          </w:tblCellMar>
        </w:tblPrEx>
        <w:trPr>
          <w:trHeight w:val="476"/>
          <w:jc w:val="center"/>
        </w:trPr>
        <w:tc>
          <w:tcPr>
            <w:tcW w:w="1134" w:type="dxa"/>
            <w:vMerge w:val="restart"/>
            <w:tcBorders>
              <w:top w:val="single" w:sz="2" w:space="0" w:color="auto"/>
              <w:left w:val="single" w:sz="2" w:space="0" w:color="auto"/>
              <w:bottom w:val="single" w:sz="2" w:space="0" w:color="auto"/>
              <w:right w:val="single" w:sz="2" w:space="0" w:color="auto"/>
            </w:tcBorders>
            <w:vAlign w:val="center"/>
          </w:tcPr>
          <w:p w14:paraId="09487724">
            <w:pPr>
              <w:spacing w:line="360" w:lineRule="auto"/>
              <w:jc w:val="center"/>
              <w:rPr>
                <w:rFonts w:ascii="宋体" w:hAnsi="宋体"/>
              </w:rPr>
            </w:pPr>
            <w:r>
              <w:rPr>
                <w:rFonts w:ascii="宋体" w:hAnsi="宋体" w:hint="eastAsia"/>
              </w:rPr>
              <w:t>2.1.4</w:t>
            </w:r>
          </w:p>
        </w:tc>
        <w:tc>
          <w:tcPr>
            <w:tcW w:w="993" w:type="dxa"/>
            <w:vMerge w:val="restart"/>
            <w:tcBorders>
              <w:top w:val="single" w:sz="2" w:space="0" w:color="auto"/>
              <w:left w:val="single" w:sz="2" w:space="0" w:color="auto"/>
              <w:bottom w:val="single" w:sz="2" w:space="0" w:color="auto"/>
              <w:right w:val="single" w:sz="2" w:space="0" w:color="auto"/>
            </w:tcBorders>
            <w:vAlign w:val="center"/>
          </w:tcPr>
          <w:p w14:paraId="482AEC8F">
            <w:pPr>
              <w:spacing w:line="360" w:lineRule="auto"/>
              <w:jc w:val="center"/>
              <w:rPr>
                <w:rFonts w:ascii="宋体" w:hAnsi="宋体"/>
              </w:rPr>
            </w:pPr>
            <w:r>
              <w:rPr>
                <w:rFonts w:ascii="宋体" w:hAnsi="宋体" w:hint="eastAsia"/>
              </w:rPr>
              <w:t>施工组织设计</w:t>
            </w:r>
          </w:p>
        </w:tc>
        <w:tc>
          <w:tcPr>
            <w:tcW w:w="1842" w:type="dxa"/>
            <w:tcBorders>
              <w:top w:val="single" w:sz="2" w:space="0" w:color="auto"/>
              <w:left w:val="single" w:sz="2" w:space="0" w:color="auto"/>
              <w:bottom w:val="single" w:sz="2" w:space="0" w:color="auto"/>
              <w:right w:val="single" w:sz="2" w:space="0" w:color="auto"/>
            </w:tcBorders>
            <w:vAlign w:val="center"/>
          </w:tcPr>
          <w:p w14:paraId="78918246">
            <w:pPr>
              <w:spacing w:line="360" w:lineRule="auto"/>
              <w:jc w:val="center"/>
              <w:rPr>
                <w:rFonts w:ascii="宋体" w:hAnsi="宋体"/>
              </w:rPr>
            </w:pPr>
            <w:r>
              <w:rPr>
                <w:rFonts w:ascii="宋体" w:hAnsi="宋体" w:hint="eastAsia"/>
              </w:rPr>
              <w:t>施工方案与技术措施</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2B409410">
            <w:pPr>
              <w:spacing w:line="360" w:lineRule="auto"/>
              <w:jc w:val="center"/>
              <w:rPr>
                <w:rFonts w:ascii="宋体" w:hAnsi="宋体"/>
              </w:rPr>
            </w:pPr>
            <w:r>
              <w:rPr>
                <w:rFonts w:ascii="宋体" w:hAnsi="宋体" w:hint="eastAsia"/>
              </w:rPr>
              <w:t>……</w:t>
            </w:r>
          </w:p>
        </w:tc>
      </w:tr>
      <w:tr w14:paraId="4647ED38">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2130AD83">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0A62EF8C">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48F4DEAD">
            <w:pPr>
              <w:spacing w:line="360" w:lineRule="auto"/>
              <w:jc w:val="center"/>
              <w:rPr>
                <w:rFonts w:ascii="宋体" w:hAnsi="宋体"/>
              </w:rPr>
            </w:pPr>
            <w:r>
              <w:rPr>
                <w:rFonts w:ascii="宋体" w:hAnsi="宋体" w:hint="eastAsia"/>
              </w:rPr>
              <w:t>质量管理体系与措施</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266172B5">
            <w:pPr>
              <w:spacing w:line="360" w:lineRule="auto"/>
              <w:jc w:val="center"/>
              <w:rPr>
                <w:rFonts w:ascii="宋体" w:hAnsi="宋体"/>
              </w:rPr>
            </w:pPr>
            <w:r>
              <w:rPr>
                <w:rFonts w:ascii="宋体" w:hAnsi="宋体" w:hint="eastAsia"/>
              </w:rPr>
              <w:t>……</w:t>
            </w:r>
          </w:p>
        </w:tc>
      </w:tr>
      <w:tr w14:paraId="26E23DD1">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43BB2D84">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479FA329">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464EFC69">
            <w:pPr>
              <w:spacing w:line="360" w:lineRule="auto"/>
              <w:jc w:val="center"/>
              <w:rPr>
                <w:rFonts w:ascii="宋体" w:hAnsi="宋体"/>
              </w:rPr>
            </w:pPr>
            <w:r>
              <w:rPr>
                <w:rFonts w:ascii="宋体" w:hAnsi="宋体" w:hint="eastAsia"/>
              </w:rPr>
              <w:t>安全管理体系与措施</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6B2142E1">
            <w:pPr>
              <w:spacing w:line="360" w:lineRule="auto"/>
              <w:jc w:val="center"/>
              <w:rPr>
                <w:rFonts w:ascii="宋体" w:hAnsi="宋体"/>
              </w:rPr>
            </w:pPr>
            <w:r>
              <w:rPr>
                <w:rFonts w:ascii="宋体" w:hAnsi="宋体" w:hint="eastAsia"/>
              </w:rPr>
              <w:t>……</w:t>
            </w:r>
          </w:p>
        </w:tc>
      </w:tr>
      <w:tr w14:paraId="3A2C747B">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71D64CCB">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0CE74738">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510261C4">
            <w:pPr>
              <w:spacing w:line="360" w:lineRule="auto"/>
              <w:jc w:val="center"/>
              <w:rPr>
                <w:rFonts w:ascii="宋体" w:hAnsi="宋体"/>
                <w:lang w:eastAsia="zh-CN"/>
              </w:rPr>
            </w:pPr>
            <w:r>
              <w:rPr>
                <w:rFonts w:ascii="宋体" w:hAnsi="宋体" w:hint="eastAsia"/>
                <w:lang w:eastAsia="zh-CN"/>
              </w:rPr>
              <w:t>环境保护管理体系与措施</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44C90375">
            <w:pPr>
              <w:spacing w:line="360" w:lineRule="auto"/>
              <w:jc w:val="center"/>
              <w:rPr>
                <w:rFonts w:ascii="宋体" w:hAnsi="宋体"/>
              </w:rPr>
            </w:pPr>
            <w:r>
              <w:rPr>
                <w:rFonts w:ascii="宋体" w:hAnsi="宋体" w:hint="eastAsia"/>
              </w:rPr>
              <w:t>……</w:t>
            </w:r>
          </w:p>
        </w:tc>
      </w:tr>
      <w:tr w14:paraId="73C55FEF">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41CE12F4">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253270CE">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7D21096C">
            <w:pPr>
              <w:spacing w:line="360" w:lineRule="auto"/>
              <w:jc w:val="center"/>
              <w:rPr>
                <w:rFonts w:ascii="宋体" w:hAnsi="宋体"/>
              </w:rPr>
            </w:pPr>
            <w:r>
              <w:rPr>
                <w:rFonts w:ascii="宋体" w:hAnsi="宋体" w:hint="eastAsia"/>
              </w:rPr>
              <w:t>工程进度计划与措施</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156008DE">
            <w:pPr>
              <w:spacing w:line="360" w:lineRule="auto"/>
              <w:jc w:val="center"/>
              <w:rPr>
                <w:rFonts w:ascii="宋体" w:hAnsi="宋体"/>
              </w:rPr>
            </w:pPr>
            <w:r>
              <w:rPr>
                <w:rFonts w:ascii="宋体" w:hAnsi="宋体" w:hint="eastAsia"/>
              </w:rPr>
              <w:t>……</w:t>
            </w:r>
          </w:p>
        </w:tc>
      </w:tr>
      <w:tr w14:paraId="405898C5">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1A032927">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18F1A9E1">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317D22F3">
            <w:pPr>
              <w:spacing w:line="360" w:lineRule="auto"/>
              <w:jc w:val="center"/>
              <w:rPr>
                <w:rFonts w:ascii="宋体" w:hAnsi="宋体"/>
              </w:rPr>
            </w:pPr>
            <w:r>
              <w:rPr>
                <w:rFonts w:ascii="宋体" w:hAnsi="宋体" w:hint="eastAsia"/>
              </w:rPr>
              <w:t>资源配备计划</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44EF7879">
            <w:pPr>
              <w:spacing w:line="360" w:lineRule="auto"/>
              <w:jc w:val="center"/>
              <w:rPr>
                <w:rFonts w:ascii="宋体" w:hAnsi="宋体"/>
              </w:rPr>
            </w:pPr>
            <w:r>
              <w:rPr>
                <w:rFonts w:ascii="宋体" w:hAnsi="宋体" w:hint="eastAsia"/>
              </w:rPr>
              <w:t>……</w:t>
            </w:r>
          </w:p>
        </w:tc>
      </w:tr>
      <w:tr w14:paraId="71A595AB">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086FC5D0">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716BCA1F">
            <w:pPr>
              <w:rPr>
                <w:rFonts w:ascii="宋体" w:eastAsia="宋体" w:hAnsi="宋体"/>
                <w:kern w:val="2"/>
              </w:rPr>
            </w:pPr>
          </w:p>
        </w:tc>
        <w:tc>
          <w:tcPr>
            <w:tcW w:w="1842" w:type="dxa"/>
            <w:tcBorders>
              <w:top w:val="single" w:sz="2" w:space="0" w:color="auto"/>
              <w:left w:val="single" w:sz="2" w:space="0" w:color="auto"/>
              <w:bottom w:val="single" w:sz="2" w:space="0" w:color="auto"/>
              <w:right w:val="single" w:sz="2" w:space="0" w:color="auto"/>
            </w:tcBorders>
            <w:vAlign w:val="center"/>
          </w:tcPr>
          <w:p w14:paraId="28C087A3">
            <w:pPr>
              <w:spacing w:line="360" w:lineRule="auto"/>
              <w:jc w:val="center"/>
              <w:rPr>
                <w:rFonts w:ascii="宋体" w:hAnsi="宋体"/>
              </w:rPr>
            </w:pPr>
            <w:r>
              <w:rPr>
                <w:rFonts w:ascii="宋体" w:hAnsi="宋体" w:hint="eastAsia"/>
              </w:rPr>
              <w:t>……</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7200D98C">
            <w:pPr>
              <w:spacing w:line="360" w:lineRule="auto"/>
              <w:jc w:val="center"/>
              <w:rPr>
                <w:rFonts w:ascii="宋体" w:hAnsi="宋体"/>
              </w:rPr>
            </w:pPr>
            <w:r>
              <w:rPr>
                <w:rFonts w:ascii="宋体" w:hAnsi="宋体" w:hint="eastAsia"/>
              </w:rPr>
              <w:t>……</w:t>
            </w:r>
          </w:p>
        </w:tc>
      </w:tr>
      <w:tr w14:paraId="0D0D433E">
        <w:tblPrEx>
          <w:tblW w:w="0" w:type="auto"/>
          <w:jc w:val="center"/>
          <w:tblLayout w:type="fixed"/>
          <w:tblCellMar>
            <w:top w:w="0" w:type="dxa"/>
            <w:left w:w="108" w:type="dxa"/>
            <w:bottom w:w="0" w:type="dxa"/>
            <w:right w:w="108" w:type="dxa"/>
          </w:tblCellMar>
        </w:tblPrEx>
        <w:trPr>
          <w:trHeight w:val="476"/>
          <w:jc w:val="center"/>
        </w:trPr>
        <w:tc>
          <w:tcPr>
            <w:tcW w:w="1134" w:type="dxa"/>
            <w:vMerge w:val="restart"/>
            <w:tcBorders>
              <w:top w:val="single" w:sz="2" w:space="0" w:color="auto"/>
              <w:left w:val="single" w:sz="2" w:space="0" w:color="auto"/>
              <w:bottom w:val="single" w:sz="2" w:space="0" w:color="auto"/>
              <w:right w:val="single" w:sz="2" w:space="0" w:color="auto"/>
            </w:tcBorders>
            <w:vAlign w:val="center"/>
          </w:tcPr>
          <w:p w14:paraId="05B366DE">
            <w:pPr>
              <w:spacing w:line="360" w:lineRule="auto"/>
              <w:jc w:val="center"/>
              <w:rPr>
                <w:rFonts w:ascii="宋体" w:hAnsi="宋体"/>
              </w:rPr>
            </w:pPr>
            <w:r>
              <w:rPr>
                <w:rFonts w:ascii="宋体" w:hAnsi="宋体" w:hint="eastAsia"/>
              </w:rPr>
              <w:t>2.2</w:t>
            </w:r>
          </w:p>
        </w:tc>
        <w:tc>
          <w:tcPr>
            <w:tcW w:w="993" w:type="dxa"/>
            <w:tcBorders>
              <w:top w:val="single" w:sz="2" w:space="0" w:color="auto"/>
              <w:left w:val="single" w:sz="2" w:space="0" w:color="auto"/>
              <w:bottom w:val="single" w:sz="2" w:space="0" w:color="auto"/>
              <w:right w:val="single" w:sz="2" w:space="0" w:color="auto"/>
            </w:tcBorders>
            <w:vAlign w:val="center"/>
          </w:tcPr>
          <w:p w14:paraId="7F43EAA2">
            <w:pPr>
              <w:spacing w:line="360" w:lineRule="auto"/>
              <w:jc w:val="center"/>
              <w:rPr>
                <w:rFonts w:ascii="宋体" w:hAnsi="宋体"/>
              </w:rPr>
            </w:pPr>
            <w:r>
              <w:rPr>
                <w:rFonts w:ascii="宋体" w:hAnsi="宋体" w:hint="eastAsia"/>
              </w:rPr>
              <w:t>2.2.1</w:t>
            </w:r>
          </w:p>
        </w:tc>
        <w:tc>
          <w:tcPr>
            <w:tcW w:w="1842" w:type="dxa"/>
            <w:tcBorders>
              <w:top w:val="single" w:sz="2" w:space="0" w:color="auto"/>
              <w:left w:val="single" w:sz="2" w:space="0" w:color="auto"/>
              <w:bottom w:val="single" w:sz="2" w:space="0" w:color="auto"/>
              <w:right w:val="single" w:sz="2" w:space="0" w:color="auto"/>
            </w:tcBorders>
            <w:vAlign w:val="center"/>
          </w:tcPr>
          <w:p w14:paraId="50D3A823">
            <w:pPr>
              <w:spacing w:line="360" w:lineRule="auto"/>
              <w:jc w:val="center"/>
              <w:rPr>
                <w:rFonts w:ascii="宋体" w:hAnsi="宋体"/>
                <w:lang w:eastAsia="zh-CN"/>
              </w:rPr>
            </w:pPr>
            <w:r>
              <w:rPr>
                <w:rFonts w:ascii="宋体" w:hAnsi="宋体" w:hint="eastAsia"/>
                <w:lang w:eastAsia="zh-CN"/>
              </w:rPr>
              <w:t>投标报价（含</w:t>
            </w:r>
          </w:p>
          <w:p w14:paraId="36C9F7E2">
            <w:pPr>
              <w:spacing w:line="360" w:lineRule="auto"/>
              <w:jc w:val="center"/>
              <w:rPr>
                <w:rFonts w:ascii="宋体" w:hAnsi="宋体"/>
                <w:lang w:eastAsia="zh-CN"/>
              </w:rPr>
            </w:pPr>
            <w:r>
              <w:rPr>
                <w:rFonts w:ascii="宋体" w:hAnsi="宋体" w:hint="eastAsia"/>
                <w:lang w:eastAsia="zh-CN"/>
              </w:rPr>
              <w:t>成本）评审</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7170249E">
            <w:pPr>
              <w:spacing w:line="360" w:lineRule="auto"/>
              <w:rPr>
                <w:rFonts w:ascii="宋体" w:hAnsi="宋体"/>
                <w:lang w:eastAsia="zh-CN"/>
              </w:rPr>
            </w:pPr>
            <w:r>
              <w:rPr>
                <w:rFonts w:ascii="宋体" w:hAnsi="宋体" w:hint="eastAsia"/>
                <w:lang w:eastAsia="zh-CN"/>
              </w:rPr>
              <w:t>投标报价（含成本）的评审按照《四川省房屋建筑和市政工程工程量清单招标投标报价评审办法》（川建造价发〔2014〕648号）、《关于印发＜四川省房屋建筑和市政工程工程量清单招标投标报价评审办法答疑和评标表格调整＞的通知》（川建造价发〔2016〕683号）和《关于进一步规范工程量清单招标投标报价规费计取和评审的通知》（川建造价发〔2018〕804号）进行评审。</w:t>
            </w:r>
          </w:p>
        </w:tc>
      </w:tr>
      <w:tr w14:paraId="74714120">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1FB88F18">
            <w:pPr>
              <w:rPr>
                <w:rFonts w:ascii="宋体" w:eastAsia="宋体" w:hAnsi="宋体"/>
                <w:kern w:val="2"/>
                <w:lang w:eastAsia="zh-CN"/>
              </w:rPr>
            </w:pPr>
          </w:p>
        </w:tc>
        <w:tc>
          <w:tcPr>
            <w:tcW w:w="993" w:type="dxa"/>
            <w:vMerge w:val="restart"/>
            <w:tcBorders>
              <w:top w:val="single" w:sz="2" w:space="0" w:color="auto"/>
              <w:left w:val="single" w:sz="2" w:space="0" w:color="auto"/>
              <w:bottom w:val="single" w:sz="2" w:space="0" w:color="auto"/>
              <w:right w:val="single" w:sz="2" w:space="0" w:color="auto"/>
            </w:tcBorders>
            <w:vAlign w:val="center"/>
          </w:tcPr>
          <w:p w14:paraId="68DEFCF7">
            <w:pPr>
              <w:spacing w:line="360" w:lineRule="auto"/>
              <w:jc w:val="center"/>
              <w:rPr>
                <w:rFonts w:ascii="宋体" w:hAnsi="宋体"/>
              </w:rPr>
            </w:pPr>
            <w:r>
              <w:rPr>
                <w:rFonts w:ascii="宋体" w:hAnsi="宋体" w:hint="eastAsia"/>
              </w:rPr>
              <w:t>2.2.2</w:t>
            </w:r>
          </w:p>
        </w:tc>
        <w:tc>
          <w:tcPr>
            <w:tcW w:w="1842" w:type="dxa"/>
            <w:vMerge w:val="restart"/>
            <w:tcBorders>
              <w:top w:val="single" w:sz="2" w:space="0" w:color="auto"/>
              <w:left w:val="single" w:sz="2" w:space="0" w:color="auto"/>
              <w:bottom w:val="single" w:sz="2" w:space="0" w:color="auto"/>
              <w:right w:val="single" w:sz="2" w:space="0" w:color="auto"/>
            </w:tcBorders>
            <w:vAlign w:val="center"/>
          </w:tcPr>
          <w:p w14:paraId="0286ECEE">
            <w:pPr>
              <w:spacing w:line="360" w:lineRule="auto"/>
              <w:jc w:val="center"/>
              <w:rPr>
                <w:rFonts w:ascii="宋体" w:hAnsi="宋体"/>
              </w:rPr>
            </w:pPr>
            <w:r>
              <w:rPr>
                <w:rFonts w:ascii="宋体" w:hAnsi="宋体" w:hint="eastAsia"/>
              </w:rPr>
              <w:t>价格折算</w:t>
            </w:r>
          </w:p>
        </w:tc>
        <w:tc>
          <w:tcPr>
            <w:tcW w:w="2620" w:type="dxa"/>
            <w:tcBorders>
              <w:top w:val="single" w:sz="2" w:space="0" w:color="auto"/>
              <w:left w:val="single" w:sz="2" w:space="0" w:color="auto"/>
              <w:bottom w:val="single" w:sz="2" w:space="0" w:color="auto"/>
              <w:right w:val="single" w:sz="2" w:space="0" w:color="auto"/>
            </w:tcBorders>
            <w:vAlign w:val="center"/>
          </w:tcPr>
          <w:p w14:paraId="752509BB">
            <w:pPr>
              <w:spacing w:line="360" w:lineRule="auto"/>
              <w:jc w:val="center"/>
              <w:rPr>
                <w:rFonts w:ascii="宋体" w:hAnsi="宋体"/>
                <w:b/>
              </w:rPr>
            </w:pPr>
            <w:r>
              <w:rPr>
                <w:rFonts w:ascii="宋体" w:hAnsi="宋体" w:hint="eastAsia"/>
                <w:b/>
              </w:rPr>
              <w:t>量化因素</w:t>
            </w:r>
          </w:p>
        </w:tc>
        <w:tc>
          <w:tcPr>
            <w:tcW w:w="2620" w:type="dxa"/>
            <w:tcBorders>
              <w:top w:val="single" w:sz="2" w:space="0" w:color="auto"/>
              <w:left w:val="single" w:sz="2" w:space="0" w:color="auto"/>
              <w:bottom w:val="single" w:sz="2" w:space="0" w:color="auto"/>
              <w:right w:val="single" w:sz="2" w:space="0" w:color="auto"/>
            </w:tcBorders>
            <w:vAlign w:val="center"/>
          </w:tcPr>
          <w:p w14:paraId="0C457601">
            <w:pPr>
              <w:spacing w:line="360" w:lineRule="auto"/>
              <w:jc w:val="center"/>
              <w:rPr>
                <w:rFonts w:ascii="宋体" w:hAnsi="宋体"/>
                <w:b/>
              </w:rPr>
            </w:pPr>
            <w:r>
              <w:rPr>
                <w:rFonts w:ascii="宋体" w:hAnsi="宋体" w:hint="eastAsia"/>
                <w:b/>
              </w:rPr>
              <w:t>量化标准</w:t>
            </w:r>
          </w:p>
        </w:tc>
      </w:tr>
      <w:tr w14:paraId="45754182">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4F1FE866">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656F5663">
            <w:pPr>
              <w:rPr>
                <w:rFonts w:ascii="宋体" w:eastAsia="宋体" w:hAnsi="宋体"/>
                <w:kern w:val="2"/>
              </w:rPr>
            </w:pPr>
          </w:p>
        </w:tc>
        <w:tc>
          <w:tcPr>
            <w:tcW w:w="1842" w:type="dxa"/>
            <w:vMerge/>
            <w:tcBorders>
              <w:top w:val="single" w:sz="2" w:space="0" w:color="auto"/>
              <w:left w:val="single" w:sz="2" w:space="0" w:color="auto"/>
              <w:bottom w:val="single" w:sz="2" w:space="0" w:color="auto"/>
              <w:right w:val="single" w:sz="2" w:space="0" w:color="auto"/>
            </w:tcBorders>
            <w:vAlign w:val="center"/>
          </w:tcPr>
          <w:p w14:paraId="45731DF3">
            <w:pPr>
              <w:rPr>
                <w:rFonts w:ascii="宋体" w:eastAsia="宋体" w:hAnsi="宋体"/>
                <w:kern w:val="2"/>
              </w:rPr>
            </w:pPr>
          </w:p>
        </w:tc>
        <w:tc>
          <w:tcPr>
            <w:tcW w:w="2620" w:type="dxa"/>
            <w:tcBorders>
              <w:top w:val="single" w:sz="2" w:space="0" w:color="auto"/>
              <w:left w:val="single" w:sz="2" w:space="0" w:color="auto"/>
              <w:bottom w:val="single" w:sz="2" w:space="0" w:color="auto"/>
              <w:right w:val="single" w:sz="2" w:space="0" w:color="auto"/>
            </w:tcBorders>
            <w:vAlign w:val="center"/>
          </w:tcPr>
          <w:p w14:paraId="07772DC7">
            <w:pPr>
              <w:spacing w:line="360" w:lineRule="auto"/>
              <w:jc w:val="center"/>
              <w:rPr>
                <w:rFonts w:ascii="宋体" w:hAnsi="宋体"/>
              </w:rPr>
            </w:pPr>
            <w:r>
              <w:rPr>
                <w:rFonts w:ascii="宋体" w:hAnsi="宋体" w:hint="eastAsia"/>
              </w:rPr>
              <w:t>单价遗漏</w:t>
            </w:r>
          </w:p>
        </w:tc>
        <w:tc>
          <w:tcPr>
            <w:tcW w:w="2620" w:type="dxa"/>
            <w:tcBorders>
              <w:top w:val="single" w:sz="2" w:space="0" w:color="auto"/>
              <w:left w:val="single" w:sz="2" w:space="0" w:color="auto"/>
              <w:bottom w:val="single" w:sz="2" w:space="0" w:color="auto"/>
              <w:right w:val="single" w:sz="2" w:space="0" w:color="auto"/>
            </w:tcBorders>
            <w:vAlign w:val="center"/>
          </w:tcPr>
          <w:p w14:paraId="52C7D012">
            <w:pPr>
              <w:spacing w:line="360" w:lineRule="auto"/>
              <w:jc w:val="center"/>
              <w:rPr>
                <w:rFonts w:ascii="宋体" w:hAnsi="宋体"/>
              </w:rPr>
            </w:pPr>
            <w:r>
              <w:rPr>
                <w:rFonts w:ascii="宋体" w:hAnsi="宋体" w:hint="eastAsia"/>
              </w:rPr>
              <w:t>……</w:t>
            </w:r>
          </w:p>
        </w:tc>
      </w:tr>
      <w:tr w14:paraId="45B8EBCF">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41820256">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75012213">
            <w:pPr>
              <w:rPr>
                <w:rFonts w:ascii="宋体" w:eastAsia="宋体" w:hAnsi="宋体"/>
                <w:kern w:val="2"/>
              </w:rPr>
            </w:pPr>
          </w:p>
        </w:tc>
        <w:tc>
          <w:tcPr>
            <w:tcW w:w="1842" w:type="dxa"/>
            <w:vMerge/>
            <w:tcBorders>
              <w:top w:val="single" w:sz="2" w:space="0" w:color="auto"/>
              <w:left w:val="single" w:sz="2" w:space="0" w:color="auto"/>
              <w:bottom w:val="single" w:sz="2" w:space="0" w:color="auto"/>
              <w:right w:val="single" w:sz="2" w:space="0" w:color="auto"/>
            </w:tcBorders>
            <w:vAlign w:val="center"/>
          </w:tcPr>
          <w:p w14:paraId="2BC75C8B">
            <w:pPr>
              <w:rPr>
                <w:rFonts w:ascii="宋体" w:eastAsia="宋体" w:hAnsi="宋体"/>
                <w:kern w:val="2"/>
              </w:rPr>
            </w:pPr>
          </w:p>
        </w:tc>
        <w:tc>
          <w:tcPr>
            <w:tcW w:w="2620" w:type="dxa"/>
            <w:tcBorders>
              <w:top w:val="single" w:sz="2" w:space="0" w:color="auto"/>
              <w:left w:val="single" w:sz="2" w:space="0" w:color="auto"/>
              <w:bottom w:val="single" w:sz="2" w:space="0" w:color="auto"/>
              <w:right w:val="single" w:sz="2" w:space="0" w:color="auto"/>
            </w:tcBorders>
            <w:vAlign w:val="center"/>
          </w:tcPr>
          <w:p w14:paraId="25F2DC8B">
            <w:pPr>
              <w:spacing w:line="360" w:lineRule="auto"/>
              <w:jc w:val="center"/>
              <w:rPr>
                <w:rFonts w:ascii="宋体" w:hAnsi="宋体"/>
              </w:rPr>
            </w:pPr>
            <w:r>
              <w:rPr>
                <w:rFonts w:ascii="宋体" w:hAnsi="宋体" w:hint="eastAsia"/>
              </w:rPr>
              <w:t>付款条件</w:t>
            </w:r>
          </w:p>
        </w:tc>
        <w:tc>
          <w:tcPr>
            <w:tcW w:w="2620" w:type="dxa"/>
            <w:tcBorders>
              <w:top w:val="single" w:sz="2" w:space="0" w:color="auto"/>
              <w:left w:val="single" w:sz="2" w:space="0" w:color="auto"/>
              <w:bottom w:val="single" w:sz="2" w:space="0" w:color="auto"/>
              <w:right w:val="single" w:sz="2" w:space="0" w:color="auto"/>
            </w:tcBorders>
            <w:vAlign w:val="center"/>
          </w:tcPr>
          <w:p w14:paraId="3974DC23">
            <w:pPr>
              <w:spacing w:line="360" w:lineRule="auto"/>
              <w:jc w:val="center"/>
              <w:rPr>
                <w:rFonts w:ascii="宋体" w:hAnsi="宋体"/>
              </w:rPr>
            </w:pPr>
            <w:r>
              <w:rPr>
                <w:rFonts w:ascii="宋体" w:hAnsi="宋体" w:hint="eastAsia"/>
              </w:rPr>
              <w:t>……</w:t>
            </w:r>
          </w:p>
        </w:tc>
      </w:tr>
      <w:tr w14:paraId="6096DBA5">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501BEEF0">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0A92DF6B">
            <w:pPr>
              <w:rPr>
                <w:rFonts w:ascii="宋体" w:eastAsia="宋体" w:hAnsi="宋体"/>
                <w:kern w:val="2"/>
              </w:rPr>
            </w:pPr>
          </w:p>
        </w:tc>
        <w:tc>
          <w:tcPr>
            <w:tcW w:w="1842" w:type="dxa"/>
            <w:vMerge/>
            <w:tcBorders>
              <w:top w:val="single" w:sz="2" w:space="0" w:color="auto"/>
              <w:left w:val="single" w:sz="2" w:space="0" w:color="auto"/>
              <w:bottom w:val="single" w:sz="2" w:space="0" w:color="auto"/>
              <w:right w:val="single" w:sz="2" w:space="0" w:color="auto"/>
            </w:tcBorders>
            <w:vAlign w:val="center"/>
          </w:tcPr>
          <w:p w14:paraId="7521ADE2">
            <w:pPr>
              <w:rPr>
                <w:rFonts w:ascii="宋体" w:eastAsia="宋体" w:hAnsi="宋体"/>
                <w:kern w:val="2"/>
              </w:rPr>
            </w:pPr>
          </w:p>
        </w:tc>
        <w:tc>
          <w:tcPr>
            <w:tcW w:w="2620" w:type="dxa"/>
            <w:tcBorders>
              <w:top w:val="single" w:sz="2" w:space="0" w:color="auto"/>
              <w:left w:val="single" w:sz="2" w:space="0" w:color="auto"/>
              <w:bottom w:val="single" w:sz="2" w:space="0" w:color="auto"/>
              <w:right w:val="single" w:sz="2" w:space="0" w:color="auto"/>
            </w:tcBorders>
            <w:vAlign w:val="center"/>
          </w:tcPr>
          <w:p w14:paraId="75EEC1B7">
            <w:pPr>
              <w:spacing w:line="360" w:lineRule="auto"/>
              <w:jc w:val="center"/>
              <w:rPr>
                <w:rFonts w:ascii="宋体" w:hAnsi="宋体"/>
              </w:rPr>
            </w:pPr>
            <w:r>
              <w:rPr>
                <w:rFonts w:ascii="宋体" w:hAnsi="宋体" w:hint="eastAsia"/>
              </w:rPr>
              <w:t>不平衡报价</w:t>
            </w:r>
          </w:p>
        </w:tc>
        <w:tc>
          <w:tcPr>
            <w:tcW w:w="2620" w:type="dxa"/>
            <w:tcBorders>
              <w:top w:val="single" w:sz="2" w:space="0" w:color="auto"/>
              <w:left w:val="single" w:sz="2" w:space="0" w:color="auto"/>
              <w:bottom w:val="single" w:sz="2" w:space="0" w:color="auto"/>
              <w:right w:val="single" w:sz="2" w:space="0" w:color="auto"/>
            </w:tcBorders>
            <w:vAlign w:val="center"/>
          </w:tcPr>
          <w:p w14:paraId="787E5EA4">
            <w:pPr>
              <w:spacing w:line="360" w:lineRule="auto"/>
              <w:jc w:val="center"/>
              <w:rPr>
                <w:rFonts w:ascii="宋体" w:hAnsi="宋体"/>
              </w:rPr>
            </w:pPr>
            <w:r>
              <w:rPr>
                <w:rFonts w:ascii="宋体" w:hAnsi="宋体" w:hint="eastAsia"/>
              </w:rPr>
              <w:t>……</w:t>
            </w:r>
          </w:p>
        </w:tc>
      </w:tr>
      <w:tr w14:paraId="1A6A2B13">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65EBBFF9">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7FAE2597">
            <w:pPr>
              <w:rPr>
                <w:rFonts w:ascii="宋体" w:eastAsia="宋体" w:hAnsi="宋体"/>
                <w:kern w:val="2"/>
              </w:rPr>
            </w:pPr>
          </w:p>
        </w:tc>
        <w:tc>
          <w:tcPr>
            <w:tcW w:w="1842" w:type="dxa"/>
            <w:vMerge/>
            <w:tcBorders>
              <w:top w:val="single" w:sz="2" w:space="0" w:color="auto"/>
              <w:left w:val="single" w:sz="2" w:space="0" w:color="auto"/>
              <w:bottom w:val="single" w:sz="2" w:space="0" w:color="auto"/>
              <w:right w:val="single" w:sz="2" w:space="0" w:color="auto"/>
            </w:tcBorders>
            <w:vAlign w:val="center"/>
          </w:tcPr>
          <w:p w14:paraId="3F50169A">
            <w:pPr>
              <w:rPr>
                <w:rFonts w:ascii="宋体" w:eastAsia="宋体" w:hAnsi="宋体"/>
                <w:kern w:val="2"/>
              </w:rPr>
            </w:pPr>
          </w:p>
        </w:tc>
        <w:tc>
          <w:tcPr>
            <w:tcW w:w="2620" w:type="dxa"/>
            <w:tcBorders>
              <w:top w:val="single" w:sz="2" w:space="0" w:color="auto"/>
              <w:left w:val="single" w:sz="2" w:space="0" w:color="auto"/>
              <w:bottom w:val="single" w:sz="2" w:space="0" w:color="auto"/>
              <w:right w:val="single" w:sz="2" w:space="0" w:color="auto"/>
            </w:tcBorders>
            <w:vAlign w:val="center"/>
          </w:tcPr>
          <w:p w14:paraId="1C21D0C6">
            <w:pPr>
              <w:spacing w:line="360" w:lineRule="auto"/>
              <w:jc w:val="center"/>
              <w:rPr>
                <w:rFonts w:ascii="宋体" w:hAnsi="宋体"/>
              </w:rPr>
            </w:pPr>
            <w:r>
              <w:rPr>
                <w:rFonts w:ascii="宋体" w:hAnsi="宋体" w:hint="eastAsia"/>
              </w:rPr>
              <w:t>……</w:t>
            </w:r>
          </w:p>
        </w:tc>
        <w:tc>
          <w:tcPr>
            <w:tcW w:w="2620" w:type="dxa"/>
            <w:tcBorders>
              <w:top w:val="single" w:sz="2" w:space="0" w:color="auto"/>
              <w:left w:val="single" w:sz="2" w:space="0" w:color="auto"/>
              <w:bottom w:val="single" w:sz="2" w:space="0" w:color="auto"/>
              <w:right w:val="single" w:sz="2" w:space="0" w:color="auto"/>
            </w:tcBorders>
            <w:vAlign w:val="center"/>
          </w:tcPr>
          <w:p w14:paraId="61DBAD6F">
            <w:pPr>
              <w:spacing w:line="360" w:lineRule="auto"/>
              <w:jc w:val="center"/>
              <w:rPr>
                <w:rFonts w:ascii="宋体" w:hAnsi="宋体"/>
              </w:rPr>
            </w:pPr>
            <w:r>
              <w:rPr>
                <w:rFonts w:ascii="宋体" w:hAnsi="宋体" w:hint="eastAsia"/>
              </w:rPr>
              <w:t>……</w:t>
            </w:r>
          </w:p>
        </w:tc>
      </w:tr>
      <w:tr w14:paraId="610E06FF">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3EDBC96C">
            <w:pPr>
              <w:rPr>
                <w:rFonts w:ascii="宋体" w:eastAsia="宋体" w:hAnsi="宋体"/>
                <w:kern w:val="2"/>
              </w:rPr>
            </w:pPr>
          </w:p>
        </w:tc>
        <w:tc>
          <w:tcPr>
            <w:tcW w:w="993" w:type="dxa"/>
            <w:vMerge w:val="restart"/>
            <w:tcBorders>
              <w:top w:val="single" w:sz="2" w:space="0" w:color="auto"/>
              <w:left w:val="single" w:sz="2" w:space="0" w:color="auto"/>
              <w:bottom w:val="single" w:sz="2" w:space="0" w:color="auto"/>
              <w:right w:val="single" w:sz="2" w:space="0" w:color="auto"/>
            </w:tcBorders>
            <w:vAlign w:val="center"/>
          </w:tcPr>
          <w:p w14:paraId="3CFA14C1">
            <w:pPr>
              <w:spacing w:line="360" w:lineRule="auto"/>
              <w:jc w:val="center"/>
              <w:rPr>
                <w:rFonts w:ascii="宋体" w:hAnsi="宋体"/>
              </w:rPr>
            </w:pPr>
            <w:r>
              <w:rPr>
                <w:rFonts w:ascii="宋体" w:hAnsi="宋体" w:hint="eastAsia"/>
              </w:rPr>
              <w:t>2.2.3</w:t>
            </w:r>
          </w:p>
        </w:tc>
        <w:tc>
          <w:tcPr>
            <w:tcW w:w="1842" w:type="dxa"/>
            <w:vMerge w:val="restart"/>
            <w:tcBorders>
              <w:top w:val="single" w:sz="2" w:space="0" w:color="auto"/>
              <w:left w:val="single" w:sz="2" w:space="0" w:color="auto"/>
              <w:bottom w:val="single" w:sz="2" w:space="0" w:color="auto"/>
              <w:right w:val="single" w:sz="2" w:space="0" w:color="auto"/>
            </w:tcBorders>
            <w:vAlign w:val="center"/>
          </w:tcPr>
          <w:p w14:paraId="764D66B1">
            <w:pPr>
              <w:spacing w:line="360" w:lineRule="auto"/>
              <w:jc w:val="center"/>
              <w:rPr>
                <w:rFonts w:ascii="宋体" w:hAnsi="宋体"/>
              </w:rPr>
            </w:pPr>
            <w:r>
              <w:rPr>
                <w:rFonts w:ascii="宋体" w:hAnsi="宋体" w:hint="eastAsia"/>
              </w:rPr>
              <w:t>投标报价评审参数</w:t>
            </w:r>
          </w:p>
        </w:tc>
        <w:tc>
          <w:tcPr>
            <w:tcW w:w="2620" w:type="dxa"/>
            <w:tcBorders>
              <w:top w:val="single" w:sz="2" w:space="0" w:color="auto"/>
              <w:left w:val="single" w:sz="2" w:space="0" w:color="auto"/>
              <w:bottom w:val="single" w:sz="2" w:space="0" w:color="auto"/>
              <w:right w:val="single" w:sz="2" w:space="0" w:color="auto"/>
            </w:tcBorders>
            <w:vAlign w:val="center"/>
          </w:tcPr>
          <w:p w14:paraId="29EB1E1A">
            <w:pPr>
              <w:spacing w:line="360" w:lineRule="auto"/>
              <w:jc w:val="center"/>
              <w:rPr>
                <w:rFonts w:ascii="宋体" w:hAnsi="宋体"/>
                <w:lang w:eastAsia="zh-CN"/>
              </w:rPr>
            </w:pPr>
            <w:r>
              <w:rPr>
                <w:rFonts w:ascii="宋体" w:hAnsi="宋体" w:hint="eastAsia"/>
                <w:lang w:eastAsia="zh-CN"/>
              </w:rPr>
              <w:t>单价遗漏项总价最高百分比</w:t>
            </w:r>
          </w:p>
        </w:tc>
        <w:tc>
          <w:tcPr>
            <w:tcW w:w="2620" w:type="dxa"/>
            <w:tcBorders>
              <w:top w:val="single" w:sz="2" w:space="0" w:color="auto"/>
              <w:left w:val="single" w:sz="2" w:space="0" w:color="auto"/>
              <w:bottom w:val="single" w:sz="2" w:space="0" w:color="auto"/>
              <w:right w:val="single" w:sz="2" w:space="0" w:color="auto"/>
            </w:tcBorders>
            <w:vAlign w:val="center"/>
          </w:tcPr>
          <w:p w14:paraId="4B4275E3">
            <w:pPr>
              <w:spacing w:line="360" w:lineRule="auto"/>
              <w:jc w:val="center"/>
              <w:rPr>
                <w:rFonts w:ascii="宋体" w:hAnsi="宋体"/>
              </w:rPr>
            </w:pPr>
            <w:r>
              <w:rPr>
                <w:rFonts w:ascii="宋体" w:hAnsi="宋体" w:hint="eastAsia"/>
              </w:rPr>
              <w:t>（</w:t>
            </w:r>
            <w:r>
              <w:rPr>
                <w:rFonts w:ascii="宋体" w:hAnsi="宋体" w:hint="eastAsia"/>
                <w:u w:val="single"/>
              </w:rPr>
              <w:t xml:space="preserve">   </w:t>
            </w:r>
            <w:r>
              <w:rPr>
                <w:rFonts w:ascii="宋体" w:hAnsi="宋体" w:hint="eastAsia"/>
              </w:rPr>
              <w:t>）%</w:t>
            </w:r>
          </w:p>
        </w:tc>
      </w:tr>
      <w:tr w14:paraId="0F82C601">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202F8338">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0E3D76E9">
            <w:pPr>
              <w:rPr>
                <w:rFonts w:ascii="宋体" w:eastAsia="宋体" w:hAnsi="宋体"/>
                <w:kern w:val="2"/>
              </w:rPr>
            </w:pPr>
          </w:p>
        </w:tc>
        <w:tc>
          <w:tcPr>
            <w:tcW w:w="1842" w:type="dxa"/>
            <w:vMerge/>
            <w:tcBorders>
              <w:top w:val="single" w:sz="2" w:space="0" w:color="auto"/>
              <w:left w:val="single" w:sz="2" w:space="0" w:color="auto"/>
              <w:bottom w:val="single" w:sz="2" w:space="0" w:color="auto"/>
              <w:right w:val="single" w:sz="2" w:space="0" w:color="auto"/>
            </w:tcBorders>
            <w:vAlign w:val="center"/>
          </w:tcPr>
          <w:p w14:paraId="52751F1C">
            <w:pPr>
              <w:rPr>
                <w:rFonts w:ascii="宋体" w:eastAsia="宋体" w:hAnsi="宋体"/>
                <w:kern w:val="2"/>
              </w:rPr>
            </w:pPr>
          </w:p>
        </w:tc>
        <w:tc>
          <w:tcPr>
            <w:tcW w:w="2620" w:type="dxa"/>
            <w:tcBorders>
              <w:top w:val="single" w:sz="2" w:space="0" w:color="auto"/>
              <w:left w:val="single" w:sz="2" w:space="0" w:color="auto"/>
              <w:bottom w:val="single" w:sz="2" w:space="0" w:color="auto"/>
              <w:right w:val="single" w:sz="2" w:space="0" w:color="auto"/>
            </w:tcBorders>
            <w:vAlign w:val="center"/>
          </w:tcPr>
          <w:p w14:paraId="346925BF">
            <w:pPr>
              <w:spacing w:line="360" w:lineRule="auto"/>
              <w:jc w:val="center"/>
              <w:rPr>
                <w:rFonts w:ascii="宋体" w:hAnsi="宋体"/>
                <w:lang w:eastAsia="zh-CN"/>
              </w:rPr>
            </w:pPr>
            <w:r>
              <w:rPr>
                <w:rFonts w:ascii="宋体" w:hAnsi="宋体" w:hint="eastAsia"/>
                <w:lang w:eastAsia="zh-CN"/>
              </w:rPr>
              <w:t>第一类分部分项为不平衡报价百分比</w:t>
            </w:r>
          </w:p>
        </w:tc>
        <w:tc>
          <w:tcPr>
            <w:tcW w:w="2620" w:type="dxa"/>
            <w:tcBorders>
              <w:top w:val="single" w:sz="2" w:space="0" w:color="auto"/>
              <w:left w:val="single" w:sz="2" w:space="0" w:color="auto"/>
              <w:bottom w:val="single" w:sz="2" w:space="0" w:color="auto"/>
              <w:right w:val="single" w:sz="2" w:space="0" w:color="auto"/>
            </w:tcBorders>
            <w:vAlign w:val="center"/>
          </w:tcPr>
          <w:p w14:paraId="3B3C6B63">
            <w:pPr>
              <w:spacing w:line="360" w:lineRule="auto"/>
              <w:jc w:val="center"/>
              <w:rPr>
                <w:rFonts w:ascii="宋体" w:hAnsi="宋体"/>
              </w:rPr>
            </w:pPr>
            <w:r>
              <w:rPr>
                <w:rFonts w:ascii="宋体" w:hAnsi="宋体" w:hint="eastAsia"/>
              </w:rPr>
              <w:t>（</w:t>
            </w:r>
            <w:r>
              <w:rPr>
                <w:rFonts w:ascii="宋体" w:hAnsi="宋体" w:hint="eastAsia"/>
                <w:u w:val="single"/>
              </w:rPr>
              <w:t xml:space="preserve">   </w:t>
            </w:r>
            <w:r>
              <w:rPr>
                <w:rFonts w:ascii="宋体" w:hAnsi="宋体" w:hint="eastAsia"/>
              </w:rPr>
              <w:t>）%</w:t>
            </w:r>
          </w:p>
        </w:tc>
      </w:tr>
      <w:tr w14:paraId="0C646302">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3B600A35">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76E8A9A2">
            <w:pPr>
              <w:rPr>
                <w:rFonts w:ascii="宋体" w:eastAsia="宋体" w:hAnsi="宋体"/>
                <w:kern w:val="2"/>
              </w:rPr>
            </w:pPr>
          </w:p>
        </w:tc>
        <w:tc>
          <w:tcPr>
            <w:tcW w:w="1842" w:type="dxa"/>
            <w:vMerge/>
            <w:tcBorders>
              <w:top w:val="single" w:sz="2" w:space="0" w:color="auto"/>
              <w:left w:val="single" w:sz="2" w:space="0" w:color="auto"/>
              <w:bottom w:val="single" w:sz="2" w:space="0" w:color="auto"/>
              <w:right w:val="single" w:sz="2" w:space="0" w:color="auto"/>
            </w:tcBorders>
            <w:vAlign w:val="center"/>
          </w:tcPr>
          <w:p w14:paraId="773837AA">
            <w:pPr>
              <w:rPr>
                <w:rFonts w:ascii="宋体" w:eastAsia="宋体" w:hAnsi="宋体"/>
                <w:kern w:val="2"/>
              </w:rPr>
            </w:pPr>
          </w:p>
        </w:tc>
        <w:tc>
          <w:tcPr>
            <w:tcW w:w="2620" w:type="dxa"/>
            <w:tcBorders>
              <w:top w:val="single" w:sz="2" w:space="0" w:color="auto"/>
              <w:left w:val="single" w:sz="2" w:space="0" w:color="auto"/>
              <w:bottom w:val="single" w:sz="2" w:space="0" w:color="auto"/>
              <w:right w:val="single" w:sz="2" w:space="0" w:color="auto"/>
            </w:tcBorders>
            <w:vAlign w:val="center"/>
          </w:tcPr>
          <w:p w14:paraId="2478598E">
            <w:pPr>
              <w:spacing w:line="360" w:lineRule="auto"/>
              <w:jc w:val="center"/>
              <w:rPr>
                <w:rFonts w:ascii="宋体" w:hAnsi="宋体"/>
                <w:lang w:eastAsia="zh-CN"/>
              </w:rPr>
            </w:pPr>
            <w:r>
              <w:rPr>
                <w:rFonts w:ascii="宋体" w:hAnsi="宋体" w:hint="eastAsia"/>
                <w:lang w:eastAsia="zh-CN"/>
              </w:rPr>
              <w:t>第二类分部分项为不平衡报价百分比</w:t>
            </w:r>
          </w:p>
        </w:tc>
        <w:tc>
          <w:tcPr>
            <w:tcW w:w="2620" w:type="dxa"/>
            <w:tcBorders>
              <w:top w:val="single" w:sz="2" w:space="0" w:color="auto"/>
              <w:left w:val="single" w:sz="2" w:space="0" w:color="auto"/>
              <w:bottom w:val="single" w:sz="2" w:space="0" w:color="auto"/>
              <w:right w:val="single" w:sz="2" w:space="0" w:color="auto"/>
            </w:tcBorders>
            <w:vAlign w:val="center"/>
          </w:tcPr>
          <w:p w14:paraId="0ABAB847">
            <w:pPr>
              <w:spacing w:line="360" w:lineRule="auto"/>
              <w:jc w:val="center"/>
              <w:rPr>
                <w:rFonts w:ascii="宋体" w:hAnsi="宋体"/>
              </w:rPr>
            </w:pPr>
            <w:r>
              <w:rPr>
                <w:rFonts w:ascii="宋体" w:hAnsi="宋体" w:hint="eastAsia"/>
              </w:rPr>
              <w:t>（</w:t>
            </w:r>
            <w:r>
              <w:rPr>
                <w:rFonts w:ascii="宋体" w:hAnsi="宋体" w:hint="eastAsia"/>
                <w:u w:val="single"/>
              </w:rPr>
              <w:t xml:space="preserve">   </w:t>
            </w:r>
            <w:r>
              <w:rPr>
                <w:rFonts w:ascii="宋体" w:hAnsi="宋体" w:hint="eastAsia"/>
              </w:rPr>
              <w:t>）%</w:t>
            </w:r>
          </w:p>
        </w:tc>
      </w:tr>
      <w:tr w14:paraId="28743656">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4845D039">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03B9F4E6">
            <w:pPr>
              <w:rPr>
                <w:rFonts w:ascii="宋体" w:eastAsia="宋体" w:hAnsi="宋体"/>
                <w:kern w:val="2"/>
              </w:rPr>
            </w:pPr>
          </w:p>
        </w:tc>
        <w:tc>
          <w:tcPr>
            <w:tcW w:w="1842" w:type="dxa"/>
            <w:vMerge/>
            <w:tcBorders>
              <w:top w:val="single" w:sz="2" w:space="0" w:color="auto"/>
              <w:left w:val="single" w:sz="2" w:space="0" w:color="auto"/>
              <w:bottom w:val="single" w:sz="2" w:space="0" w:color="auto"/>
              <w:right w:val="single" w:sz="2" w:space="0" w:color="auto"/>
            </w:tcBorders>
            <w:vAlign w:val="center"/>
          </w:tcPr>
          <w:p w14:paraId="184514FF">
            <w:pPr>
              <w:rPr>
                <w:rFonts w:ascii="宋体" w:eastAsia="宋体" w:hAnsi="宋体"/>
                <w:kern w:val="2"/>
              </w:rPr>
            </w:pPr>
          </w:p>
        </w:tc>
        <w:tc>
          <w:tcPr>
            <w:tcW w:w="2620" w:type="dxa"/>
            <w:tcBorders>
              <w:top w:val="single" w:sz="2" w:space="0" w:color="auto"/>
              <w:left w:val="single" w:sz="2" w:space="0" w:color="auto"/>
              <w:bottom w:val="single" w:sz="2" w:space="0" w:color="auto"/>
              <w:right w:val="single" w:sz="2" w:space="0" w:color="auto"/>
            </w:tcBorders>
            <w:vAlign w:val="center"/>
          </w:tcPr>
          <w:p w14:paraId="1A618B60">
            <w:pPr>
              <w:spacing w:line="360" w:lineRule="auto"/>
              <w:jc w:val="center"/>
              <w:rPr>
                <w:rFonts w:ascii="宋体" w:hAnsi="宋体"/>
                <w:lang w:eastAsia="zh-CN"/>
              </w:rPr>
            </w:pPr>
            <w:r>
              <w:rPr>
                <w:rFonts w:ascii="宋体" w:hAnsi="宋体" w:hint="eastAsia"/>
                <w:lang w:eastAsia="zh-CN"/>
              </w:rPr>
              <w:t>措施项目为不平衡报价百分比</w:t>
            </w:r>
          </w:p>
        </w:tc>
        <w:tc>
          <w:tcPr>
            <w:tcW w:w="2620" w:type="dxa"/>
            <w:tcBorders>
              <w:top w:val="single" w:sz="2" w:space="0" w:color="auto"/>
              <w:left w:val="single" w:sz="2" w:space="0" w:color="auto"/>
              <w:bottom w:val="single" w:sz="2" w:space="0" w:color="auto"/>
              <w:right w:val="single" w:sz="2" w:space="0" w:color="auto"/>
            </w:tcBorders>
            <w:vAlign w:val="center"/>
          </w:tcPr>
          <w:p w14:paraId="7B425721">
            <w:pPr>
              <w:spacing w:line="360" w:lineRule="auto"/>
              <w:jc w:val="center"/>
              <w:rPr>
                <w:rFonts w:ascii="宋体" w:hAnsi="宋体"/>
              </w:rPr>
            </w:pPr>
            <w:r>
              <w:rPr>
                <w:rFonts w:ascii="宋体" w:hAnsi="宋体" w:hint="eastAsia"/>
              </w:rPr>
              <w:t>（</w:t>
            </w:r>
            <w:r>
              <w:rPr>
                <w:rFonts w:ascii="宋体" w:hAnsi="宋体" w:hint="eastAsia"/>
                <w:u w:val="single"/>
              </w:rPr>
              <w:t xml:space="preserve">   </w:t>
            </w:r>
            <w:r>
              <w:rPr>
                <w:rFonts w:ascii="宋体" w:hAnsi="宋体" w:hint="eastAsia"/>
              </w:rPr>
              <w:t>）%</w:t>
            </w:r>
          </w:p>
        </w:tc>
      </w:tr>
      <w:tr w14:paraId="6E0B0CFC">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06675FE5">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232BAB1B">
            <w:pPr>
              <w:rPr>
                <w:rFonts w:ascii="宋体" w:eastAsia="宋体" w:hAnsi="宋体"/>
                <w:kern w:val="2"/>
              </w:rPr>
            </w:pPr>
          </w:p>
        </w:tc>
        <w:tc>
          <w:tcPr>
            <w:tcW w:w="1842" w:type="dxa"/>
            <w:vMerge/>
            <w:tcBorders>
              <w:top w:val="single" w:sz="2" w:space="0" w:color="auto"/>
              <w:left w:val="single" w:sz="2" w:space="0" w:color="auto"/>
              <w:bottom w:val="single" w:sz="2" w:space="0" w:color="auto"/>
              <w:right w:val="single" w:sz="2" w:space="0" w:color="auto"/>
            </w:tcBorders>
            <w:vAlign w:val="center"/>
          </w:tcPr>
          <w:p w14:paraId="582A6A6D">
            <w:pPr>
              <w:rPr>
                <w:rFonts w:ascii="宋体" w:eastAsia="宋体" w:hAnsi="宋体"/>
                <w:kern w:val="2"/>
              </w:rPr>
            </w:pPr>
          </w:p>
        </w:tc>
        <w:tc>
          <w:tcPr>
            <w:tcW w:w="2620" w:type="dxa"/>
            <w:tcBorders>
              <w:top w:val="single" w:sz="2" w:space="0" w:color="auto"/>
              <w:left w:val="single" w:sz="2" w:space="0" w:color="auto"/>
              <w:bottom w:val="single" w:sz="2" w:space="0" w:color="auto"/>
              <w:right w:val="single" w:sz="2" w:space="0" w:color="auto"/>
            </w:tcBorders>
            <w:vAlign w:val="center"/>
          </w:tcPr>
          <w:p w14:paraId="75E7FEEE">
            <w:pPr>
              <w:spacing w:line="360" w:lineRule="auto"/>
              <w:jc w:val="center"/>
              <w:rPr>
                <w:rFonts w:ascii="宋体" w:hAnsi="宋体"/>
                <w:lang w:eastAsia="zh-CN"/>
              </w:rPr>
            </w:pPr>
            <w:r>
              <w:rPr>
                <w:rFonts w:ascii="宋体" w:hAnsi="宋体" w:hint="eastAsia"/>
                <w:lang w:eastAsia="zh-CN"/>
              </w:rPr>
              <w:t>不平衡报价总价最高百分比</w:t>
            </w:r>
          </w:p>
        </w:tc>
        <w:tc>
          <w:tcPr>
            <w:tcW w:w="2620" w:type="dxa"/>
            <w:tcBorders>
              <w:top w:val="single" w:sz="2" w:space="0" w:color="auto"/>
              <w:left w:val="single" w:sz="2" w:space="0" w:color="auto"/>
              <w:bottom w:val="single" w:sz="2" w:space="0" w:color="auto"/>
              <w:right w:val="single" w:sz="2" w:space="0" w:color="auto"/>
            </w:tcBorders>
            <w:vAlign w:val="center"/>
          </w:tcPr>
          <w:p w14:paraId="59B47C11">
            <w:pPr>
              <w:spacing w:line="360" w:lineRule="auto"/>
              <w:jc w:val="center"/>
              <w:rPr>
                <w:rFonts w:ascii="宋体" w:hAnsi="宋体"/>
              </w:rPr>
            </w:pPr>
            <w:r>
              <w:rPr>
                <w:rFonts w:ascii="宋体" w:hAnsi="宋体" w:hint="eastAsia"/>
              </w:rPr>
              <w:t>（</w:t>
            </w:r>
            <w:r>
              <w:rPr>
                <w:rFonts w:ascii="宋体" w:hAnsi="宋体" w:hint="eastAsia"/>
                <w:u w:val="single"/>
              </w:rPr>
              <w:t xml:space="preserve">   </w:t>
            </w:r>
            <w:r>
              <w:rPr>
                <w:rFonts w:ascii="宋体" w:hAnsi="宋体" w:hint="eastAsia"/>
              </w:rPr>
              <w:t>）%</w:t>
            </w:r>
          </w:p>
        </w:tc>
      </w:tr>
      <w:tr w14:paraId="6C596C4F">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6EA12B98">
            <w:pPr>
              <w:rPr>
                <w:rFonts w:ascii="宋体" w:eastAsia="宋体" w:hAnsi="宋体"/>
                <w:kern w:val="2"/>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7B34FFB3">
            <w:pPr>
              <w:rPr>
                <w:rFonts w:ascii="宋体" w:eastAsia="宋体" w:hAnsi="宋体"/>
                <w:kern w:val="2"/>
              </w:rPr>
            </w:pPr>
          </w:p>
        </w:tc>
        <w:tc>
          <w:tcPr>
            <w:tcW w:w="1842" w:type="dxa"/>
            <w:vMerge/>
            <w:tcBorders>
              <w:top w:val="single" w:sz="2" w:space="0" w:color="auto"/>
              <w:left w:val="single" w:sz="2" w:space="0" w:color="auto"/>
              <w:bottom w:val="single" w:sz="2" w:space="0" w:color="auto"/>
              <w:right w:val="single" w:sz="2" w:space="0" w:color="auto"/>
            </w:tcBorders>
            <w:vAlign w:val="center"/>
          </w:tcPr>
          <w:p w14:paraId="4A086D32">
            <w:pPr>
              <w:rPr>
                <w:rFonts w:ascii="宋体" w:eastAsia="宋体" w:hAnsi="宋体"/>
                <w:kern w:val="2"/>
              </w:rPr>
            </w:pPr>
          </w:p>
        </w:tc>
        <w:tc>
          <w:tcPr>
            <w:tcW w:w="2620" w:type="dxa"/>
            <w:tcBorders>
              <w:top w:val="single" w:sz="2" w:space="0" w:color="auto"/>
              <w:left w:val="single" w:sz="2" w:space="0" w:color="auto"/>
              <w:bottom w:val="single" w:sz="2" w:space="0" w:color="auto"/>
              <w:right w:val="single" w:sz="2" w:space="0" w:color="auto"/>
            </w:tcBorders>
            <w:vAlign w:val="center"/>
          </w:tcPr>
          <w:p w14:paraId="1BF712FD">
            <w:pPr>
              <w:spacing w:line="360" w:lineRule="auto"/>
              <w:jc w:val="center"/>
              <w:rPr>
                <w:rFonts w:ascii="宋体" w:hAnsi="宋体"/>
                <w:u w:val="single"/>
                <w:lang w:eastAsia="zh-CN"/>
              </w:rPr>
            </w:pPr>
            <w:r>
              <w:rPr>
                <w:rFonts w:ascii="宋体" w:hAnsi="宋体" w:hint="eastAsia"/>
                <w:lang w:eastAsia="zh-CN"/>
              </w:rPr>
              <w:t>总承包服务费计取方式</w:t>
            </w:r>
          </w:p>
        </w:tc>
        <w:tc>
          <w:tcPr>
            <w:tcW w:w="2620" w:type="dxa"/>
            <w:tcBorders>
              <w:top w:val="single" w:sz="2" w:space="0" w:color="auto"/>
              <w:left w:val="single" w:sz="2" w:space="0" w:color="auto"/>
              <w:bottom w:val="single" w:sz="2" w:space="0" w:color="auto"/>
              <w:right w:val="single" w:sz="2" w:space="0" w:color="auto"/>
            </w:tcBorders>
            <w:vAlign w:val="center"/>
          </w:tcPr>
          <w:p w14:paraId="492A0020">
            <w:pPr>
              <w:spacing w:line="360" w:lineRule="auto"/>
              <w:rPr>
                <w:rFonts w:ascii="宋体" w:hAnsi="宋体"/>
                <w:u w:val="single"/>
                <w:lang w:eastAsia="zh-CN"/>
              </w:rPr>
            </w:pPr>
            <w:r>
              <w:rPr>
                <w:rFonts w:ascii="宋体" w:hAnsi="宋体" w:hint="eastAsia"/>
                <w:u w:val="single"/>
                <w:lang w:eastAsia="zh-CN"/>
              </w:rPr>
              <w:t xml:space="preserve">              </w:t>
            </w:r>
          </w:p>
        </w:tc>
      </w:tr>
      <w:tr w14:paraId="77B5A498">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610F5D10">
            <w:pPr>
              <w:rPr>
                <w:rFonts w:ascii="宋体" w:eastAsia="宋体" w:hAnsi="宋体"/>
                <w:kern w:val="2"/>
                <w:lang w:eastAsia="zh-CN"/>
              </w:rPr>
            </w:pPr>
          </w:p>
        </w:tc>
        <w:tc>
          <w:tcPr>
            <w:tcW w:w="8075" w:type="dxa"/>
            <w:vMerge/>
            <w:tcBorders>
              <w:top w:val="single" w:sz="2" w:space="0" w:color="auto"/>
              <w:left w:val="single" w:sz="2" w:space="0" w:color="auto"/>
              <w:bottom w:val="single" w:sz="2" w:space="0" w:color="auto"/>
              <w:right w:val="single" w:sz="2" w:space="0" w:color="auto"/>
            </w:tcBorders>
            <w:vAlign w:val="center"/>
          </w:tcPr>
          <w:p w14:paraId="4F35C537">
            <w:pPr>
              <w:rPr>
                <w:rFonts w:ascii="宋体" w:eastAsia="宋体" w:hAnsi="宋体"/>
                <w:kern w:val="2"/>
                <w:lang w:eastAsia="zh-CN"/>
              </w:rPr>
            </w:pPr>
          </w:p>
        </w:tc>
        <w:tc>
          <w:tcPr>
            <w:tcW w:w="1842" w:type="dxa"/>
            <w:vMerge/>
            <w:tcBorders>
              <w:top w:val="single" w:sz="2" w:space="0" w:color="auto"/>
              <w:left w:val="single" w:sz="2" w:space="0" w:color="auto"/>
              <w:bottom w:val="single" w:sz="2" w:space="0" w:color="auto"/>
              <w:right w:val="single" w:sz="2" w:space="0" w:color="auto"/>
            </w:tcBorders>
            <w:vAlign w:val="center"/>
          </w:tcPr>
          <w:p w14:paraId="44B642E0">
            <w:pPr>
              <w:rPr>
                <w:rFonts w:ascii="宋体" w:eastAsia="宋体" w:hAnsi="宋体"/>
                <w:kern w:val="2"/>
                <w:lang w:eastAsia="zh-CN"/>
              </w:rPr>
            </w:pPr>
          </w:p>
        </w:tc>
        <w:tc>
          <w:tcPr>
            <w:tcW w:w="2620" w:type="dxa"/>
            <w:tcBorders>
              <w:top w:val="single" w:sz="2" w:space="0" w:color="auto"/>
              <w:left w:val="single" w:sz="2" w:space="0" w:color="auto"/>
              <w:bottom w:val="single" w:sz="2" w:space="0" w:color="auto"/>
              <w:right w:val="single" w:sz="2" w:space="0" w:color="auto"/>
            </w:tcBorders>
            <w:vAlign w:val="center"/>
          </w:tcPr>
          <w:p w14:paraId="41ED12CE">
            <w:pPr>
              <w:spacing w:line="360" w:lineRule="auto"/>
              <w:jc w:val="center"/>
              <w:rPr>
                <w:rFonts w:ascii="宋体" w:hAnsi="宋体"/>
                <w:u w:val="single"/>
              </w:rPr>
            </w:pPr>
            <w:r>
              <w:rPr>
                <w:rFonts w:ascii="宋体" w:hAnsi="宋体" w:hint="eastAsia"/>
              </w:rPr>
              <w:t>规费计取方式</w:t>
            </w:r>
          </w:p>
        </w:tc>
        <w:tc>
          <w:tcPr>
            <w:tcW w:w="2620" w:type="dxa"/>
            <w:tcBorders>
              <w:top w:val="single" w:sz="2" w:space="0" w:color="auto"/>
              <w:left w:val="single" w:sz="2" w:space="0" w:color="auto"/>
              <w:bottom w:val="single" w:sz="2" w:space="0" w:color="auto"/>
              <w:right w:val="single" w:sz="2" w:space="0" w:color="auto"/>
            </w:tcBorders>
            <w:vAlign w:val="center"/>
          </w:tcPr>
          <w:p w14:paraId="4616681A">
            <w:pPr>
              <w:spacing w:line="360" w:lineRule="auto"/>
              <w:rPr>
                <w:rFonts w:ascii="宋体" w:hAnsi="宋体"/>
                <w:u w:val="single"/>
              </w:rPr>
            </w:pPr>
            <w:r>
              <w:rPr>
                <w:rFonts w:ascii="宋体" w:hAnsi="宋体" w:hint="eastAsia"/>
                <w:u w:val="single"/>
              </w:rPr>
              <w:t xml:space="preserve">              </w:t>
            </w:r>
          </w:p>
        </w:tc>
      </w:tr>
      <w:tr w14:paraId="0D2FA332">
        <w:tblPrEx>
          <w:tblW w:w="0" w:type="auto"/>
          <w:jc w:val="center"/>
          <w:tblLayout w:type="fixed"/>
          <w:tblCellMar>
            <w:top w:w="0" w:type="dxa"/>
            <w:left w:w="108" w:type="dxa"/>
            <w:bottom w:w="0" w:type="dxa"/>
            <w:right w:w="108" w:type="dxa"/>
          </w:tblCellMar>
        </w:tblPrEx>
        <w:trPr>
          <w:trHeight w:val="476"/>
          <w:jc w:val="center"/>
        </w:trPr>
        <w:tc>
          <w:tcPr>
            <w:tcW w:w="3969" w:type="dxa"/>
            <w:vMerge/>
            <w:tcBorders>
              <w:top w:val="single" w:sz="2" w:space="0" w:color="auto"/>
              <w:left w:val="single" w:sz="2" w:space="0" w:color="auto"/>
              <w:bottom w:val="single" w:sz="2" w:space="0" w:color="auto"/>
              <w:right w:val="single" w:sz="2" w:space="0" w:color="auto"/>
            </w:tcBorders>
            <w:vAlign w:val="center"/>
          </w:tcPr>
          <w:p w14:paraId="21714DB0">
            <w:pPr>
              <w:rPr>
                <w:rFonts w:ascii="宋体" w:eastAsia="宋体" w:hAnsi="宋体"/>
                <w:kern w:val="2"/>
              </w:rPr>
            </w:pPr>
          </w:p>
        </w:tc>
        <w:tc>
          <w:tcPr>
            <w:tcW w:w="8075" w:type="dxa"/>
            <w:gridSpan w:val="4"/>
            <w:tcBorders>
              <w:top w:val="single" w:sz="2" w:space="0" w:color="auto"/>
              <w:left w:val="single" w:sz="2" w:space="0" w:color="auto"/>
              <w:bottom w:val="single" w:sz="2" w:space="0" w:color="auto"/>
              <w:right w:val="single" w:sz="2" w:space="0" w:color="auto"/>
            </w:tcBorders>
            <w:vAlign w:val="center"/>
          </w:tcPr>
          <w:p w14:paraId="5B1F89B6">
            <w:pPr>
              <w:spacing w:line="360" w:lineRule="auto"/>
              <w:rPr>
                <w:rFonts w:ascii="宋体" w:hAnsi="宋体"/>
                <w:lang w:eastAsia="zh-CN"/>
              </w:rPr>
            </w:pPr>
            <w:r>
              <w:rPr>
                <w:rFonts w:ascii="宋体" w:hAnsi="宋体" w:hint="eastAsia"/>
                <w:lang w:eastAsia="zh-CN"/>
              </w:rPr>
              <w:t>其中，第一类是指川建造价发[2014]648号第二十四条第（一）.1.（1）项规定情形，第二类是指川建造价发[2014]648号第二十四条第（一）.1.（2）项规定情形。</w:t>
            </w:r>
          </w:p>
        </w:tc>
      </w:tr>
      <w:tr w14:paraId="15B8278F">
        <w:tblPrEx>
          <w:tblW w:w="0" w:type="auto"/>
          <w:jc w:val="center"/>
          <w:tblLayout w:type="fixed"/>
          <w:tblCellMar>
            <w:top w:w="0" w:type="dxa"/>
            <w:left w:w="108" w:type="dxa"/>
            <w:bottom w:w="0" w:type="dxa"/>
            <w:right w:w="108" w:type="dxa"/>
          </w:tblCellMar>
        </w:tblPrEx>
        <w:trPr>
          <w:trHeight w:val="476"/>
          <w:jc w:val="center"/>
        </w:trPr>
        <w:tc>
          <w:tcPr>
            <w:tcW w:w="1134" w:type="dxa"/>
            <w:tcBorders>
              <w:top w:val="single" w:sz="2" w:space="0" w:color="auto"/>
              <w:left w:val="single" w:sz="2" w:space="0" w:color="auto"/>
              <w:bottom w:val="single" w:sz="2" w:space="0" w:color="auto"/>
              <w:right w:val="single" w:sz="2" w:space="0" w:color="auto"/>
            </w:tcBorders>
            <w:vAlign w:val="center"/>
          </w:tcPr>
          <w:p w14:paraId="68405998">
            <w:pPr>
              <w:spacing w:line="360" w:lineRule="auto"/>
              <w:jc w:val="center"/>
              <w:rPr>
                <w:rFonts w:ascii="宋体" w:hAnsi="宋体"/>
              </w:rPr>
            </w:pPr>
            <w:r>
              <w:rPr>
                <w:rFonts w:ascii="宋体" w:hAnsi="宋体" w:hint="eastAsia"/>
              </w:rPr>
              <w:t>备注</w:t>
            </w:r>
          </w:p>
        </w:tc>
        <w:tc>
          <w:tcPr>
            <w:tcW w:w="8075" w:type="dxa"/>
            <w:gridSpan w:val="4"/>
            <w:tcBorders>
              <w:top w:val="single" w:sz="2" w:space="0" w:color="auto"/>
              <w:left w:val="single" w:sz="2" w:space="0" w:color="auto"/>
              <w:bottom w:val="single" w:sz="2" w:space="0" w:color="auto"/>
              <w:right w:val="single" w:sz="2" w:space="0" w:color="auto"/>
            </w:tcBorders>
            <w:vAlign w:val="center"/>
          </w:tcPr>
          <w:p w14:paraId="4F4DBF99">
            <w:pPr>
              <w:spacing w:line="360" w:lineRule="auto"/>
              <w:rPr>
                <w:rFonts w:ascii="宋体" w:hAnsi="宋体"/>
                <w:lang w:eastAsia="zh-CN"/>
              </w:rPr>
            </w:pPr>
            <w:r>
              <w:rPr>
                <w:rFonts w:ascii="宋体" w:hAnsi="宋体" w:hint="eastAsia"/>
                <w:lang w:eastAsia="zh-CN"/>
              </w:rPr>
              <w:t>1、对符合招标文件规定的技术标准，满足招标文件实质性要求的投标，在其投标报价的基础上，依据招标文件规定的量化因素和量化标准，按照投标文件相应部分对招标人有利或不利的原则，在其投标报价（有修正的，以修正价为准）上扣减或增加一定金额进行价格折算。</w:t>
            </w:r>
          </w:p>
          <w:p w14:paraId="2F7ACC03">
            <w:pPr>
              <w:spacing w:line="360" w:lineRule="auto"/>
              <w:rPr>
                <w:rFonts w:ascii="宋体" w:hAnsi="宋体"/>
                <w:lang w:eastAsia="zh-CN"/>
              </w:rPr>
            </w:pPr>
            <w:r>
              <w:rPr>
                <w:rFonts w:ascii="宋体" w:hAnsi="宋体" w:hint="eastAsia"/>
                <w:lang w:eastAsia="zh-CN"/>
              </w:rPr>
              <w:t>2、招标人应根据招标项目具体特点和实际需要设置量化因素及量化标准，但量化因素及量化标准的设置不得违反法律、行政法规的强制性规定，应体现公平、公正、科学、择优的原则。</w:t>
            </w:r>
          </w:p>
          <w:p w14:paraId="4B32C7B6">
            <w:pPr>
              <w:spacing w:line="360" w:lineRule="auto"/>
              <w:rPr>
                <w:rFonts w:ascii="宋体" w:hAnsi="宋体"/>
                <w:lang w:eastAsia="zh-CN"/>
              </w:rPr>
            </w:pPr>
            <w:r>
              <w:rPr>
                <w:rFonts w:ascii="宋体" w:hAnsi="宋体" w:hint="eastAsia"/>
                <w:lang w:eastAsia="zh-CN"/>
              </w:rPr>
              <w:t>3、本款规定的量化因素（加或减）不得超过投标人报价（有修正的，以修正价为准）上下10%的幅度。对某投标人的报价量化折算时，超过10%上下幅度的，以正负10%计算评标价。</w:t>
            </w:r>
          </w:p>
        </w:tc>
      </w:tr>
      <w:tr w14:paraId="55DF0157">
        <w:tblPrEx>
          <w:tblW w:w="0" w:type="auto"/>
          <w:jc w:val="center"/>
          <w:tblLayout w:type="fixed"/>
          <w:tblCellMar>
            <w:top w:w="0" w:type="dxa"/>
            <w:left w:w="108" w:type="dxa"/>
            <w:bottom w:w="0" w:type="dxa"/>
            <w:right w:w="108" w:type="dxa"/>
          </w:tblCellMar>
        </w:tblPrEx>
        <w:trPr>
          <w:trHeight w:val="591"/>
          <w:jc w:val="center"/>
        </w:trPr>
        <w:tc>
          <w:tcPr>
            <w:tcW w:w="3969" w:type="dxa"/>
            <w:gridSpan w:val="3"/>
            <w:tcBorders>
              <w:top w:val="single" w:sz="2" w:space="0" w:color="auto"/>
              <w:left w:val="single" w:sz="2" w:space="0" w:color="auto"/>
              <w:bottom w:val="single" w:sz="2" w:space="0" w:color="auto"/>
              <w:right w:val="single" w:sz="2" w:space="0" w:color="auto"/>
            </w:tcBorders>
            <w:vAlign w:val="center"/>
          </w:tcPr>
          <w:p w14:paraId="32C7EBE4">
            <w:pPr>
              <w:spacing w:line="360" w:lineRule="auto"/>
              <w:jc w:val="center"/>
              <w:rPr>
                <w:rFonts w:ascii="宋体" w:hAnsi="宋体"/>
                <w:b/>
              </w:rPr>
            </w:pPr>
            <w:r>
              <w:rPr>
                <w:rFonts w:ascii="宋体" w:hAnsi="宋体" w:hint="eastAsia"/>
                <w:b/>
              </w:rPr>
              <w:t>条款号</w:t>
            </w:r>
          </w:p>
        </w:tc>
        <w:tc>
          <w:tcPr>
            <w:tcW w:w="5240" w:type="dxa"/>
            <w:gridSpan w:val="2"/>
            <w:tcBorders>
              <w:top w:val="single" w:sz="2" w:space="0" w:color="auto"/>
              <w:left w:val="single" w:sz="2" w:space="0" w:color="auto"/>
              <w:bottom w:val="single" w:sz="2" w:space="0" w:color="auto"/>
              <w:right w:val="single" w:sz="2" w:space="0" w:color="auto"/>
            </w:tcBorders>
            <w:vAlign w:val="center"/>
          </w:tcPr>
          <w:p w14:paraId="6D493602">
            <w:pPr>
              <w:spacing w:line="360" w:lineRule="auto"/>
              <w:jc w:val="center"/>
              <w:rPr>
                <w:rFonts w:ascii="宋体" w:hAnsi="宋体"/>
                <w:b/>
              </w:rPr>
            </w:pPr>
            <w:r>
              <w:rPr>
                <w:rFonts w:ascii="宋体" w:hAnsi="宋体" w:hint="eastAsia"/>
                <w:b/>
              </w:rPr>
              <w:t>编列内容</w:t>
            </w:r>
          </w:p>
        </w:tc>
      </w:tr>
      <w:tr w14:paraId="20DB2C2E">
        <w:tblPrEx>
          <w:tblW w:w="0" w:type="auto"/>
          <w:jc w:val="center"/>
          <w:tblLayout w:type="fixed"/>
          <w:tblCellMar>
            <w:top w:w="0" w:type="dxa"/>
            <w:left w:w="108" w:type="dxa"/>
            <w:bottom w:w="0" w:type="dxa"/>
            <w:right w:w="108" w:type="dxa"/>
          </w:tblCellMar>
        </w:tblPrEx>
        <w:trPr>
          <w:trHeight w:val="476"/>
          <w:jc w:val="center"/>
        </w:trPr>
        <w:tc>
          <w:tcPr>
            <w:tcW w:w="1134" w:type="dxa"/>
            <w:tcBorders>
              <w:top w:val="single" w:sz="2" w:space="0" w:color="auto"/>
              <w:left w:val="single" w:sz="2" w:space="0" w:color="auto"/>
              <w:bottom w:val="single" w:sz="2" w:space="0" w:color="auto"/>
              <w:right w:val="single" w:sz="2" w:space="0" w:color="auto"/>
            </w:tcBorders>
            <w:vAlign w:val="center"/>
          </w:tcPr>
          <w:p w14:paraId="353B21B2">
            <w:pPr>
              <w:spacing w:line="360" w:lineRule="auto"/>
              <w:jc w:val="center"/>
              <w:rPr>
                <w:rFonts w:ascii="宋体" w:hAnsi="宋体"/>
              </w:rPr>
            </w:pPr>
            <w:r>
              <w:rPr>
                <w:rFonts w:ascii="宋体" w:hAnsi="宋体" w:hint="eastAsia"/>
              </w:rPr>
              <w:t>3</w:t>
            </w:r>
          </w:p>
        </w:tc>
        <w:tc>
          <w:tcPr>
            <w:tcW w:w="2835" w:type="dxa"/>
            <w:gridSpan w:val="2"/>
            <w:tcBorders>
              <w:top w:val="single" w:sz="2" w:space="0" w:color="auto"/>
              <w:left w:val="single" w:sz="2" w:space="0" w:color="auto"/>
              <w:bottom w:val="single" w:sz="2" w:space="0" w:color="auto"/>
              <w:right w:val="single" w:sz="2" w:space="0" w:color="auto"/>
            </w:tcBorders>
          </w:tcPr>
          <w:p w14:paraId="320CA6CD">
            <w:pPr>
              <w:spacing w:line="360" w:lineRule="auto"/>
              <w:jc w:val="center"/>
              <w:rPr>
                <w:rFonts w:ascii="宋体" w:hAnsi="宋体"/>
              </w:rPr>
            </w:pPr>
            <w:r>
              <w:rPr>
                <w:rFonts w:ascii="宋体" w:hAnsi="宋体" w:hint="eastAsia"/>
              </w:rPr>
              <w:t>评标程序</w:t>
            </w:r>
          </w:p>
        </w:tc>
        <w:tc>
          <w:tcPr>
            <w:tcW w:w="5240" w:type="dxa"/>
            <w:gridSpan w:val="2"/>
            <w:tcBorders>
              <w:top w:val="single" w:sz="2" w:space="0" w:color="auto"/>
              <w:left w:val="single" w:sz="2" w:space="0" w:color="auto"/>
              <w:bottom w:val="single" w:sz="2" w:space="0" w:color="auto"/>
              <w:right w:val="single" w:sz="2" w:space="0" w:color="auto"/>
            </w:tcBorders>
          </w:tcPr>
          <w:p w14:paraId="2E2BC699">
            <w:pPr>
              <w:spacing w:line="360" w:lineRule="auto"/>
              <w:rPr>
                <w:rFonts w:ascii="宋体" w:hAnsi="宋体"/>
                <w:lang w:eastAsia="zh-CN"/>
              </w:rPr>
            </w:pPr>
            <w:r>
              <w:rPr>
                <w:rFonts w:ascii="宋体" w:hAnsi="宋体" w:hint="eastAsia"/>
                <w:lang w:eastAsia="zh-CN"/>
              </w:rPr>
              <w:t>详见本章附件A：评标详细程序</w:t>
            </w:r>
          </w:p>
        </w:tc>
      </w:tr>
      <w:tr w14:paraId="174ABD38">
        <w:tblPrEx>
          <w:tblW w:w="0" w:type="auto"/>
          <w:jc w:val="center"/>
          <w:tblLayout w:type="fixed"/>
          <w:tblCellMar>
            <w:top w:w="0" w:type="dxa"/>
            <w:left w:w="108" w:type="dxa"/>
            <w:bottom w:w="0" w:type="dxa"/>
            <w:right w:w="108" w:type="dxa"/>
          </w:tblCellMar>
        </w:tblPrEx>
        <w:trPr>
          <w:trHeight w:val="476"/>
          <w:jc w:val="center"/>
        </w:trPr>
        <w:tc>
          <w:tcPr>
            <w:tcW w:w="1134" w:type="dxa"/>
            <w:tcBorders>
              <w:top w:val="single" w:sz="2" w:space="0" w:color="auto"/>
              <w:left w:val="single" w:sz="2" w:space="0" w:color="auto"/>
              <w:bottom w:val="single" w:sz="2" w:space="0" w:color="auto"/>
              <w:right w:val="single" w:sz="2" w:space="0" w:color="auto"/>
            </w:tcBorders>
            <w:vAlign w:val="center"/>
          </w:tcPr>
          <w:p w14:paraId="027F392C">
            <w:pPr>
              <w:spacing w:line="360" w:lineRule="auto"/>
              <w:jc w:val="center"/>
              <w:rPr>
                <w:rFonts w:ascii="宋体" w:hAnsi="宋体"/>
              </w:rPr>
            </w:pPr>
            <w:r>
              <w:rPr>
                <w:rFonts w:ascii="宋体" w:hAnsi="宋体" w:hint="eastAsia"/>
              </w:rPr>
              <w:t>3.2.1</w:t>
            </w:r>
          </w:p>
        </w:tc>
        <w:tc>
          <w:tcPr>
            <w:tcW w:w="2835" w:type="dxa"/>
            <w:gridSpan w:val="2"/>
            <w:tcBorders>
              <w:top w:val="single" w:sz="2" w:space="0" w:color="auto"/>
              <w:left w:val="single" w:sz="2" w:space="0" w:color="auto"/>
              <w:bottom w:val="single" w:sz="2" w:space="0" w:color="auto"/>
              <w:right w:val="single" w:sz="2" w:space="0" w:color="auto"/>
            </w:tcBorders>
          </w:tcPr>
          <w:p w14:paraId="694C3E2B">
            <w:pPr>
              <w:spacing w:line="360" w:lineRule="auto"/>
              <w:jc w:val="center"/>
              <w:rPr>
                <w:rFonts w:ascii="宋体" w:hAnsi="宋体"/>
              </w:rPr>
            </w:pPr>
            <w:r>
              <w:rPr>
                <w:rFonts w:ascii="宋体" w:hAnsi="宋体" w:hint="eastAsia"/>
              </w:rPr>
              <w:t>价格折算</w:t>
            </w:r>
          </w:p>
        </w:tc>
        <w:tc>
          <w:tcPr>
            <w:tcW w:w="5240" w:type="dxa"/>
            <w:gridSpan w:val="2"/>
            <w:tcBorders>
              <w:top w:val="single" w:sz="2" w:space="0" w:color="auto"/>
              <w:left w:val="single" w:sz="2" w:space="0" w:color="auto"/>
              <w:bottom w:val="single" w:sz="2" w:space="0" w:color="auto"/>
              <w:right w:val="single" w:sz="2" w:space="0" w:color="auto"/>
            </w:tcBorders>
          </w:tcPr>
          <w:p w14:paraId="58A42765">
            <w:pPr>
              <w:spacing w:line="360" w:lineRule="auto"/>
              <w:rPr>
                <w:rFonts w:ascii="宋体" w:hAnsi="宋体"/>
                <w:lang w:eastAsia="zh-CN"/>
              </w:rPr>
            </w:pPr>
            <w:r>
              <w:rPr>
                <w:rFonts w:ascii="宋体" w:hAnsi="宋体" w:hint="eastAsia"/>
                <w:lang w:eastAsia="zh-CN"/>
              </w:rPr>
              <w:t>详见本章附件B：评标价计算方法</w:t>
            </w:r>
          </w:p>
        </w:tc>
      </w:tr>
      <w:tr w14:paraId="5B9239C7">
        <w:tblPrEx>
          <w:tblW w:w="0" w:type="auto"/>
          <w:jc w:val="center"/>
          <w:tblLayout w:type="fixed"/>
          <w:tblCellMar>
            <w:top w:w="0" w:type="dxa"/>
            <w:left w:w="108" w:type="dxa"/>
            <w:bottom w:w="0" w:type="dxa"/>
            <w:right w:w="108" w:type="dxa"/>
          </w:tblCellMar>
        </w:tblPrEx>
        <w:trPr>
          <w:trHeight w:val="476"/>
          <w:jc w:val="center"/>
        </w:trPr>
        <w:tc>
          <w:tcPr>
            <w:tcW w:w="1134" w:type="dxa"/>
            <w:tcBorders>
              <w:top w:val="single" w:sz="2" w:space="0" w:color="auto"/>
              <w:left w:val="single" w:sz="2" w:space="0" w:color="auto"/>
              <w:bottom w:val="single" w:sz="2" w:space="0" w:color="auto"/>
              <w:right w:val="single" w:sz="2" w:space="0" w:color="auto"/>
            </w:tcBorders>
            <w:vAlign w:val="center"/>
          </w:tcPr>
          <w:p w14:paraId="164E0C8F">
            <w:pPr>
              <w:spacing w:line="360" w:lineRule="auto"/>
              <w:jc w:val="center"/>
              <w:rPr>
                <w:rFonts w:ascii="宋体" w:hAnsi="宋体"/>
              </w:rPr>
            </w:pPr>
            <w:r>
              <w:rPr>
                <w:rFonts w:ascii="宋体" w:hAnsi="宋体" w:hint="eastAsia"/>
              </w:rPr>
              <w:t>3.2.2</w:t>
            </w:r>
          </w:p>
        </w:tc>
        <w:tc>
          <w:tcPr>
            <w:tcW w:w="2835" w:type="dxa"/>
            <w:gridSpan w:val="2"/>
            <w:tcBorders>
              <w:top w:val="single" w:sz="2" w:space="0" w:color="auto"/>
              <w:left w:val="single" w:sz="2" w:space="0" w:color="auto"/>
              <w:bottom w:val="single" w:sz="2" w:space="0" w:color="auto"/>
              <w:right w:val="single" w:sz="2" w:space="0" w:color="auto"/>
            </w:tcBorders>
          </w:tcPr>
          <w:p w14:paraId="5F85EF0B">
            <w:pPr>
              <w:spacing w:line="360" w:lineRule="auto"/>
              <w:jc w:val="center"/>
              <w:rPr>
                <w:rFonts w:ascii="宋体" w:hAnsi="宋体"/>
                <w:lang w:eastAsia="zh-CN"/>
              </w:rPr>
            </w:pPr>
            <w:r>
              <w:rPr>
                <w:rFonts w:ascii="宋体" w:hAnsi="宋体" w:hint="eastAsia"/>
                <w:lang w:eastAsia="zh-CN"/>
              </w:rPr>
              <w:t>判断投标报价是否低于其成本</w:t>
            </w:r>
          </w:p>
        </w:tc>
        <w:tc>
          <w:tcPr>
            <w:tcW w:w="5240" w:type="dxa"/>
            <w:gridSpan w:val="2"/>
            <w:tcBorders>
              <w:top w:val="single" w:sz="2" w:space="0" w:color="auto"/>
              <w:left w:val="single" w:sz="2" w:space="0" w:color="auto"/>
              <w:bottom w:val="single" w:sz="2" w:space="0" w:color="auto"/>
              <w:right w:val="single" w:sz="2" w:space="0" w:color="auto"/>
            </w:tcBorders>
          </w:tcPr>
          <w:p w14:paraId="0E9F6138">
            <w:pPr>
              <w:spacing w:line="360" w:lineRule="auto"/>
              <w:rPr>
                <w:rFonts w:ascii="宋体" w:hAnsi="宋体"/>
                <w:lang w:eastAsia="zh-CN"/>
              </w:rPr>
            </w:pPr>
            <w:r>
              <w:rPr>
                <w:rFonts w:ascii="宋体" w:hAnsi="宋体" w:hint="eastAsia"/>
                <w:lang w:eastAsia="zh-CN"/>
              </w:rPr>
              <w:t>详见本章附件C：投标人成本评审办法</w:t>
            </w:r>
          </w:p>
        </w:tc>
      </w:tr>
      <w:tr w14:paraId="52E87B5D">
        <w:tblPrEx>
          <w:tblW w:w="0" w:type="auto"/>
          <w:jc w:val="center"/>
          <w:tblLayout w:type="fixed"/>
          <w:tblCellMar>
            <w:top w:w="0" w:type="dxa"/>
            <w:left w:w="108" w:type="dxa"/>
            <w:bottom w:w="0" w:type="dxa"/>
            <w:right w:w="108" w:type="dxa"/>
          </w:tblCellMar>
        </w:tblPrEx>
        <w:trPr>
          <w:trHeight w:val="476"/>
          <w:jc w:val="center"/>
        </w:trPr>
        <w:tc>
          <w:tcPr>
            <w:tcW w:w="1134" w:type="dxa"/>
            <w:tcBorders>
              <w:top w:val="single" w:sz="2" w:space="0" w:color="auto"/>
              <w:left w:val="single" w:sz="2" w:space="0" w:color="auto"/>
              <w:bottom w:val="single" w:sz="2" w:space="0" w:color="auto"/>
              <w:right w:val="single" w:sz="2" w:space="0" w:color="auto"/>
            </w:tcBorders>
            <w:vAlign w:val="center"/>
          </w:tcPr>
          <w:p w14:paraId="1A6CF470">
            <w:pPr>
              <w:spacing w:line="360" w:lineRule="auto"/>
              <w:jc w:val="center"/>
              <w:rPr>
                <w:rFonts w:ascii="宋体" w:hAnsi="宋体"/>
              </w:rPr>
            </w:pPr>
            <w:r>
              <w:rPr>
                <w:rFonts w:ascii="宋体" w:hAnsi="宋体" w:hint="eastAsia"/>
              </w:rPr>
              <w:t>补1</w:t>
            </w:r>
          </w:p>
        </w:tc>
        <w:tc>
          <w:tcPr>
            <w:tcW w:w="2835" w:type="dxa"/>
            <w:gridSpan w:val="2"/>
            <w:tcBorders>
              <w:top w:val="single" w:sz="2" w:space="0" w:color="auto"/>
              <w:left w:val="single" w:sz="2" w:space="0" w:color="auto"/>
              <w:bottom w:val="single" w:sz="2" w:space="0" w:color="auto"/>
              <w:right w:val="single" w:sz="2" w:space="0" w:color="auto"/>
            </w:tcBorders>
          </w:tcPr>
          <w:p w14:paraId="2C90A43D">
            <w:pPr>
              <w:spacing w:line="360" w:lineRule="auto"/>
              <w:jc w:val="center"/>
              <w:rPr>
                <w:rFonts w:ascii="宋体" w:hAnsi="宋体"/>
              </w:rPr>
            </w:pPr>
            <w:r>
              <w:rPr>
                <w:rFonts w:ascii="宋体" w:hAnsi="宋体" w:hint="eastAsia"/>
              </w:rPr>
              <w:t>备选投标方案的评审</w:t>
            </w:r>
          </w:p>
        </w:tc>
        <w:tc>
          <w:tcPr>
            <w:tcW w:w="5240" w:type="dxa"/>
            <w:gridSpan w:val="2"/>
            <w:tcBorders>
              <w:top w:val="single" w:sz="2" w:space="0" w:color="auto"/>
              <w:left w:val="single" w:sz="2" w:space="0" w:color="auto"/>
              <w:bottom w:val="single" w:sz="2" w:space="0" w:color="auto"/>
              <w:right w:val="single" w:sz="2" w:space="0" w:color="auto"/>
            </w:tcBorders>
          </w:tcPr>
          <w:p w14:paraId="78D211A0">
            <w:pPr>
              <w:spacing w:line="360" w:lineRule="auto"/>
              <w:rPr>
                <w:rFonts w:ascii="宋体" w:hAnsi="宋体"/>
                <w:lang w:eastAsia="zh-CN"/>
              </w:rPr>
            </w:pPr>
            <w:r>
              <w:rPr>
                <w:rFonts w:ascii="宋体" w:hAnsi="宋体" w:hint="eastAsia"/>
                <w:lang w:eastAsia="zh-CN"/>
              </w:rPr>
              <w:t>详见本章附件D：备选投标方案的评审和比较办法</w:t>
            </w:r>
          </w:p>
        </w:tc>
      </w:tr>
      <w:tr w14:paraId="500CF778">
        <w:tblPrEx>
          <w:tblW w:w="0" w:type="auto"/>
          <w:jc w:val="center"/>
          <w:tblLayout w:type="fixed"/>
          <w:tblCellMar>
            <w:top w:w="0" w:type="dxa"/>
            <w:left w:w="108" w:type="dxa"/>
            <w:bottom w:w="0" w:type="dxa"/>
            <w:right w:w="108" w:type="dxa"/>
          </w:tblCellMar>
        </w:tblPrEx>
        <w:trPr>
          <w:trHeight w:val="476"/>
          <w:jc w:val="center"/>
        </w:trPr>
        <w:tc>
          <w:tcPr>
            <w:tcW w:w="1134" w:type="dxa"/>
            <w:tcBorders>
              <w:top w:val="single" w:sz="2" w:space="0" w:color="auto"/>
              <w:left w:val="single" w:sz="2" w:space="0" w:color="auto"/>
              <w:bottom w:val="single" w:sz="2" w:space="0" w:color="auto"/>
              <w:right w:val="single" w:sz="2" w:space="0" w:color="auto"/>
            </w:tcBorders>
            <w:vAlign w:val="center"/>
          </w:tcPr>
          <w:p w14:paraId="1728D788">
            <w:pPr>
              <w:spacing w:line="360" w:lineRule="auto"/>
              <w:jc w:val="center"/>
              <w:rPr>
                <w:rFonts w:ascii="宋体" w:hAnsi="宋体"/>
              </w:rPr>
            </w:pPr>
            <w:r>
              <w:rPr>
                <w:rFonts w:ascii="宋体" w:hAnsi="宋体" w:hint="eastAsia"/>
              </w:rPr>
              <w:t>说明</w:t>
            </w:r>
          </w:p>
        </w:tc>
        <w:tc>
          <w:tcPr>
            <w:tcW w:w="8075" w:type="dxa"/>
            <w:gridSpan w:val="4"/>
            <w:tcBorders>
              <w:top w:val="single" w:sz="2" w:space="0" w:color="auto"/>
              <w:left w:val="single" w:sz="2" w:space="0" w:color="auto"/>
              <w:bottom w:val="single" w:sz="2" w:space="0" w:color="auto"/>
              <w:right w:val="single" w:sz="2" w:space="0" w:color="auto"/>
            </w:tcBorders>
            <w:vAlign w:val="center"/>
          </w:tcPr>
          <w:p w14:paraId="5AB5FC96">
            <w:pPr>
              <w:spacing w:line="360" w:lineRule="auto"/>
              <w:rPr>
                <w:rFonts w:ascii="宋体" w:hAnsi="宋体"/>
                <w:lang w:eastAsia="zh-CN"/>
              </w:rPr>
            </w:pPr>
            <w:r>
              <w:rPr>
                <w:rFonts w:ascii="宋体" w:hAnsi="宋体" w:hint="eastAsia"/>
                <w:lang w:eastAsia="zh-CN"/>
              </w:rPr>
              <w:t>条款号3及相应内容，不得与《省进一步要求》相抵触（本条为示范性内容，提倡招标人直接引用，但招标人如果允许递交备选投标方案的，应引用“补1：备选投标方案的评审”）</w:t>
            </w:r>
          </w:p>
        </w:tc>
      </w:tr>
    </w:tbl>
    <w:p w14:paraId="2C072943">
      <w:pPr>
        <w:spacing w:line="360" w:lineRule="auto"/>
        <w:rPr>
          <w:rFonts w:ascii="宋体" w:hAnsi="宋体"/>
          <w:kern w:val="2"/>
          <w:szCs w:val="22"/>
          <w:lang w:eastAsia="zh-CN"/>
        </w:rPr>
      </w:pPr>
      <w:r>
        <w:rPr>
          <w:rFonts w:ascii="宋体" w:hAnsi="宋体" w:hint="eastAsia"/>
          <w:lang w:eastAsia="zh-CN"/>
        </w:rPr>
        <w:t>注：</w:t>
      </w:r>
    </w:p>
    <w:p w14:paraId="04C52C91">
      <w:pPr>
        <w:spacing w:line="360" w:lineRule="auto"/>
        <w:rPr>
          <w:rFonts w:ascii="宋体" w:hAnsi="宋体"/>
          <w:lang w:eastAsia="zh-CN"/>
        </w:rPr>
      </w:pPr>
      <w:r>
        <w:rPr>
          <w:lang w:eastAsia="zh-CN"/>
        </w:rPr>
        <w:t xml:space="preserve">    </w:t>
      </w:r>
      <w:r>
        <w:rPr>
          <w:rFonts w:ascii="宋体" w:hAnsi="宋体" w:hint="eastAsia"/>
          <w:lang w:eastAsia="zh-CN"/>
        </w:rPr>
        <w:t>（1）评标委员会在评标过程中，如要求投标人澄清或说明的，评标委员会要求投标人在线澄清或说明的时间距投标人收到评标委员会通知的时间不得少于 60分钟。</w:t>
      </w:r>
    </w:p>
    <w:p w14:paraId="3BA00F4C">
      <w:pPr>
        <w:spacing w:line="360" w:lineRule="auto"/>
        <w:rPr>
          <w:rFonts w:ascii="宋体" w:hAnsi="宋体"/>
          <w:lang w:eastAsia="zh-CN"/>
        </w:rPr>
      </w:pPr>
      <w:r>
        <w:rPr>
          <w:lang w:eastAsia="zh-CN"/>
        </w:rPr>
        <w:t xml:space="preserve">    </w:t>
      </w:r>
      <w:r>
        <w:rPr>
          <w:rFonts w:ascii="宋体" w:hAnsi="宋体" w:hint="eastAsia"/>
          <w:lang w:eastAsia="zh-CN"/>
        </w:rPr>
        <w:t>评标委员会认为投标人的澄清或说明不够明确，应再次要求投标人对不明确的内容进行澄清或说明，评标委员会要求投标人再次在线澄清或说明的时间距投标人收到评标委员会通知的时间不得少于 30 分钟。</w:t>
      </w:r>
    </w:p>
    <w:p w14:paraId="3BCDD302">
      <w:pPr>
        <w:spacing w:line="360" w:lineRule="auto"/>
        <w:rPr>
          <w:rFonts w:ascii="宋体" w:hAnsi="宋体"/>
          <w:lang w:eastAsia="zh-CN"/>
        </w:rPr>
      </w:pPr>
      <w:r>
        <w:rPr>
          <w:lang w:eastAsia="zh-CN"/>
        </w:rPr>
        <w:t xml:space="preserve">    </w:t>
      </w:r>
      <w:r>
        <w:rPr>
          <w:rFonts w:ascii="宋体" w:hAnsi="宋体" w:hint="eastAsia"/>
          <w:lang w:eastAsia="zh-CN"/>
        </w:rPr>
        <w:t>投标人未在规定时间内作出澄清或说明的，或者评标委员会认为该投标人的两次澄清或说明都不符合评标委员会要求的，作否决投标处理。</w:t>
      </w:r>
    </w:p>
    <w:p w14:paraId="61DAD031">
      <w:pPr>
        <w:spacing w:line="360" w:lineRule="auto"/>
        <w:rPr>
          <w:rFonts w:ascii="宋体" w:hAnsi="宋体"/>
          <w:lang w:eastAsia="zh-CN"/>
        </w:rPr>
      </w:pPr>
      <w:r>
        <w:rPr>
          <w:lang w:eastAsia="zh-CN"/>
        </w:rPr>
        <w:t xml:space="preserve">    </w:t>
      </w:r>
      <w:r>
        <w:rPr>
          <w:rFonts w:ascii="宋体" w:hAnsi="宋体" w:hint="eastAsia"/>
          <w:lang w:eastAsia="zh-CN"/>
        </w:rPr>
        <w:t>（2）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w:t>
      </w:r>
    </w:p>
    <w:p w14:paraId="45DAC7EA">
      <w:pPr>
        <w:spacing w:line="360" w:lineRule="auto"/>
        <w:rPr>
          <w:rFonts w:ascii="宋体" w:hAnsi="宋体"/>
          <w:lang w:eastAsia="zh-CN"/>
        </w:rPr>
      </w:pPr>
      <w:r>
        <w:rPr>
          <w:lang w:eastAsia="zh-CN"/>
        </w:rPr>
        <w:t xml:space="preserve">    </w:t>
      </w:r>
      <w:r>
        <w:rPr>
          <w:rFonts w:ascii="宋体" w:hAnsi="宋体" w:hint="eastAsia"/>
          <w:lang w:eastAsia="zh-CN"/>
        </w:rPr>
        <w:t>在评标结束后发现投标人串通投标或弄虚作假或有其他违法行为，查证属实的，取消其中标资格。</w:t>
      </w:r>
    </w:p>
    <w:p w14:paraId="20A30CAA">
      <w:pPr>
        <w:spacing w:line="360" w:lineRule="auto"/>
        <w:rPr>
          <w:rFonts w:ascii="宋体" w:hAnsi="宋体"/>
          <w:lang w:eastAsia="zh-CN"/>
        </w:rPr>
      </w:pPr>
      <w:r>
        <w:rPr>
          <w:lang w:eastAsia="zh-CN"/>
        </w:rPr>
        <w:t xml:space="preserve">   </w:t>
      </w:r>
    </w:p>
    <w:p w14:paraId="02F3C1AA">
      <w:pPr>
        <w:spacing w:line="360" w:lineRule="auto"/>
        <w:rPr>
          <w:rFonts w:ascii="Calibri" w:hAnsi="Calibri"/>
          <w:sz w:val="21"/>
          <w:lang w:eastAsia="zh-CN"/>
        </w:rPr>
      </w:pPr>
      <w:r>
        <w:rPr>
          <w:lang w:eastAsia="zh-CN"/>
        </w:rPr>
        <w:t xml:space="preserve">    </w:t>
      </w:r>
    </w:p>
    <w:p w14:paraId="7ABEFD0D">
      <w:pPr>
        <w:rPr>
          <w:lang w:eastAsia="zh-CN"/>
        </w:rPr>
      </w:pPr>
      <w:r>
        <w:rPr>
          <w:lang w:eastAsia="zh-CN"/>
        </w:rPr>
        <w:br w:type="page"/>
      </w:r>
    </w:p>
    <w:p w14:paraId="6B88EB67">
      <w:pPr>
        <w:spacing w:line="360" w:lineRule="auto"/>
        <w:rPr>
          <w:rFonts w:ascii="宋体" w:hAnsi="宋体"/>
          <w:sz w:val="27"/>
          <w:lang w:eastAsia="zh-CN"/>
        </w:rPr>
      </w:pPr>
    </w:p>
    <w:p w14:paraId="2AECAECF">
      <w:pPr>
        <w:pStyle w:val="Heading3"/>
        <w:rPr>
          <w:rFonts w:ascii="宋体" w:hAnsi="宋体"/>
          <w:sz w:val="24"/>
          <w:szCs w:val="24"/>
        </w:rPr>
      </w:pPr>
      <w:r>
        <w:rPr>
          <w:rFonts w:ascii="宋体" w:hAnsi="宋体" w:hint="eastAsia"/>
          <w:sz w:val="24"/>
          <w:szCs w:val="24"/>
        </w:rPr>
        <w:t>1.评标方法</w:t>
      </w:r>
    </w:p>
    <w:p w14:paraId="33FAAED4">
      <w:pPr>
        <w:spacing w:line="360" w:lineRule="auto"/>
        <w:rPr>
          <w:rFonts w:ascii="宋体" w:hAnsi="宋体"/>
          <w:lang w:eastAsia="zh-CN"/>
        </w:rPr>
      </w:pPr>
      <w:r>
        <w:rPr>
          <w:rFonts w:ascii="宋体" w:hAnsi="宋体" w:hint="eastAsia"/>
          <w:lang w:eastAsia="zh-CN"/>
        </w:rPr>
        <w:t xml:space="preserve">    本次评标采用经评审的最低投标价法。评标委员会对满足招标文件实质要求的投标文件，根据本章第2.2款规定的量化因素及量化标准进行价格折算，按照经评审的投标价（即评标价）由低到高的顺序推荐中标候选人，或根据招标人授权直接确定中标人，但投标报价低于其成本的除外。经评审的投标价（即评标价）相等时，投标报价低的优先；投标报价也相等的，由招标人自行确定。</w:t>
      </w:r>
    </w:p>
    <w:p w14:paraId="2390D4FC">
      <w:pPr>
        <w:spacing w:line="360" w:lineRule="auto"/>
        <w:rPr>
          <w:rFonts w:ascii="宋体" w:hAnsi="宋体"/>
          <w:b/>
          <w:bCs/>
          <w:lang w:eastAsia="zh-CN"/>
        </w:rPr>
      </w:pPr>
      <w:r>
        <w:rPr>
          <w:rFonts w:ascii="宋体" w:hAnsi="宋体" w:hint="eastAsia"/>
          <w:b/>
          <w:bCs/>
          <w:lang w:eastAsia="zh-CN"/>
        </w:rPr>
        <w:t>2.评审标准</w:t>
      </w:r>
    </w:p>
    <w:p w14:paraId="383B406F">
      <w:pPr>
        <w:spacing w:line="360" w:lineRule="auto"/>
        <w:rPr>
          <w:rFonts w:ascii="宋体" w:hAnsi="宋体"/>
          <w:b/>
          <w:bCs/>
          <w:lang w:eastAsia="zh-CN"/>
        </w:rPr>
      </w:pPr>
      <w:r>
        <w:rPr>
          <w:rFonts w:ascii="宋体" w:hAnsi="宋体" w:hint="eastAsia"/>
          <w:b/>
          <w:bCs/>
          <w:lang w:eastAsia="zh-CN"/>
        </w:rPr>
        <w:t>2.1初步评审标准</w:t>
      </w:r>
    </w:p>
    <w:p w14:paraId="0BA25D7F">
      <w:pPr>
        <w:spacing w:line="360" w:lineRule="auto"/>
        <w:rPr>
          <w:rFonts w:ascii="宋体" w:hAnsi="宋体"/>
          <w:bCs/>
          <w:lang w:eastAsia="zh-CN"/>
        </w:rPr>
      </w:pPr>
      <w:r>
        <w:rPr>
          <w:rFonts w:ascii="宋体" w:hAnsi="宋体" w:hint="eastAsia"/>
          <w:b/>
          <w:bCs/>
          <w:lang w:eastAsia="zh-CN"/>
        </w:rPr>
        <w:t xml:space="preserve">  </w:t>
      </w:r>
      <w:r>
        <w:rPr>
          <w:rFonts w:ascii="宋体" w:hAnsi="宋体" w:hint="eastAsia"/>
          <w:bCs/>
          <w:lang w:eastAsia="zh-CN"/>
        </w:rPr>
        <w:t xml:space="preserve">  2.1.1形式评审标准：见评标办法前附表。</w:t>
      </w:r>
    </w:p>
    <w:p w14:paraId="03D15791">
      <w:pPr>
        <w:spacing w:line="360" w:lineRule="auto"/>
        <w:rPr>
          <w:rFonts w:ascii="宋体" w:hAnsi="宋体"/>
          <w:bCs/>
          <w:lang w:eastAsia="zh-CN"/>
        </w:rPr>
      </w:pPr>
      <w:r>
        <w:rPr>
          <w:rFonts w:ascii="宋体" w:hAnsi="宋体" w:hint="eastAsia"/>
          <w:bCs/>
          <w:lang w:eastAsia="zh-CN"/>
        </w:rPr>
        <w:t xml:space="preserve">    2.1.2资格评审标准：见评标办法前附表（适用于未进行资格预审的）。</w:t>
      </w:r>
    </w:p>
    <w:p w14:paraId="2C5D5D9C">
      <w:pPr>
        <w:spacing w:line="360" w:lineRule="auto"/>
        <w:rPr>
          <w:rFonts w:ascii="宋体" w:hAnsi="宋体"/>
          <w:bCs/>
          <w:lang w:eastAsia="zh-CN"/>
        </w:rPr>
      </w:pPr>
      <w:r>
        <w:rPr>
          <w:rFonts w:ascii="宋体" w:hAnsi="宋体" w:hint="eastAsia"/>
          <w:bCs/>
          <w:lang w:eastAsia="zh-CN"/>
        </w:rPr>
        <w:t xml:space="preserve">    2.1.2资格评审标准：见本标段资格预审文件第三章“资格审查办法”详细审查标准（适用于已进行资格预审的）。</w:t>
      </w:r>
    </w:p>
    <w:p w14:paraId="162BB431">
      <w:pPr>
        <w:spacing w:line="360" w:lineRule="auto"/>
        <w:rPr>
          <w:rFonts w:ascii="宋体" w:hAnsi="宋体"/>
          <w:bCs/>
          <w:lang w:eastAsia="zh-CN"/>
        </w:rPr>
      </w:pPr>
      <w:r>
        <w:rPr>
          <w:rFonts w:ascii="宋体" w:hAnsi="宋体" w:hint="eastAsia"/>
          <w:bCs/>
          <w:lang w:eastAsia="zh-CN"/>
        </w:rPr>
        <w:t xml:space="preserve">    2.1.3响应性评审标准：见评标办法前附表。</w:t>
      </w:r>
    </w:p>
    <w:p w14:paraId="38219EFE">
      <w:pPr>
        <w:spacing w:line="360" w:lineRule="auto"/>
        <w:rPr>
          <w:rFonts w:ascii="宋体" w:hAnsi="宋体"/>
          <w:bCs/>
          <w:lang w:eastAsia="zh-CN"/>
        </w:rPr>
      </w:pPr>
      <w:r>
        <w:rPr>
          <w:rFonts w:ascii="宋体" w:hAnsi="宋体" w:hint="eastAsia"/>
          <w:bCs/>
          <w:lang w:eastAsia="zh-CN"/>
        </w:rPr>
        <w:t xml:space="preserve">    2.1.4施工组织设计和项目管理机构评审标准：见评标办法前附表。</w:t>
      </w:r>
    </w:p>
    <w:p w14:paraId="05BD9F83">
      <w:pPr>
        <w:spacing w:line="360" w:lineRule="auto"/>
        <w:rPr>
          <w:rFonts w:ascii="宋体" w:hAnsi="宋体"/>
          <w:bCs/>
          <w:lang w:eastAsia="zh-CN"/>
        </w:rPr>
      </w:pPr>
      <w:r>
        <w:rPr>
          <w:rFonts w:ascii="宋体" w:hAnsi="宋体" w:hint="eastAsia"/>
          <w:bCs/>
          <w:lang w:eastAsia="zh-CN"/>
        </w:rPr>
        <w:t>2.2详细评审标准</w:t>
      </w:r>
    </w:p>
    <w:p w14:paraId="3ACE3456">
      <w:pPr>
        <w:spacing w:line="360" w:lineRule="auto"/>
        <w:rPr>
          <w:rFonts w:ascii="宋体" w:hAnsi="宋体"/>
          <w:b/>
          <w:bCs/>
          <w:lang w:eastAsia="zh-CN"/>
        </w:rPr>
      </w:pPr>
      <w:r>
        <w:rPr>
          <w:rFonts w:ascii="宋体" w:hAnsi="宋体" w:hint="eastAsia"/>
          <w:bCs/>
          <w:lang w:eastAsia="zh-CN"/>
        </w:rPr>
        <w:t xml:space="preserve">    详细评审标准：见评标办法前附表。</w:t>
      </w:r>
    </w:p>
    <w:p w14:paraId="382C94A9">
      <w:pPr>
        <w:spacing w:line="360" w:lineRule="auto"/>
        <w:rPr>
          <w:rFonts w:ascii="宋体" w:hAnsi="宋体"/>
          <w:b/>
          <w:bCs/>
          <w:lang w:eastAsia="zh-CN"/>
        </w:rPr>
      </w:pPr>
      <w:r>
        <w:rPr>
          <w:rFonts w:ascii="宋体" w:hAnsi="宋体" w:hint="eastAsia"/>
          <w:b/>
          <w:bCs/>
          <w:lang w:eastAsia="zh-CN"/>
        </w:rPr>
        <w:t>3.评标程序</w:t>
      </w:r>
    </w:p>
    <w:p w14:paraId="6B60C5E4">
      <w:pPr>
        <w:spacing w:line="360" w:lineRule="auto"/>
        <w:rPr>
          <w:rFonts w:ascii="宋体" w:hAnsi="宋体"/>
          <w:b/>
          <w:bCs/>
          <w:lang w:eastAsia="zh-CN"/>
        </w:rPr>
      </w:pPr>
      <w:r>
        <w:rPr>
          <w:rFonts w:ascii="宋体" w:hAnsi="宋体" w:hint="eastAsia"/>
          <w:b/>
          <w:bCs/>
          <w:lang w:eastAsia="zh-CN"/>
        </w:rPr>
        <w:t>3.1初步评审</w:t>
      </w:r>
    </w:p>
    <w:p w14:paraId="107F1D95">
      <w:pPr>
        <w:spacing w:line="360" w:lineRule="auto"/>
        <w:rPr>
          <w:rFonts w:ascii="宋体" w:hAnsi="宋体"/>
          <w:bCs/>
          <w:lang w:eastAsia="zh-CN"/>
        </w:rPr>
      </w:pPr>
      <w:r>
        <w:rPr>
          <w:rFonts w:ascii="宋体" w:hAnsi="宋体" w:hint="eastAsia"/>
          <w:b/>
          <w:bCs/>
          <w:lang w:eastAsia="zh-CN"/>
        </w:rPr>
        <w:t xml:space="preserve">   </w:t>
      </w:r>
      <w:r>
        <w:rPr>
          <w:rFonts w:ascii="宋体" w:hAnsi="宋体" w:hint="eastAsia"/>
          <w:bCs/>
          <w:lang w:eastAsia="zh-CN"/>
        </w:rPr>
        <w:t xml:space="preserve"> 3.1.1评标委员会依据本章第2.1款规定的标准对投标文件进行初步评审。有一项不符合评审标准的，作否决投标处理。（适用于未进行资格预审的）</w:t>
      </w:r>
    </w:p>
    <w:p w14:paraId="209A4F4D">
      <w:pPr>
        <w:spacing w:line="360" w:lineRule="auto"/>
        <w:rPr>
          <w:rFonts w:ascii="宋体" w:hAnsi="宋体"/>
          <w:bCs/>
          <w:lang w:eastAsia="zh-CN"/>
        </w:rPr>
      </w:pPr>
      <w:r>
        <w:rPr>
          <w:rFonts w:ascii="宋体" w:hAnsi="宋体" w:hint="eastAsia"/>
          <w:bCs/>
          <w:lang w:eastAsia="zh-CN"/>
        </w:rPr>
        <w:t xml:space="preserve">    3.1.1评标委员会依据本章第2.1.1项、第2.1.3项、第2.1.4项规定的标准对投标文件进行初步评审。有一项不符合评审标准的，作否决投标处理。当投标人资格预审申请文件的内容发生重大变化时，评标委员会依据本章第2.1.2项规定的标准对其更新资料进行评审。（适用于已进行资格预审的）</w:t>
      </w:r>
    </w:p>
    <w:p w14:paraId="0F21BF8F">
      <w:pPr>
        <w:spacing w:line="360" w:lineRule="auto"/>
        <w:rPr>
          <w:rFonts w:ascii="宋体" w:hAnsi="宋体"/>
          <w:bCs/>
          <w:lang w:eastAsia="zh-CN"/>
        </w:rPr>
      </w:pPr>
      <w:r>
        <w:rPr>
          <w:rFonts w:ascii="宋体" w:hAnsi="宋体" w:hint="eastAsia"/>
          <w:bCs/>
          <w:lang w:eastAsia="zh-CN"/>
        </w:rPr>
        <w:t xml:space="preserve">    3.1.2投标人有以下情形之一的，其投标作否决投标处理：</w:t>
      </w:r>
    </w:p>
    <w:p w14:paraId="7E74A881">
      <w:pPr>
        <w:spacing w:line="360" w:lineRule="auto"/>
        <w:rPr>
          <w:rFonts w:ascii="宋体" w:hAnsi="宋体"/>
          <w:bCs/>
          <w:lang w:eastAsia="zh-CN"/>
        </w:rPr>
      </w:pPr>
      <w:r>
        <w:rPr>
          <w:rFonts w:ascii="宋体" w:hAnsi="宋体" w:hint="eastAsia"/>
          <w:bCs/>
          <w:lang w:eastAsia="zh-CN"/>
        </w:rPr>
        <w:t xml:space="preserve">    （1）第二章“投标人须知”第1.4.3项规定的任何一种情形的；</w:t>
      </w:r>
    </w:p>
    <w:p w14:paraId="6FF6717F">
      <w:pPr>
        <w:spacing w:line="360" w:lineRule="auto"/>
        <w:rPr>
          <w:rFonts w:ascii="宋体" w:hAnsi="宋体"/>
          <w:bCs/>
          <w:lang w:eastAsia="zh-CN"/>
        </w:rPr>
      </w:pPr>
      <w:r>
        <w:rPr>
          <w:rFonts w:ascii="宋体" w:hAnsi="宋体" w:hint="eastAsia"/>
          <w:bCs/>
          <w:lang w:eastAsia="zh-CN"/>
        </w:rPr>
        <w:t xml:space="preserve">    （2）串通投标或弄虚作假或有其他违法行为的；</w:t>
      </w:r>
    </w:p>
    <w:p w14:paraId="17E09117">
      <w:pPr>
        <w:spacing w:line="360" w:lineRule="auto"/>
        <w:rPr>
          <w:rFonts w:ascii="宋体" w:hAnsi="宋体"/>
          <w:bCs/>
          <w:lang w:eastAsia="zh-CN"/>
        </w:rPr>
      </w:pPr>
      <w:r>
        <w:rPr>
          <w:rFonts w:ascii="宋体" w:hAnsi="宋体" w:hint="eastAsia"/>
          <w:bCs/>
          <w:lang w:eastAsia="zh-CN"/>
        </w:rPr>
        <w:t xml:space="preserve">    （3）不按评标委员会要求澄清、说明或补正的。</w:t>
      </w:r>
    </w:p>
    <w:p w14:paraId="07DA2647">
      <w:pPr>
        <w:spacing w:line="360" w:lineRule="auto"/>
        <w:rPr>
          <w:rFonts w:ascii="宋体" w:hAnsi="宋体"/>
          <w:bCs/>
          <w:lang w:eastAsia="zh-CN"/>
        </w:rPr>
      </w:pPr>
      <w:r>
        <w:rPr>
          <w:rFonts w:ascii="宋体" w:hAnsi="宋体" w:hint="eastAsia"/>
          <w:bCs/>
          <w:lang w:eastAsia="zh-CN"/>
        </w:rPr>
        <w:t xml:space="preserve">    3.1.3投标报价有算术错误的，评标委员会按以下原则对投标报价进行修正，修正的价格经投标人书面确认后具有约束力。投标人不接受修正价格的，其投标作否决投标处理。</w:t>
      </w:r>
    </w:p>
    <w:p w14:paraId="1FA9943C">
      <w:pPr>
        <w:spacing w:line="360" w:lineRule="auto"/>
        <w:rPr>
          <w:rFonts w:ascii="宋体" w:hAnsi="宋体"/>
          <w:bCs/>
          <w:lang w:eastAsia="zh-CN"/>
        </w:rPr>
      </w:pPr>
      <w:r>
        <w:rPr>
          <w:rFonts w:ascii="宋体" w:hAnsi="宋体" w:hint="eastAsia"/>
          <w:bCs/>
          <w:lang w:eastAsia="zh-CN"/>
        </w:rPr>
        <w:t xml:space="preserve">    （1）投标文件中的大写金额与小写金额不一致的，以大写金额为准；</w:t>
      </w:r>
    </w:p>
    <w:p w14:paraId="1B10EF28">
      <w:pPr>
        <w:spacing w:line="360" w:lineRule="auto"/>
        <w:rPr>
          <w:rFonts w:ascii="宋体" w:hAnsi="宋体"/>
          <w:bCs/>
          <w:lang w:eastAsia="zh-CN"/>
        </w:rPr>
      </w:pPr>
      <w:r>
        <w:rPr>
          <w:rFonts w:ascii="宋体" w:hAnsi="宋体" w:hint="eastAsia"/>
          <w:bCs/>
          <w:lang w:eastAsia="zh-CN"/>
        </w:rPr>
        <w:t xml:space="preserve">    （2）总价金额与依据单价计算出的结果不一致的，以单价金额为准修正总价，但单价金额小数点有明显错误的除外。</w:t>
      </w:r>
    </w:p>
    <w:p w14:paraId="55947AAF">
      <w:pPr>
        <w:spacing w:line="360" w:lineRule="auto"/>
        <w:rPr>
          <w:rFonts w:ascii="宋体" w:hAnsi="宋体"/>
          <w:bCs/>
          <w:lang w:eastAsia="zh-CN"/>
        </w:rPr>
      </w:pPr>
      <w:r>
        <w:rPr>
          <w:rFonts w:ascii="宋体" w:hAnsi="宋体" w:hint="eastAsia"/>
          <w:bCs/>
          <w:lang w:eastAsia="zh-CN"/>
        </w:rPr>
        <w:t>3.2详细评审</w:t>
      </w:r>
    </w:p>
    <w:p w14:paraId="500F7A3F">
      <w:pPr>
        <w:spacing w:line="360" w:lineRule="auto"/>
        <w:rPr>
          <w:rFonts w:ascii="宋体" w:hAnsi="宋体"/>
          <w:bCs/>
          <w:lang w:eastAsia="zh-CN"/>
        </w:rPr>
      </w:pPr>
      <w:r>
        <w:rPr>
          <w:rFonts w:ascii="宋体" w:hAnsi="宋体" w:hint="eastAsia"/>
          <w:bCs/>
          <w:lang w:eastAsia="zh-CN"/>
        </w:rPr>
        <w:t xml:space="preserve">    3.2.1评标委员会按本章第2.2款规定的量化因素和标准进行价格折算，计算出评标价，并编制价格比较一览表。</w:t>
      </w:r>
    </w:p>
    <w:p w14:paraId="01AFF6F5">
      <w:pPr>
        <w:spacing w:line="360" w:lineRule="auto"/>
        <w:rPr>
          <w:rFonts w:ascii="宋体" w:hAnsi="宋体"/>
          <w:b/>
          <w:bCs/>
          <w:lang w:eastAsia="zh-CN"/>
        </w:rPr>
      </w:pPr>
      <w:r>
        <w:rPr>
          <w:rFonts w:ascii="宋体" w:hAnsi="宋体" w:hint="eastAsia"/>
          <w:bCs/>
          <w:lang w:eastAsia="zh-CN"/>
        </w:rPr>
        <w:t xml:space="preserve">    3.2.2评标委员会发现投标人的报价明显低于其他投标报价，或者在设有标底时明显低于标底，使得其投标报价可能低于其成本的，应当要求该投标人作出书面说明并提供相应的证明材料。投标人不能合理说明或者不能提供相应证明材料的，由评标委员会认定该投标人以低于成本报价竞标，其投标作否决投标处理。</w:t>
      </w:r>
    </w:p>
    <w:p w14:paraId="5200DEC0">
      <w:pPr>
        <w:spacing w:line="360" w:lineRule="auto"/>
        <w:rPr>
          <w:rFonts w:ascii="宋体" w:hAnsi="宋体"/>
          <w:b/>
          <w:bCs/>
          <w:lang w:eastAsia="zh-CN"/>
        </w:rPr>
      </w:pPr>
      <w:r>
        <w:rPr>
          <w:rFonts w:ascii="宋体" w:hAnsi="宋体" w:hint="eastAsia"/>
          <w:b/>
          <w:bCs/>
          <w:lang w:eastAsia="zh-CN"/>
        </w:rPr>
        <w:t>3.3投标文件的澄清和补正</w:t>
      </w:r>
    </w:p>
    <w:p w14:paraId="35C35F8B">
      <w:pPr>
        <w:spacing w:line="360" w:lineRule="auto"/>
        <w:rPr>
          <w:rFonts w:ascii="宋体" w:hAnsi="宋体"/>
          <w:bCs/>
          <w:lang w:eastAsia="zh-CN"/>
        </w:rPr>
      </w:pPr>
      <w:r>
        <w:rPr>
          <w:rFonts w:ascii="宋体" w:hAnsi="宋体" w:hint="eastAsia"/>
          <w:b/>
          <w:bCs/>
          <w:lang w:eastAsia="zh-CN"/>
        </w:rPr>
        <w:t xml:space="preserve">    </w:t>
      </w:r>
      <w:r>
        <w:rPr>
          <w:rFonts w:ascii="宋体" w:hAnsi="宋体" w:hint="eastAsia"/>
          <w:bCs/>
          <w:lang w:eastAsia="zh-CN"/>
        </w:rPr>
        <w:t>3.3.1在评标过程中，评标委员会可以书面形式要求投标人对所提交的投标文件中不明确的内容进行书面澄清或说明，或者对细微偏差进行补正。评标委员会不接受投标人主动提出的澄清、说明或补正。</w:t>
      </w:r>
    </w:p>
    <w:p w14:paraId="18F0360A">
      <w:pPr>
        <w:spacing w:line="360" w:lineRule="auto"/>
        <w:rPr>
          <w:rFonts w:ascii="宋体" w:hAnsi="宋体"/>
          <w:bCs/>
          <w:lang w:eastAsia="zh-CN"/>
        </w:rPr>
      </w:pPr>
      <w:r>
        <w:rPr>
          <w:rFonts w:ascii="宋体" w:hAnsi="宋体" w:hint="eastAsia"/>
          <w:bCs/>
          <w:lang w:eastAsia="zh-CN"/>
        </w:rPr>
        <w:t xml:space="preserve">    3.3.2澄清、说明和补正不得改变投标文件的实质性内容（算术性错误修正的除外）。投标人的书面澄清、说明和补正属于投标文件的组成部分。</w:t>
      </w:r>
    </w:p>
    <w:p w14:paraId="255559BA">
      <w:pPr>
        <w:spacing w:line="360" w:lineRule="auto"/>
        <w:rPr>
          <w:rFonts w:ascii="宋体" w:hAnsi="宋体"/>
          <w:b/>
          <w:bCs/>
          <w:lang w:eastAsia="zh-CN"/>
        </w:rPr>
      </w:pPr>
      <w:r>
        <w:rPr>
          <w:rFonts w:ascii="宋体" w:hAnsi="宋体" w:hint="eastAsia"/>
          <w:bCs/>
          <w:lang w:eastAsia="zh-CN"/>
        </w:rPr>
        <w:t xml:space="preserve">    3.3.3评标委员会对投标人提交的澄清、说明或补正有疑问的，可以要求投标人进一步澄清、说明或补正，直至满足评标委员会的要求。</w:t>
      </w:r>
    </w:p>
    <w:p w14:paraId="66CE892A">
      <w:pPr>
        <w:spacing w:line="360" w:lineRule="auto"/>
        <w:rPr>
          <w:rFonts w:ascii="宋体" w:hAnsi="宋体"/>
          <w:b/>
          <w:bCs/>
          <w:lang w:eastAsia="zh-CN"/>
        </w:rPr>
      </w:pPr>
      <w:r>
        <w:rPr>
          <w:rFonts w:ascii="宋体" w:hAnsi="宋体" w:hint="eastAsia"/>
          <w:b/>
          <w:bCs/>
          <w:lang w:eastAsia="zh-CN"/>
        </w:rPr>
        <w:t>3.4评标结果</w:t>
      </w:r>
    </w:p>
    <w:p w14:paraId="05A7E595">
      <w:pPr>
        <w:spacing w:line="360" w:lineRule="auto"/>
        <w:rPr>
          <w:rFonts w:ascii="宋体" w:hAnsi="宋体"/>
          <w:bCs/>
          <w:lang w:eastAsia="zh-CN"/>
        </w:rPr>
      </w:pPr>
      <w:r>
        <w:rPr>
          <w:rFonts w:ascii="宋体" w:hAnsi="宋体" w:hint="eastAsia"/>
          <w:b/>
          <w:bCs/>
          <w:lang w:eastAsia="zh-CN"/>
        </w:rPr>
        <w:t xml:space="preserve">   </w:t>
      </w:r>
      <w:r>
        <w:rPr>
          <w:rFonts w:ascii="宋体" w:hAnsi="宋体" w:hint="eastAsia"/>
          <w:bCs/>
          <w:lang w:eastAsia="zh-CN"/>
        </w:rPr>
        <w:t xml:space="preserve"> 3.4.1除第二章“投标人须知”前附表授权直接确定中标人外，评标委员会按照经评审的价格由低到高的顺序推荐中标候选人。</w:t>
      </w:r>
    </w:p>
    <w:p w14:paraId="371ECD95">
      <w:pPr>
        <w:spacing w:line="360" w:lineRule="auto"/>
        <w:ind w:firstLine="495"/>
        <w:rPr>
          <w:rFonts w:ascii="宋体" w:hAnsi="宋体"/>
          <w:b/>
          <w:bCs/>
          <w:lang w:eastAsia="zh-CN"/>
        </w:rPr>
      </w:pPr>
      <w:r>
        <w:rPr>
          <w:rFonts w:ascii="宋体" w:hAnsi="宋体" w:hint="eastAsia"/>
          <w:bCs/>
          <w:lang w:eastAsia="zh-CN"/>
        </w:rPr>
        <w:t>3.4.2评标委员会完成评标后，应当向招标人提交书面评标报告。</w:t>
      </w:r>
    </w:p>
    <w:p w14:paraId="3BED0C5D">
      <w:pPr>
        <w:spacing w:line="360" w:lineRule="auto"/>
        <w:ind w:firstLine="495"/>
        <w:rPr>
          <w:rFonts w:ascii="宋体" w:hAnsi="宋体"/>
          <w:lang w:eastAsia="zh-CN"/>
        </w:rPr>
      </w:pPr>
    </w:p>
    <w:p w14:paraId="18E3D7F2">
      <w:pPr>
        <w:spacing w:line="360" w:lineRule="auto"/>
        <w:ind w:firstLine="495"/>
        <w:rPr>
          <w:rFonts w:ascii="宋体" w:hAnsi="宋体"/>
          <w:lang w:eastAsia="zh-CN"/>
        </w:rPr>
      </w:pPr>
    </w:p>
    <w:p w14:paraId="755C6B6B">
      <w:pPr>
        <w:keepNext/>
        <w:keepLines/>
        <w:spacing w:before="260" w:after="260" w:line="36" w:lineRule="auto"/>
        <w:outlineLvl w:val="1"/>
        <w:rPr>
          <w:rFonts w:ascii="宋体" w:hAnsi="宋体"/>
          <w:b/>
          <w:bCs/>
          <w:lang w:eastAsia="zh-CN"/>
        </w:rPr>
      </w:pPr>
      <w:r>
        <w:rPr>
          <w:rFonts w:ascii="宋体" w:hAnsi="宋体" w:hint="eastAsia"/>
          <w:b/>
          <w:bCs/>
          <w:lang w:eastAsia="zh-CN"/>
        </w:rPr>
        <w:t>附件A:评标详细程序</w:t>
      </w:r>
    </w:p>
    <w:p w14:paraId="4F1116FF">
      <w:pPr>
        <w:spacing w:line="420" w:lineRule="auto"/>
        <w:jc w:val="center"/>
        <w:rPr>
          <w:rFonts w:ascii="宋体" w:hAnsi="宋体"/>
          <w:b/>
          <w:lang w:eastAsia="zh-CN"/>
        </w:rPr>
      </w:pPr>
      <w:r>
        <w:rPr>
          <w:rFonts w:ascii="宋体" w:hAnsi="宋体" w:hint="eastAsia"/>
          <w:b/>
          <w:lang w:eastAsia="zh-CN"/>
        </w:rPr>
        <w:t>评标详细程序</w:t>
      </w:r>
    </w:p>
    <w:p w14:paraId="2184C0F7">
      <w:pPr>
        <w:keepNext/>
        <w:keepLines/>
        <w:spacing w:before="260" w:after="260" w:line="360" w:lineRule="auto"/>
        <w:outlineLvl w:val="2"/>
        <w:rPr>
          <w:rFonts w:ascii="宋体" w:hAnsi="宋体"/>
          <w:b/>
          <w:bCs/>
          <w:lang w:eastAsia="zh-CN"/>
        </w:rPr>
      </w:pPr>
      <w:r>
        <w:rPr>
          <w:rFonts w:ascii="宋体" w:hAnsi="宋体" w:hint="eastAsia"/>
          <w:b/>
          <w:bCs/>
          <w:lang w:eastAsia="zh-CN"/>
        </w:rPr>
        <w:t>A0.总  则</w:t>
      </w:r>
    </w:p>
    <w:p w14:paraId="534DBAA6">
      <w:pPr>
        <w:spacing w:line="360" w:lineRule="auto"/>
        <w:rPr>
          <w:rFonts w:ascii="宋体" w:hAnsi="宋体"/>
          <w:lang w:eastAsia="zh-CN"/>
        </w:rPr>
      </w:pPr>
      <w:r>
        <w:rPr>
          <w:rFonts w:ascii="宋体" w:hAnsi="宋体" w:hint="eastAsia"/>
          <w:lang w:eastAsia="zh-CN"/>
        </w:rPr>
        <w:t xml:space="preserve">    本附件是本章“评标办法”的组成部分，是对本章第3条所规定的评标程序的进一步细化，评标委员会应当按照本附件所规定的详细程序开展并完成评标工作。</w:t>
      </w:r>
    </w:p>
    <w:p w14:paraId="3EF65D38">
      <w:pPr>
        <w:keepNext/>
        <w:keepLines/>
        <w:spacing w:before="260" w:after="260" w:line="360" w:lineRule="auto"/>
        <w:outlineLvl w:val="2"/>
        <w:rPr>
          <w:rFonts w:ascii="宋体" w:hAnsi="宋体"/>
          <w:b/>
          <w:bCs/>
          <w:lang w:eastAsia="zh-CN"/>
        </w:rPr>
      </w:pPr>
      <w:r>
        <w:rPr>
          <w:rFonts w:ascii="宋体" w:hAnsi="宋体" w:hint="eastAsia"/>
          <w:b/>
          <w:bCs/>
          <w:lang w:eastAsia="zh-CN"/>
        </w:rPr>
        <w:t>A1.基本程序</w:t>
      </w:r>
    </w:p>
    <w:p w14:paraId="376005C5">
      <w:pPr>
        <w:spacing w:line="360" w:lineRule="auto"/>
        <w:rPr>
          <w:rFonts w:ascii="宋体" w:hAnsi="宋体"/>
          <w:lang w:eastAsia="zh-CN"/>
        </w:rPr>
      </w:pPr>
      <w:r>
        <w:rPr>
          <w:rFonts w:ascii="宋体" w:hAnsi="宋体" w:hint="eastAsia"/>
          <w:lang w:eastAsia="zh-CN"/>
        </w:rPr>
        <w:t xml:space="preserve">    评标活动将按以下五个步骤进行：</w:t>
      </w:r>
    </w:p>
    <w:p w14:paraId="31294468">
      <w:pPr>
        <w:spacing w:line="360" w:lineRule="auto"/>
        <w:rPr>
          <w:rFonts w:ascii="宋体" w:hAnsi="宋体"/>
          <w:lang w:eastAsia="zh-CN"/>
        </w:rPr>
      </w:pPr>
      <w:r>
        <w:rPr>
          <w:rFonts w:ascii="宋体" w:hAnsi="宋体" w:hint="eastAsia"/>
          <w:lang w:eastAsia="zh-CN"/>
        </w:rPr>
        <w:t xml:space="preserve">    （1）评标准备；</w:t>
      </w:r>
    </w:p>
    <w:p w14:paraId="122350A5">
      <w:pPr>
        <w:spacing w:line="360" w:lineRule="auto"/>
        <w:rPr>
          <w:rFonts w:ascii="宋体" w:hAnsi="宋体"/>
          <w:lang w:eastAsia="zh-CN"/>
        </w:rPr>
      </w:pPr>
      <w:r>
        <w:rPr>
          <w:rFonts w:ascii="宋体" w:hAnsi="宋体" w:hint="eastAsia"/>
          <w:lang w:eastAsia="zh-CN"/>
        </w:rPr>
        <w:t xml:space="preserve">    （2）初步评审：</w:t>
      </w:r>
    </w:p>
    <w:p w14:paraId="268E9DC4">
      <w:pPr>
        <w:spacing w:line="360" w:lineRule="auto"/>
        <w:rPr>
          <w:rFonts w:ascii="宋体" w:hAnsi="宋体"/>
          <w:lang w:eastAsia="zh-CN"/>
        </w:rPr>
      </w:pPr>
      <w:r>
        <w:rPr>
          <w:rFonts w:ascii="宋体" w:hAnsi="宋体" w:hint="eastAsia"/>
          <w:lang w:eastAsia="zh-CN"/>
        </w:rPr>
        <w:t xml:space="preserve">    （3）详细评审；</w:t>
      </w:r>
    </w:p>
    <w:p w14:paraId="46AA5951">
      <w:pPr>
        <w:spacing w:line="360" w:lineRule="auto"/>
        <w:rPr>
          <w:rFonts w:ascii="宋体" w:hAnsi="宋体"/>
          <w:lang w:eastAsia="zh-CN"/>
        </w:rPr>
      </w:pPr>
      <w:r>
        <w:rPr>
          <w:rFonts w:ascii="宋体" w:hAnsi="宋体" w:hint="eastAsia"/>
          <w:lang w:eastAsia="zh-CN"/>
        </w:rPr>
        <w:t xml:space="preserve">    （4）澄清、说明或补正；</w:t>
      </w:r>
    </w:p>
    <w:p w14:paraId="32B85996">
      <w:pPr>
        <w:spacing w:line="360" w:lineRule="auto"/>
        <w:rPr>
          <w:rFonts w:ascii="宋体" w:hAnsi="宋体"/>
          <w:lang w:eastAsia="zh-CN"/>
        </w:rPr>
      </w:pPr>
      <w:r>
        <w:rPr>
          <w:rFonts w:ascii="宋体" w:hAnsi="宋体" w:hint="eastAsia"/>
          <w:lang w:eastAsia="zh-CN"/>
        </w:rPr>
        <w:t xml:space="preserve">    （5）推荐中标候选人或者直接确定中标人及提交评标报告。</w:t>
      </w:r>
    </w:p>
    <w:p w14:paraId="185EC896">
      <w:pPr>
        <w:keepNext/>
        <w:keepLines/>
        <w:spacing w:before="260" w:after="260" w:line="360" w:lineRule="auto"/>
        <w:outlineLvl w:val="2"/>
        <w:rPr>
          <w:rFonts w:ascii="宋体" w:hAnsi="宋体"/>
          <w:b/>
          <w:bCs/>
          <w:lang w:eastAsia="zh-CN"/>
        </w:rPr>
      </w:pPr>
      <w:r>
        <w:rPr>
          <w:rFonts w:ascii="宋体" w:hAnsi="宋体" w:hint="eastAsia"/>
          <w:b/>
          <w:bCs/>
          <w:lang w:eastAsia="zh-CN"/>
        </w:rPr>
        <w:t>A2.评标准备</w:t>
      </w:r>
    </w:p>
    <w:p w14:paraId="3526E8AC">
      <w:pPr>
        <w:keepNext/>
        <w:keepLines/>
        <w:spacing w:before="280" w:after="290" w:line="360" w:lineRule="auto"/>
        <w:outlineLvl w:val="3"/>
        <w:rPr>
          <w:rFonts w:ascii="宋体" w:hAnsi="宋体"/>
          <w:b/>
          <w:bCs/>
          <w:lang w:eastAsia="zh-CN"/>
        </w:rPr>
      </w:pPr>
      <w:r>
        <w:rPr>
          <w:rFonts w:ascii="宋体" w:hAnsi="宋体" w:hint="eastAsia"/>
          <w:b/>
          <w:bCs/>
          <w:lang w:eastAsia="zh-CN"/>
        </w:rPr>
        <w:t>A2.1评标委员会成员签到</w:t>
      </w:r>
    </w:p>
    <w:p w14:paraId="0AF3D113">
      <w:pPr>
        <w:spacing w:line="360" w:lineRule="auto"/>
        <w:rPr>
          <w:rFonts w:ascii="宋体" w:hAnsi="宋体"/>
          <w:lang w:eastAsia="zh-CN"/>
        </w:rPr>
      </w:pPr>
      <w:r>
        <w:rPr>
          <w:rFonts w:ascii="宋体" w:hAnsi="宋体" w:hint="eastAsia"/>
          <w:lang w:eastAsia="zh-CN"/>
        </w:rPr>
        <w:t xml:space="preserve">    评标委员会成员到达评标现场时应在签到表上签到以证明其出席。评标委员会签到表见附表A-1。</w:t>
      </w:r>
    </w:p>
    <w:p w14:paraId="33AB334C">
      <w:pPr>
        <w:keepNext/>
        <w:keepLines/>
        <w:spacing w:before="280" w:after="290" w:line="360" w:lineRule="auto"/>
        <w:outlineLvl w:val="3"/>
        <w:rPr>
          <w:rFonts w:ascii="宋体" w:hAnsi="宋体"/>
          <w:b/>
          <w:bCs/>
          <w:lang w:eastAsia="zh-CN"/>
        </w:rPr>
      </w:pPr>
      <w:r>
        <w:rPr>
          <w:rFonts w:ascii="宋体" w:hAnsi="宋体" w:hint="eastAsia"/>
          <w:b/>
          <w:bCs/>
          <w:lang w:eastAsia="zh-CN"/>
        </w:rPr>
        <w:t>A2.2评标委员会的分工</w:t>
      </w:r>
    </w:p>
    <w:p w14:paraId="45F55FEF">
      <w:pPr>
        <w:spacing w:line="360" w:lineRule="auto"/>
        <w:rPr>
          <w:rFonts w:ascii="宋体" w:hAnsi="宋体"/>
          <w:lang w:eastAsia="zh-CN"/>
        </w:rPr>
      </w:pPr>
      <w:r>
        <w:rPr>
          <w:rFonts w:ascii="宋体" w:hAnsi="宋体" w:hint="eastAsia"/>
          <w:lang w:eastAsia="zh-CN"/>
        </w:rPr>
        <w:t xml:space="preserve">    评标委员会首先推选一名评标委员会主任。招标人也可以直接指定评标委员会主任。评标委员会主任负责评标活动的组织领导工作。评标委员会主任在与其他评标委员会成员协商的基础上，可以将评标委员会划分为技术组和商务组。</w:t>
      </w:r>
    </w:p>
    <w:p w14:paraId="0CDE8896">
      <w:pPr>
        <w:keepNext/>
        <w:keepLines/>
        <w:spacing w:before="280" w:after="290" w:line="360" w:lineRule="auto"/>
        <w:outlineLvl w:val="3"/>
        <w:rPr>
          <w:rFonts w:ascii="宋体" w:hAnsi="宋体"/>
          <w:b/>
          <w:bCs/>
          <w:lang w:eastAsia="zh-CN"/>
        </w:rPr>
      </w:pPr>
      <w:r>
        <w:rPr>
          <w:rFonts w:ascii="宋体" w:hAnsi="宋体" w:hint="eastAsia"/>
          <w:b/>
          <w:bCs/>
          <w:lang w:eastAsia="zh-CN"/>
        </w:rPr>
        <w:t>A2.3熟悉文件资料</w:t>
      </w:r>
    </w:p>
    <w:p w14:paraId="2BB76541">
      <w:pPr>
        <w:spacing w:line="360" w:lineRule="auto"/>
        <w:rPr>
          <w:rFonts w:ascii="宋体" w:hAnsi="宋体"/>
          <w:lang w:eastAsia="zh-CN"/>
        </w:rPr>
      </w:pPr>
      <w:r>
        <w:rPr>
          <w:rFonts w:ascii="宋体" w:hAnsi="宋体" w:hint="eastAsia"/>
          <w:lang w:eastAsia="zh-CN"/>
        </w:rPr>
        <w:t xml:space="preserve">    A2.3.1评标委员会主任应组织评标委员会成员认真研究招标文件，了解和熟悉招标目的、招标范围、主要合同条件、技术标准和要求、质量标准和工期要求等，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14:paraId="04547831">
      <w:pPr>
        <w:spacing w:line="360" w:lineRule="auto"/>
        <w:rPr>
          <w:rFonts w:ascii="宋体" w:hAnsi="宋体"/>
          <w:lang w:eastAsia="zh-CN"/>
        </w:rPr>
      </w:pPr>
      <w:r>
        <w:rPr>
          <w:rFonts w:ascii="宋体" w:hAnsi="宋体" w:hint="eastAsia"/>
          <w:lang w:eastAsia="zh-CN"/>
        </w:rPr>
        <w:t xml:space="preserve">    A2.3.2招标人或招标代理机构应向评标委员会提供评标所需的信息和数据，包括招标文件、未在开标会上当场拒绝的各投标文件、开标会记录、资格预审文件及各投标人在资格预审阶段递交的资格预审申请文件（适用于已进行资格预审的）、招标控制价或标底（如果有）、工程所在地工程造价管理部门颁布的工程造价信息、定额（如作为计价依据时）、有关的法律、法规、规章、国家标准以及招标人或评标委员会认为必要的其他信息和数据。</w:t>
      </w:r>
    </w:p>
    <w:p w14:paraId="78F3F6CF">
      <w:pPr>
        <w:keepNext/>
        <w:keepLines/>
        <w:spacing w:before="280" w:after="290" w:line="360" w:lineRule="auto"/>
        <w:outlineLvl w:val="3"/>
        <w:rPr>
          <w:rFonts w:ascii="宋体" w:hAnsi="宋体"/>
          <w:b/>
          <w:bCs/>
          <w:lang w:eastAsia="zh-CN"/>
        </w:rPr>
      </w:pPr>
      <w:r>
        <w:rPr>
          <w:rFonts w:ascii="宋体" w:hAnsi="宋体" w:hint="eastAsia"/>
          <w:b/>
          <w:bCs/>
          <w:lang w:eastAsia="zh-CN"/>
        </w:rPr>
        <w:t>A2.4 对投标文件进行基础性数据分析和整理工作（清标）</w:t>
      </w:r>
    </w:p>
    <w:p w14:paraId="600CD880">
      <w:pPr>
        <w:spacing w:line="360" w:lineRule="auto"/>
        <w:rPr>
          <w:rFonts w:ascii="宋体" w:hAnsi="宋体"/>
          <w:lang w:eastAsia="zh-CN"/>
        </w:rPr>
      </w:pPr>
      <w:r>
        <w:rPr>
          <w:rFonts w:ascii="宋体" w:hAnsi="宋体" w:hint="eastAsia"/>
          <w:lang w:eastAsia="zh-CN"/>
        </w:rPr>
        <w:t xml:space="preserve">    A2.4.1在不改变投标人投标文件实质性内容的前提下，评标委员会应当对投标文件进行基础性数据分析和整理（本章中简称为“清标”），从而发现并提取其中可能存在的对招标范围理解的偏差、投标报价的算术性错误、错漏项、投标报价构成不合理、不平衡报价等存在明显异常的问题，并就这些问题整理形成清标成果。评标委员会对清标成果审议后，决定需要投标人进行书面澄清、说明或补正的问题，形成质疑问卷，向投标人发出问题澄清通知（包括质疑问卷）。</w:t>
      </w:r>
    </w:p>
    <w:p w14:paraId="4CBED343">
      <w:pPr>
        <w:keepNext/>
        <w:keepLines/>
        <w:spacing w:before="260" w:after="260" w:line="360" w:lineRule="auto"/>
        <w:outlineLvl w:val="2"/>
        <w:rPr>
          <w:rFonts w:ascii="宋体" w:hAnsi="宋体"/>
          <w:b/>
          <w:bCs/>
          <w:lang w:eastAsia="zh-CN"/>
        </w:rPr>
      </w:pPr>
      <w:r>
        <w:rPr>
          <w:rFonts w:ascii="宋体" w:hAnsi="宋体" w:hint="eastAsia"/>
          <w:b/>
          <w:bCs/>
          <w:lang w:eastAsia="zh-CN"/>
        </w:rPr>
        <w:t>A3.初步评审</w:t>
      </w:r>
    </w:p>
    <w:p w14:paraId="4E587EB7">
      <w:pPr>
        <w:keepNext/>
        <w:keepLines/>
        <w:spacing w:before="280" w:after="290" w:line="360" w:lineRule="auto"/>
        <w:outlineLvl w:val="3"/>
        <w:rPr>
          <w:rFonts w:ascii="宋体" w:hAnsi="宋体"/>
          <w:b/>
          <w:bCs/>
          <w:lang w:eastAsia="zh-CN"/>
        </w:rPr>
      </w:pPr>
      <w:r>
        <w:rPr>
          <w:rFonts w:ascii="宋体" w:hAnsi="宋体" w:hint="eastAsia"/>
          <w:b/>
          <w:bCs/>
          <w:lang w:eastAsia="zh-CN"/>
        </w:rPr>
        <w:t>A3.1形式评审</w:t>
      </w:r>
    </w:p>
    <w:p w14:paraId="018C4CAD">
      <w:pPr>
        <w:spacing w:line="360" w:lineRule="auto"/>
        <w:ind w:firstLine="480"/>
        <w:rPr>
          <w:rFonts w:ascii="宋体" w:hAnsi="宋体"/>
          <w:lang w:eastAsia="zh-CN"/>
        </w:rPr>
      </w:pPr>
      <w:r>
        <w:rPr>
          <w:rFonts w:ascii="宋体" w:hAnsi="宋体" w:hint="eastAsia"/>
          <w:lang w:eastAsia="zh-CN"/>
        </w:rPr>
        <w:t>评标委员会根据评标办法前附表中规定的评审因素和评审标准，对投标人的投标文件进行形式评审，并使用附表A-2记录评审结果。</w:t>
      </w:r>
    </w:p>
    <w:p w14:paraId="024AF1BE">
      <w:pPr>
        <w:spacing w:line="360" w:lineRule="auto"/>
        <w:ind w:firstLine="480"/>
        <w:rPr>
          <w:rFonts w:ascii="宋体" w:hAnsi="宋体"/>
          <w:lang w:eastAsia="zh-CN"/>
        </w:rPr>
      </w:pPr>
      <w:r>
        <w:rPr>
          <w:rFonts w:ascii="宋体" w:hAnsi="宋体" w:hint="eastAsia"/>
          <w:b/>
          <w:lang w:eastAsia="zh-CN"/>
        </w:rPr>
        <w:t>注：投标文件的签名信息为数字签名，关于数字签名的评审以评标系统读取到的《</w:t>
      </w:r>
      <w:r>
        <w:rPr>
          <w:rFonts w:eastAsia="黑体" w:hint="eastAsia"/>
          <w:sz w:val="28"/>
          <w:szCs w:val="28"/>
          <w:lang w:eastAsia="zh-CN"/>
        </w:rPr>
        <w:t>投标文件数字（</w:t>
      </w:r>
      <w:r>
        <w:rPr>
          <w:rFonts w:eastAsia="黑体"/>
          <w:sz w:val="28"/>
          <w:szCs w:val="28"/>
          <w:lang w:eastAsia="zh-CN"/>
        </w:rPr>
        <w:t>CA</w:t>
      </w:r>
      <w:r>
        <w:rPr>
          <w:rFonts w:eastAsia="黑体" w:hint="eastAsia"/>
          <w:sz w:val="28"/>
          <w:szCs w:val="28"/>
          <w:lang w:eastAsia="zh-CN"/>
        </w:rPr>
        <w:t>）签名信息表</w:t>
      </w:r>
      <w:r>
        <w:rPr>
          <w:rFonts w:ascii="宋体" w:hAnsi="宋体" w:hint="eastAsia"/>
          <w:b/>
          <w:lang w:eastAsia="zh-CN"/>
        </w:rPr>
        <w:t>》为准。</w:t>
      </w:r>
    </w:p>
    <w:p w14:paraId="0C85D68D">
      <w:pPr>
        <w:keepNext/>
        <w:keepLines/>
        <w:spacing w:before="280" w:after="290" w:line="360" w:lineRule="auto"/>
        <w:outlineLvl w:val="3"/>
        <w:rPr>
          <w:rFonts w:ascii="宋体" w:hAnsi="宋体"/>
          <w:b/>
          <w:bCs/>
          <w:lang w:eastAsia="zh-CN"/>
        </w:rPr>
      </w:pPr>
      <w:r>
        <w:rPr>
          <w:rFonts w:ascii="宋体" w:hAnsi="宋体" w:hint="eastAsia"/>
          <w:b/>
          <w:bCs/>
          <w:lang w:eastAsia="zh-CN"/>
        </w:rPr>
        <w:t>A3.2资格评审</w:t>
      </w:r>
    </w:p>
    <w:p w14:paraId="4274224D">
      <w:pPr>
        <w:spacing w:line="360" w:lineRule="auto"/>
        <w:rPr>
          <w:rFonts w:ascii="宋体" w:hAnsi="宋体"/>
          <w:lang w:eastAsia="zh-CN"/>
        </w:rPr>
      </w:pPr>
      <w:r>
        <w:rPr>
          <w:rFonts w:ascii="宋体" w:hAnsi="宋体" w:hint="eastAsia"/>
          <w:lang w:eastAsia="zh-CN"/>
        </w:rPr>
        <w:t xml:space="preserve">    A3.2.1评标委员会根据评标办法前附表中规定的评审因素和评审标准，对投标人的投标文件进行资格评审，并使用附表A-3记录评审结果。（适用于未进行资格预审的）</w:t>
      </w:r>
    </w:p>
    <w:p w14:paraId="44E9EB0D">
      <w:pPr>
        <w:spacing w:line="360" w:lineRule="auto"/>
        <w:rPr>
          <w:rFonts w:ascii="宋体" w:hAnsi="宋体"/>
          <w:lang w:eastAsia="zh-CN"/>
        </w:rPr>
      </w:pPr>
      <w:r>
        <w:rPr>
          <w:rFonts w:ascii="宋体" w:hAnsi="宋体" w:hint="eastAsia"/>
          <w:lang w:eastAsia="zh-CN"/>
        </w:rPr>
        <w:t xml:space="preserve">    A3.2.1当投标人资格预审申请文件的内容发生重大变化时，评标委员会依据资格预审文件中规定的标准和方法，对照投标人在资格预审阶段递交的资格预审文件中的资料以及在投标文件中更新的资料，对其更新的资料进行评审（适用于已进行资格预审的）。其中：</w:t>
      </w:r>
    </w:p>
    <w:p w14:paraId="3243A10A">
      <w:pPr>
        <w:spacing w:line="360" w:lineRule="auto"/>
        <w:rPr>
          <w:rFonts w:ascii="宋体" w:hAnsi="宋体"/>
          <w:lang w:eastAsia="zh-CN"/>
        </w:rPr>
      </w:pPr>
      <w:r>
        <w:rPr>
          <w:rFonts w:ascii="宋体" w:hAnsi="宋体" w:hint="eastAsia"/>
          <w:lang w:eastAsia="zh-CN"/>
        </w:rPr>
        <w:t xml:space="preserve">    （1）资格预审采用“合格制”的，投标文件中更新的资料应当符合资格预审文件中规定的审查标准，否则其投标作否决投标处理；</w:t>
      </w:r>
    </w:p>
    <w:p w14:paraId="3307D455">
      <w:pPr>
        <w:spacing w:line="360" w:lineRule="auto"/>
        <w:rPr>
          <w:rFonts w:ascii="宋体" w:hAnsi="宋体"/>
          <w:lang w:eastAsia="zh-CN"/>
        </w:rPr>
      </w:pPr>
      <w:r>
        <w:rPr>
          <w:rFonts w:ascii="宋体" w:hAnsi="宋体" w:hint="eastAsia"/>
          <w:lang w:eastAsia="zh-CN"/>
        </w:rPr>
        <w:t xml:space="preserve">    （2）资格预审采用“有限数量制”的，投标文件中更新的资料应当符合资格预审文件中规定的审查标准，其中以评分方式进行审查的，其更新的资料按照资格预审文件中规定的评分标准评分后，其得分应当保证即便在资格预审阶段仍然能够获得投标资格且没有对未通过资格预审的其他资格预审申请人构成不公平，否则其投标作否决投标处理。</w:t>
      </w:r>
    </w:p>
    <w:p w14:paraId="07456BAE">
      <w:pPr>
        <w:keepNext/>
        <w:keepLines/>
        <w:spacing w:before="280" w:after="290" w:line="360" w:lineRule="auto"/>
        <w:outlineLvl w:val="3"/>
        <w:rPr>
          <w:rFonts w:ascii="宋体" w:hAnsi="宋体"/>
          <w:b/>
          <w:bCs/>
          <w:lang w:eastAsia="zh-CN"/>
        </w:rPr>
      </w:pPr>
      <w:r>
        <w:rPr>
          <w:rFonts w:ascii="宋体" w:hAnsi="宋体" w:hint="eastAsia"/>
          <w:b/>
          <w:bCs/>
          <w:lang w:eastAsia="zh-CN"/>
        </w:rPr>
        <w:t>A3.3  响应性评审</w:t>
      </w:r>
    </w:p>
    <w:p w14:paraId="1074BBAD">
      <w:pPr>
        <w:spacing w:line="360" w:lineRule="auto"/>
        <w:rPr>
          <w:rFonts w:ascii="宋体" w:hAnsi="宋体"/>
          <w:lang w:eastAsia="zh-CN"/>
        </w:rPr>
      </w:pPr>
      <w:r>
        <w:rPr>
          <w:rFonts w:ascii="宋体" w:hAnsi="宋体" w:hint="eastAsia"/>
          <w:lang w:eastAsia="zh-CN"/>
        </w:rPr>
        <w:t xml:space="preserve">    A3.3.1评标委员会根据评标办法前附表中规定的评审因素和评审标准，对投标人的投标文件进行响应性评审，并使用附表A-4记录评审结果。</w:t>
      </w:r>
    </w:p>
    <w:p w14:paraId="74DA61B7">
      <w:pPr>
        <w:spacing w:line="360" w:lineRule="auto"/>
        <w:rPr>
          <w:rFonts w:ascii="宋体" w:hAnsi="宋体"/>
          <w:lang w:eastAsia="zh-CN"/>
        </w:rPr>
      </w:pPr>
      <w:r>
        <w:rPr>
          <w:rFonts w:ascii="宋体" w:hAnsi="宋体" w:hint="eastAsia"/>
          <w:lang w:eastAsia="zh-CN"/>
        </w:rPr>
        <w:t xml:space="preserve">    A3.3.2投标人投标价格不得超出（不含等于）按照第二章“投标人须知”前附表第7.3.1款载明的招标控制价，凡投标人的投标价格超出招标控制价的，该投标人的投标文件不能通过响应性评审。（适用于设立招标控制价的情形）</w:t>
      </w:r>
    </w:p>
    <w:p w14:paraId="78E5CCDB">
      <w:pPr>
        <w:keepNext/>
        <w:keepLines/>
        <w:spacing w:before="280" w:after="290" w:line="360" w:lineRule="auto"/>
        <w:outlineLvl w:val="3"/>
        <w:rPr>
          <w:rFonts w:ascii="宋体" w:hAnsi="宋体"/>
          <w:b/>
          <w:bCs/>
          <w:lang w:eastAsia="zh-CN"/>
        </w:rPr>
      </w:pPr>
      <w:r>
        <w:rPr>
          <w:rFonts w:ascii="宋体" w:hAnsi="宋体" w:hint="eastAsia"/>
          <w:b/>
          <w:bCs/>
          <w:lang w:eastAsia="zh-CN"/>
        </w:rPr>
        <w:t>A3.4  施工组织设计和项目管理机构评审</w:t>
      </w:r>
    </w:p>
    <w:p w14:paraId="78EA2939">
      <w:pPr>
        <w:spacing w:line="360" w:lineRule="auto"/>
        <w:rPr>
          <w:rFonts w:ascii="宋体" w:hAnsi="宋体"/>
          <w:lang w:eastAsia="zh-CN"/>
        </w:rPr>
      </w:pPr>
      <w:r>
        <w:rPr>
          <w:rFonts w:ascii="宋体" w:hAnsi="宋体" w:hint="eastAsia"/>
          <w:lang w:eastAsia="zh-CN"/>
        </w:rPr>
        <w:t xml:space="preserve">    评标委员会根据评标办法前附表中规定的评审因素和评审标准，对投标人的施工组织设计和项目管理机构进行评审，并使用附表A-5记录评审结果。</w:t>
      </w:r>
    </w:p>
    <w:p w14:paraId="32A5A438">
      <w:pPr>
        <w:keepNext/>
        <w:keepLines/>
        <w:spacing w:before="280" w:after="290" w:line="360" w:lineRule="auto"/>
        <w:outlineLvl w:val="3"/>
        <w:rPr>
          <w:rFonts w:ascii="宋体" w:hAnsi="宋体"/>
          <w:b/>
          <w:bCs/>
          <w:lang w:eastAsia="zh-CN"/>
        </w:rPr>
      </w:pPr>
      <w:r>
        <w:rPr>
          <w:rFonts w:ascii="宋体" w:hAnsi="宋体" w:hint="eastAsia"/>
          <w:b/>
          <w:bCs/>
          <w:lang w:eastAsia="zh-CN"/>
        </w:rPr>
        <w:t>A3.5  判断投标是否为否决投标</w:t>
      </w:r>
    </w:p>
    <w:p w14:paraId="026B0698">
      <w:pPr>
        <w:spacing w:line="360" w:lineRule="auto"/>
        <w:rPr>
          <w:rFonts w:ascii="宋体" w:hAnsi="宋体"/>
          <w:lang w:eastAsia="zh-CN"/>
        </w:rPr>
      </w:pPr>
      <w:r>
        <w:rPr>
          <w:rFonts w:ascii="宋体" w:hAnsi="宋体" w:hint="eastAsia"/>
          <w:lang w:eastAsia="zh-CN"/>
        </w:rPr>
        <w:t xml:space="preserve">    A3.5.1评标委员会在评标（包括初步评审和详细评审）过程中，依据本章第3.1.2项中规定的否决投标条件判断投标人的投标是否为否决投标。</w:t>
      </w:r>
    </w:p>
    <w:p w14:paraId="130B9BEA">
      <w:pPr>
        <w:keepNext/>
        <w:keepLines/>
        <w:spacing w:before="280" w:after="290" w:line="360" w:lineRule="auto"/>
        <w:outlineLvl w:val="3"/>
        <w:rPr>
          <w:rFonts w:ascii="宋体" w:hAnsi="宋体"/>
          <w:b/>
          <w:bCs/>
          <w:lang w:eastAsia="zh-CN"/>
        </w:rPr>
      </w:pPr>
      <w:r>
        <w:rPr>
          <w:rFonts w:ascii="宋体" w:hAnsi="宋体" w:hint="eastAsia"/>
          <w:b/>
          <w:bCs/>
          <w:lang w:eastAsia="zh-CN"/>
        </w:rPr>
        <w:t>A3.6算术错误修正</w:t>
      </w:r>
    </w:p>
    <w:p w14:paraId="25B9D6EC">
      <w:pPr>
        <w:spacing w:line="360" w:lineRule="auto"/>
        <w:rPr>
          <w:rFonts w:ascii="宋体" w:hAnsi="宋体"/>
          <w:lang w:eastAsia="zh-CN"/>
        </w:rPr>
      </w:pPr>
      <w:r>
        <w:rPr>
          <w:rFonts w:ascii="宋体" w:hAnsi="宋体" w:hint="eastAsia"/>
          <w:lang w:eastAsia="zh-CN"/>
        </w:rPr>
        <w:t xml:space="preserve">    评标委员会依据本章中规定的相关原则对投标报价中存在的算术错误进行修正，并根据算术错误修正结果计算评标价。</w:t>
      </w:r>
    </w:p>
    <w:p w14:paraId="470C3C44">
      <w:pPr>
        <w:keepNext/>
        <w:keepLines/>
        <w:spacing w:before="280" w:after="290" w:line="360" w:lineRule="auto"/>
        <w:outlineLvl w:val="3"/>
        <w:rPr>
          <w:rFonts w:ascii="宋体" w:hAnsi="宋体"/>
          <w:b/>
          <w:bCs/>
          <w:lang w:eastAsia="zh-CN"/>
        </w:rPr>
      </w:pPr>
      <w:r>
        <w:rPr>
          <w:rFonts w:ascii="宋体" w:hAnsi="宋体" w:hint="eastAsia"/>
          <w:b/>
          <w:bCs/>
          <w:lang w:eastAsia="zh-CN"/>
        </w:rPr>
        <w:t>A3.7澄清、说明或补正</w:t>
      </w:r>
    </w:p>
    <w:p w14:paraId="588D0787">
      <w:pPr>
        <w:spacing w:line="360" w:lineRule="auto"/>
        <w:rPr>
          <w:rFonts w:ascii="宋体" w:hAnsi="宋体"/>
          <w:lang w:eastAsia="zh-CN"/>
        </w:rPr>
      </w:pPr>
      <w:r>
        <w:rPr>
          <w:rFonts w:ascii="宋体" w:hAnsi="宋体" w:hint="eastAsia"/>
          <w:lang w:eastAsia="zh-CN"/>
        </w:rPr>
        <w:t xml:space="preserve">    在初步评审过程中，评标委员会应当就投标文件中不明确的内容要求投标人进行澄清、说明或者补正。投标人应当根据问题澄清通知要求，以书面形式予以澄清、说明或者补正。澄清、说明或补正根据本章第3.3款的规定进行。</w:t>
      </w:r>
    </w:p>
    <w:p w14:paraId="22D736DD">
      <w:pPr>
        <w:keepNext/>
        <w:keepLines/>
        <w:spacing w:before="260" w:after="260" w:line="360" w:lineRule="auto"/>
        <w:outlineLvl w:val="2"/>
        <w:rPr>
          <w:rFonts w:ascii="宋体" w:hAnsi="宋体"/>
          <w:b/>
          <w:bCs/>
          <w:lang w:eastAsia="zh-CN"/>
        </w:rPr>
      </w:pPr>
      <w:r>
        <w:rPr>
          <w:rFonts w:ascii="宋体" w:hAnsi="宋体" w:hint="eastAsia"/>
          <w:b/>
          <w:bCs/>
          <w:lang w:eastAsia="zh-CN"/>
        </w:rPr>
        <w:t>A4.详细评审</w:t>
      </w:r>
    </w:p>
    <w:p w14:paraId="6E2B2590">
      <w:pPr>
        <w:spacing w:line="360" w:lineRule="auto"/>
        <w:rPr>
          <w:rFonts w:ascii="宋体" w:hAnsi="宋体"/>
          <w:lang w:eastAsia="zh-CN"/>
        </w:rPr>
      </w:pPr>
      <w:r>
        <w:rPr>
          <w:rFonts w:ascii="宋体" w:hAnsi="宋体" w:hint="eastAsia"/>
          <w:lang w:eastAsia="zh-CN"/>
        </w:rPr>
        <w:t xml:space="preserve">    只有通过了初步评审、被判定为合格的投标方可进入详细评审。</w:t>
      </w:r>
    </w:p>
    <w:p w14:paraId="798245A4">
      <w:pPr>
        <w:keepNext/>
        <w:keepLines/>
        <w:spacing w:before="280" w:after="290" w:line="360" w:lineRule="auto"/>
        <w:outlineLvl w:val="3"/>
        <w:rPr>
          <w:rFonts w:ascii="宋体" w:hAnsi="宋体"/>
          <w:b/>
          <w:bCs/>
          <w:lang w:eastAsia="zh-CN"/>
        </w:rPr>
      </w:pPr>
      <w:r>
        <w:rPr>
          <w:rFonts w:ascii="宋体" w:hAnsi="宋体" w:hint="eastAsia"/>
          <w:b/>
          <w:bCs/>
          <w:lang w:eastAsia="zh-CN"/>
        </w:rPr>
        <w:t>A4.1价格折算</w:t>
      </w:r>
    </w:p>
    <w:p w14:paraId="38CE3F66">
      <w:pPr>
        <w:spacing w:line="360" w:lineRule="auto"/>
        <w:rPr>
          <w:rFonts w:ascii="宋体" w:hAnsi="宋体"/>
          <w:lang w:eastAsia="zh-CN"/>
        </w:rPr>
      </w:pPr>
      <w:r>
        <w:rPr>
          <w:rFonts w:ascii="宋体" w:hAnsi="宋体" w:hint="eastAsia"/>
          <w:lang w:eastAsia="zh-CN"/>
        </w:rPr>
        <w:t xml:space="preserve">    A4.1.1评标委员会根据评标办法前附表、本章附件B中规定的程序、标准和方法，以及算术错误修正结果，对投标报价进行价格折算，计算出评标价，并使用附表A-6记录评标价折算结果。</w:t>
      </w:r>
    </w:p>
    <w:p w14:paraId="0A2A42FF">
      <w:pPr>
        <w:keepNext/>
        <w:keepLines/>
        <w:spacing w:before="280" w:after="290" w:line="360" w:lineRule="auto"/>
        <w:outlineLvl w:val="3"/>
        <w:rPr>
          <w:rFonts w:ascii="宋体" w:hAnsi="宋体"/>
          <w:b/>
          <w:bCs/>
          <w:lang w:eastAsia="zh-CN"/>
        </w:rPr>
      </w:pPr>
      <w:r>
        <w:rPr>
          <w:rFonts w:ascii="宋体" w:hAnsi="宋体" w:hint="eastAsia"/>
          <w:b/>
          <w:bCs/>
          <w:lang w:eastAsia="zh-CN"/>
        </w:rPr>
        <w:t>A4.2  判断投标报价是否低于成本</w:t>
      </w:r>
    </w:p>
    <w:p w14:paraId="391F5D87">
      <w:pPr>
        <w:spacing w:line="360" w:lineRule="auto"/>
        <w:rPr>
          <w:rFonts w:ascii="宋体" w:hAnsi="宋体"/>
          <w:lang w:eastAsia="zh-CN"/>
        </w:rPr>
      </w:pPr>
      <w:r>
        <w:rPr>
          <w:rFonts w:ascii="宋体" w:hAnsi="宋体" w:hint="eastAsia"/>
          <w:lang w:eastAsia="zh-CN"/>
        </w:rPr>
        <w:t xml:space="preserve">    根据本章第3.2.2项的规定，评标委员会根据本章附件C中规定的程序、标准和方法，判断投标报价是否低于其成本。由评标委员会认定投标人以低于成本竞标的，其投标作否决投标处理。</w:t>
      </w:r>
    </w:p>
    <w:p w14:paraId="3299D63A">
      <w:pPr>
        <w:keepNext/>
        <w:keepLines/>
        <w:spacing w:before="280" w:after="290" w:line="360" w:lineRule="auto"/>
        <w:outlineLvl w:val="3"/>
        <w:rPr>
          <w:rFonts w:ascii="宋体" w:hAnsi="宋体"/>
          <w:b/>
          <w:bCs/>
          <w:lang w:eastAsia="zh-CN"/>
        </w:rPr>
      </w:pPr>
      <w:r>
        <w:rPr>
          <w:rFonts w:ascii="宋体" w:hAnsi="宋体" w:hint="eastAsia"/>
          <w:b/>
          <w:bCs/>
          <w:lang w:eastAsia="zh-CN"/>
        </w:rPr>
        <w:t>A4.3澄清、说明或补正</w:t>
      </w:r>
    </w:p>
    <w:p w14:paraId="7BB13481">
      <w:pPr>
        <w:spacing w:line="360" w:lineRule="auto"/>
        <w:rPr>
          <w:rFonts w:ascii="宋体" w:hAnsi="宋体"/>
          <w:lang w:eastAsia="zh-CN"/>
        </w:rPr>
      </w:pPr>
      <w:r>
        <w:rPr>
          <w:rFonts w:ascii="宋体" w:hAnsi="宋体" w:hint="eastAsia"/>
          <w:lang w:eastAsia="zh-CN"/>
        </w:rPr>
        <w:t xml:space="preserve">    在评审过程中，评标委员会应当就投标文件中不明确的内容要求投标人进行澄清、说明或者补正。投标人应当根据问题澄清通知要求，以书面形式予以澄清、说明或者补正。澄清、说明或补正根据本章第3.3款的规定进行。</w:t>
      </w:r>
    </w:p>
    <w:p w14:paraId="79D3607B">
      <w:pPr>
        <w:keepNext/>
        <w:keepLines/>
        <w:spacing w:before="260" w:after="260" w:line="360" w:lineRule="auto"/>
        <w:outlineLvl w:val="2"/>
        <w:rPr>
          <w:rFonts w:ascii="宋体" w:hAnsi="宋体"/>
          <w:b/>
          <w:bCs/>
          <w:lang w:eastAsia="zh-CN"/>
        </w:rPr>
      </w:pPr>
      <w:r>
        <w:rPr>
          <w:rFonts w:ascii="宋体" w:hAnsi="宋体" w:hint="eastAsia"/>
          <w:b/>
          <w:bCs/>
          <w:lang w:eastAsia="zh-CN"/>
        </w:rPr>
        <w:t>A5推荐中标候选人或者直接确定中标人</w:t>
      </w:r>
    </w:p>
    <w:p w14:paraId="75BEB904">
      <w:pPr>
        <w:keepNext/>
        <w:keepLines/>
        <w:spacing w:before="280" w:after="290" w:line="360" w:lineRule="auto"/>
        <w:outlineLvl w:val="3"/>
        <w:rPr>
          <w:rFonts w:ascii="宋体" w:hAnsi="宋体"/>
          <w:b/>
          <w:bCs/>
          <w:lang w:eastAsia="zh-CN"/>
        </w:rPr>
      </w:pPr>
      <w:r>
        <w:rPr>
          <w:rFonts w:ascii="宋体" w:hAnsi="宋体" w:hint="eastAsia"/>
          <w:b/>
          <w:bCs/>
          <w:lang w:eastAsia="zh-CN"/>
        </w:rPr>
        <w:t>A5.1汇总评标结果</w:t>
      </w:r>
    </w:p>
    <w:p w14:paraId="007BE95B">
      <w:pPr>
        <w:spacing w:line="360" w:lineRule="auto"/>
        <w:rPr>
          <w:rFonts w:ascii="宋体" w:hAnsi="宋体"/>
          <w:lang w:eastAsia="zh-CN"/>
        </w:rPr>
      </w:pPr>
      <w:r>
        <w:rPr>
          <w:rFonts w:ascii="宋体" w:hAnsi="宋体" w:hint="eastAsia"/>
          <w:lang w:eastAsia="zh-CN"/>
        </w:rPr>
        <w:t xml:space="preserve">    投标报价评审工作全部结束后，评标委员会应按照附表A-7的格式填写评标结果汇总表。</w:t>
      </w:r>
    </w:p>
    <w:p w14:paraId="17C3D1A7">
      <w:pPr>
        <w:spacing w:line="360" w:lineRule="auto"/>
        <w:rPr>
          <w:rFonts w:ascii="宋体" w:hAnsi="宋体"/>
          <w:b/>
          <w:lang w:eastAsia="zh-CN"/>
        </w:rPr>
      </w:pPr>
    </w:p>
    <w:p w14:paraId="32A79A9E">
      <w:pPr>
        <w:keepNext/>
        <w:keepLines/>
        <w:spacing w:before="280" w:after="290" w:line="360" w:lineRule="auto"/>
        <w:outlineLvl w:val="3"/>
        <w:rPr>
          <w:rFonts w:ascii="宋体" w:hAnsi="宋体"/>
          <w:b/>
          <w:bCs/>
          <w:lang w:eastAsia="zh-CN"/>
        </w:rPr>
      </w:pPr>
      <w:r>
        <w:rPr>
          <w:rFonts w:ascii="宋体" w:hAnsi="宋体" w:hint="eastAsia"/>
          <w:b/>
          <w:bCs/>
          <w:lang w:eastAsia="zh-CN"/>
        </w:rPr>
        <w:t>A5.2 推荐中标候选人</w:t>
      </w:r>
    </w:p>
    <w:p w14:paraId="7C201802">
      <w:pPr>
        <w:spacing w:line="360" w:lineRule="auto"/>
        <w:rPr>
          <w:rFonts w:ascii="宋体" w:hAnsi="宋体"/>
          <w:lang w:eastAsia="zh-CN"/>
        </w:rPr>
      </w:pPr>
      <w:r>
        <w:rPr>
          <w:rFonts w:ascii="宋体" w:hAnsi="宋体" w:hint="eastAsia"/>
          <w:lang w:eastAsia="zh-CN"/>
        </w:rPr>
        <w:t xml:space="preserve">    A5.2.1除第二章“投标人须知”前附表授权直接确定中标人外，评标委员会在推荐中标候选人时，应遵照以下原则：</w:t>
      </w:r>
    </w:p>
    <w:p w14:paraId="50E6F39E">
      <w:pPr>
        <w:spacing w:line="360" w:lineRule="auto"/>
        <w:rPr>
          <w:rFonts w:ascii="宋体" w:hAnsi="宋体"/>
          <w:lang w:eastAsia="zh-CN"/>
        </w:rPr>
      </w:pPr>
      <w:r>
        <w:rPr>
          <w:rFonts w:ascii="宋体" w:hAnsi="宋体" w:hint="eastAsia"/>
          <w:lang w:eastAsia="zh-CN"/>
        </w:rPr>
        <w:t xml:space="preserve">    （1）评标委员会对有效的投标按照评标价由低至高的次序排列，根据第二章“投标人须知”前附表第7.1款的规定推荐中标候选人。</w:t>
      </w:r>
    </w:p>
    <w:p w14:paraId="4C1EB3E7">
      <w:pPr>
        <w:spacing w:line="360" w:lineRule="auto"/>
        <w:rPr>
          <w:rFonts w:ascii="宋体" w:hAnsi="宋体"/>
          <w:lang w:eastAsia="zh-CN"/>
        </w:rPr>
      </w:pPr>
      <w:r>
        <w:rPr>
          <w:rFonts w:ascii="宋体" w:hAnsi="宋体" w:hint="eastAsia"/>
          <w:lang w:eastAsia="zh-CN"/>
        </w:rPr>
        <w:t xml:space="preserve">    （2）如果评标委员会根据本章的规定作否决投标处理后，有效投标不足三个，且少于第二章“投标人须知”前附表第7.1款规定的中标候选人数量的，则评标委员会可以将所有有效投标按评标价由低至高的次序作为中标候选人向招标人推荐。如果因有效投标不足三个使得投标明显缺乏竞争的，评标委员会可以建议招标人重新招标。</w:t>
      </w:r>
    </w:p>
    <w:p w14:paraId="00661933">
      <w:pPr>
        <w:spacing w:line="360" w:lineRule="auto"/>
        <w:rPr>
          <w:rFonts w:ascii="宋体" w:hAnsi="宋体"/>
          <w:lang w:eastAsia="zh-CN"/>
        </w:rPr>
      </w:pPr>
      <w:r>
        <w:rPr>
          <w:rFonts w:ascii="宋体" w:hAnsi="宋体" w:hint="eastAsia"/>
          <w:lang w:eastAsia="zh-CN"/>
        </w:rPr>
        <w:t xml:space="preserve">    A5.2.2投标截止时间前递交投标文件的投标人数量少于三个或者所有投标被否决的，招标人应当依法重新招标。</w:t>
      </w:r>
    </w:p>
    <w:p w14:paraId="0884E0D9">
      <w:pPr>
        <w:keepNext/>
        <w:keepLines/>
        <w:spacing w:before="280" w:after="290" w:line="360" w:lineRule="auto"/>
        <w:outlineLvl w:val="3"/>
        <w:rPr>
          <w:rFonts w:ascii="宋体" w:hAnsi="宋体"/>
          <w:b/>
          <w:bCs/>
          <w:lang w:eastAsia="zh-CN"/>
        </w:rPr>
      </w:pPr>
      <w:r>
        <w:rPr>
          <w:rFonts w:ascii="宋体" w:hAnsi="宋体" w:hint="eastAsia"/>
          <w:b/>
          <w:bCs/>
          <w:lang w:eastAsia="zh-CN"/>
        </w:rPr>
        <w:t>A5.3直接确定中标人</w:t>
      </w:r>
    </w:p>
    <w:p w14:paraId="1F3B2DD8">
      <w:pPr>
        <w:spacing w:line="360" w:lineRule="auto"/>
        <w:rPr>
          <w:rFonts w:ascii="宋体" w:hAnsi="宋体"/>
          <w:lang w:eastAsia="zh-CN"/>
        </w:rPr>
      </w:pPr>
      <w:r>
        <w:rPr>
          <w:rFonts w:ascii="宋体" w:hAnsi="宋体" w:hint="eastAsia"/>
          <w:lang w:eastAsia="zh-CN"/>
        </w:rPr>
        <w:t xml:space="preserve">    第二章“投标人须知”前附表授权评标委员会直接确定中标人的，评标委员会对有效的投标按照评标价由低至高的次序排列，并确定排名第一的投标人为中标人。</w:t>
      </w:r>
    </w:p>
    <w:p w14:paraId="67AC6A12">
      <w:pPr>
        <w:keepNext/>
        <w:keepLines/>
        <w:spacing w:before="280" w:after="290" w:line="360" w:lineRule="auto"/>
        <w:outlineLvl w:val="3"/>
        <w:rPr>
          <w:rFonts w:ascii="宋体" w:hAnsi="宋体"/>
          <w:b/>
          <w:bCs/>
          <w:lang w:eastAsia="zh-CN"/>
        </w:rPr>
      </w:pPr>
      <w:r>
        <w:rPr>
          <w:rFonts w:ascii="宋体" w:hAnsi="宋体" w:hint="eastAsia"/>
          <w:b/>
          <w:bCs/>
          <w:lang w:eastAsia="zh-CN"/>
        </w:rPr>
        <w:t>A5.4编制及提交评标报告</w:t>
      </w:r>
    </w:p>
    <w:p w14:paraId="2A2C2677">
      <w:pPr>
        <w:spacing w:line="360" w:lineRule="auto"/>
        <w:rPr>
          <w:rFonts w:ascii="宋体" w:hAnsi="宋体"/>
          <w:lang w:eastAsia="zh-CN"/>
        </w:rPr>
      </w:pPr>
      <w:r>
        <w:rPr>
          <w:rFonts w:ascii="宋体" w:hAnsi="宋体" w:hint="eastAsia"/>
          <w:lang w:eastAsia="zh-CN"/>
        </w:rPr>
        <w:t xml:space="preserve">    评标委员会根据本章第3.4.2项的规定向招标人提交评标报告。评标报告应当由全体评标委员会成员签字，并于评标结束时抄送有关行政监督部门。评标报告应当包括以下内容：</w:t>
      </w:r>
    </w:p>
    <w:p w14:paraId="13010302">
      <w:pPr>
        <w:spacing w:line="360" w:lineRule="auto"/>
        <w:rPr>
          <w:rFonts w:ascii="宋体" w:hAnsi="宋体"/>
          <w:lang w:eastAsia="zh-CN"/>
        </w:rPr>
      </w:pPr>
      <w:r>
        <w:rPr>
          <w:rFonts w:ascii="宋体" w:hAnsi="宋体" w:hint="eastAsia"/>
          <w:lang w:eastAsia="zh-CN"/>
        </w:rPr>
        <w:t xml:space="preserve">    （1）基本情况和数据表；</w:t>
      </w:r>
    </w:p>
    <w:p w14:paraId="5B627627">
      <w:pPr>
        <w:spacing w:line="360" w:lineRule="auto"/>
        <w:rPr>
          <w:rFonts w:ascii="宋体" w:hAnsi="宋体"/>
          <w:lang w:eastAsia="zh-CN"/>
        </w:rPr>
      </w:pPr>
      <w:r>
        <w:rPr>
          <w:rFonts w:ascii="宋体" w:hAnsi="宋体" w:hint="eastAsia"/>
          <w:lang w:eastAsia="zh-CN"/>
        </w:rPr>
        <w:t xml:space="preserve">    （2）评标委员会成员名单；</w:t>
      </w:r>
    </w:p>
    <w:p w14:paraId="44AAEC2C">
      <w:pPr>
        <w:spacing w:line="360" w:lineRule="auto"/>
        <w:rPr>
          <w:rFonts w:ascii="宋体" w:hAnsi="宋体"/>
          <w:lang w:eastAsia="zh-CN"/>
        </w:rPr>
      </w:pPr>
      <w:r>
        <w:rPr>
          <w:rFonts w:ascii="宋体" w:hAnsi="宋体" w:hint="eastAsia"/>
          <w:lang w:eastAsia="zh-CN"/>
        </w:rPr>
        <w:t xml:space="preserve">    （3）开标记录；</w:t>
      </w:r>
    </w:p>
    <w:p w14:paraId="192B01C9">
      <w:pPr>
        <w:spacing w:line="360" w:lineRule="auto"/>
        <w:rPr>
          <w:rFonts w:ascii="宋体" w:hAnsi="宋体"/>
          <w:lang w:eastAsia="zh-CN"/>
        </w:rPr>
      </w:pPr>
      <w:r>
        <w:rPr>
          <w:rFonts w:ascii="宋体" w:hAnsi="宋体" w:hint="eastAsia"/>
          <w:lang w:eastAsia="zh-CN"/>
        </w:rPr>
        <w:t xml:space="preserve">    （4）符合要求的投标一览表；</w:t>
      </w:r>
    </w:p>
    <w:p w14:paraId="60773282">
      <w:pPr>
        <w:spacing w:line="360" w:lineRule="auto"/>
        <w:rPr>
          <w:rFonts w:ascii="宋体" w:hAnsi="宋体"/>
          <w:lang w:eastAsia="zh-CN"/>
        </w:rPr>
      </w:pPr>
      <w:r>
        <w:rPr>
          <w:rFonts w:ascii="宋体" w:hAnsi="宋体" w:hint="eastAsia"/>
          <w:lang w:eastAsia="zh-CN"/>
        </w:rPr>
        <w:t xml:space="preserve">    （5）否决投标情况说明；</w:t>
      </w:r>
    </w:p>
    <w:p w14:paraId="1DF57FF2">
      <w:pPr>
        <w:spacing w:line="360" w:lineRule="auto"/>
        <w:rPr>
          <w:rFonts w:ascii="宋体" w:hAnsi="宋体"/>
          <w:lang w:eastAsia="zh-CN"/>
        </w:rPr>
      </w:pPr>
      <w:r>
        <w:rPr>
          <w:rFonts w:ascii="宋体" w:hAnsi="宋体" w:hint="eastAsia"/>
          <w:lang w:eastAsia="zh-CN"/>
        </w:rPr>
        <w:t xml:space="preserve">    （6）评标标准、评标方法或者评标因素一览表；</w:t>
      </w:r>
    </w:p>
    <w:p w14:paraId="75DA2670">
      <w:pPr>
        <w:spacing w:line="360" w:lineRule="auto"/>
        <w:rPr>
          <w:rFonts w:ascii="宋体" w:hAnsi="宋体"/>
          <w:lang w:eastAsia="zh-CN"/>
        </w:rPr>
      </w:pPr>
      <w:r>
        <w:rPr>
          <w:rFonts w:ascii="宋体" w:hAnsi="宋体" w:hint="eastAsia"/>
          <w:lang w:eastAsia="zh-CN"/>
        </w:rPr>
        <w:t xml:space="preserve">    （7）经评审的价格一览表（包括评标委员会在评标过程中所形成的所有记载评标结果、结论的表格、说明、记录等文件）：</w:t>
      </w:r>
    </w:p>
    <w:p w14:paraId="0122554D">
      <w:pPr>
        <w:spacing w:line="360" w:lineRule="auto"/>
        <w:rPr>
          <w:rFonts w:ascii="宋体" w:hAnsi="宋体"/>
          <w:lang w:eastAsia="zh-CN"/>
        </w:rPr>
      </w:pPr>
      <w:r>
        <w:rPr>
          <w:rFonts w:ascii="宋体" w:hAnsi="宋体" w:hint="eastAsia"/>
          <w:lang w:eastAsia="zh-CN"/>
        </w:rPr>
        <w:t xml:space="preserve">    （8）经评审的投标人排序；</w:t>
      </w:r>
    </w:p>
    <w:p w14:paraId="5BF1D232">
      <w:pPr>
        <w:spacing w:line="360" w:lineRule="auto"/>
        <w:rPr>
          <w:rFonts w:ascii="宋体" w:hAnsi="宋体"/>
          <w:lang w:eastAsia="zh-CN"/>
        </w:rPr>
      </w:pPr>
      <w:r>
        <w:rPr>
          <w:rFonts w:ascii="宋体" w:hAnsi="宋体" w:hint="eastAsia"/>
          <w:lang w:eastAsia="zh-CN"/>
        </w:rPr>
        <w:t xml:space="preserve">    （9）推荐的中标候选人名单（如果第二章“投标人须知”前附表授权评标委员会直接确定中标人，则为“确定的中标人”）与签订合同前要处理的事宜；</w:t>
      </w:r>
    </w:p>
    <w:p w14:paraId="2A6926FF">
      <w:pPr>
        <w:spacing w:line="360" w:lineRule="auto"/>
        <w:rPr>
          <w:rFonts w:ascii="宋体" w:hAnsi="宋体"/>
          <w:lang w:eastAsia="zh-CN"/>
        </w:rPr>
      </w:pPr>
      <w:r>
        <w:rPr>
          <w:rFonts w:ascii="宋体" w:hAnsi="宋体" w:hint="eastAsia"/>
          <w:lang w:eastAsia="zh-CN"/>
        </w:rPr>
        <w:t xml:space="preserve">    （10）澄清、说明或补正事项纪要。</w:t>
      </w:r>
    </w:p>
    <w:p w14:paraId="5FE7E798">
      <w:pPr>
        <w:keepNext/>
        <w:keepLines/>
        <w:spacing w:before="260" w:after="260" w:line="360" w:lineRule="auto"/>
        <w:outlineLvl w:val="2"/>
        <w:rPr>
          <w:rFonts w:ascii="宋体" w:hAnsi="宋体"/>
          <w:b/>
          <w:bCs/>
          <w:lang w:eastAsia="zh-CN"/>
        </w:rPr>
      </w:pPr>
      <w:r>
        <w:rPr>
          <w:rFonts w:ascii="宋体" w:hAnsi="宋体" w:hint="eastAsia"/>
          <w:b/>
          <w:bCs/>
          <w:lang w:eastAsia="zh-CN"/>
        </w:rPr>
        <w:t>A6.特殊情况的处置程序</w:t>
      </w:r>
    </w:p>
    <w:p w14:paraId="6E1842C7">
      <w:pPr>
        <w:keepNext/>
        <w:keepLines/>
        <w:spacing w:before="280" w:after="290" w:line="360" w:lineRule="auto"/>
        <w:outlineLvl w:val="3"/>
        <w:rPr>
          <w:rFonts w:ascii="宋体" w:hAnsi="宋体"/>
          <w:b/>
          <w:bCs/>
          <w:lang w:eastAsia="zh-CN"/>
        </w:rPr>
      </w:pPr>
      <w:r>
        <w:rPr>
          <w:rFonts w:ascii="宋体" w:hAnsi="宋体" w:hint="eastAsia"/>
          <w:b/>
          <w:bCs/>
          <w:lang w:eastAsia="zh-CN"/>
        </w:rPr>
        <w:t>A6.1关于评标活动暂停</w:t>
      </w:r>
    </w:p>
    <w:p w14:paraId="1CE9D601">
      <w:pPr>
        <w:spacing w:line="360" w:lineRule="auto"/>
        <w:rPr>
          <w:rFonts w:ascii="宋体" w:hAnsi="宋体"/>
          <w:lang w:eastAsia="zh-CN"/>
        </w:rPr>
      </w:pPr>
      <w:r>
        <w:rPr>
          <w:rFonts w:ascii="宋体" w:hAnsi="宋体" w:hint="eastAsia"/>
          <w:lang w:eastAsia="zh-CN"/>
        </w:rPr>
        <w:t xml:space="preserve">    A6.1.1评标委员会应当执行连续评标的原则，按评标办法中规定的程序、内容、方法、标准完成全部评标工作。只有发生不可抗力导致评标工作无法继续时，评标活动方可暂停。</w:t>
      </w:r>
    </w:p>
    <w:p w14:paraId="5A8E0441">
      <w:pPr>
        <w:spacing w:line="360" w:lineRule="auto"/>
        <w:rPr>
          <w:rFonts w:ascii="宋体" w:hAnsi="宋体"/>
          <w:lang w:eastAsia="zh-CN"/>
        </w:rPr>
      </w:pPr>
      <w:r>
        <w:rPr>
          <w:rFonts w:ascii="宋体" w:hAnsi="宋体" w:hint="eastAsia"/>
          <w:lang w:eastAsia="zh-CN"/>
        </w:rPr>
        <w:t xml:space="preserve">    A6.1.2发生评标暂停情况时，评标委员会应当封存全部投标文件和评标记录，待不可抗力的影响结束且具备继续评标的条件时，由原评标委员会继续评标。</w:t>
      </w:r>
    </w:p>
    <w:p w14:paraId="7AC42E0E">
      <w:pPr>
        <w:keepNext/>
        <w:keepLines/>
        <w:spacing w:before="280" w:after="290" w:line="360" w:lineRule="auto"/>
        <w:outlineLvl w:val="3"/>
        <w:rPr>
          <w:rFonts w:ascii="宋体" w:hAnsi="宋体"/>
          <w:b/>
          <w:bCs/>
          <w:lang w:eastAsia="zh-CN"/>
        </w:rPr>
      </w:pPr>
      <w:r>
        <w:rPr>
          <w:rFonts w:ascii="宋体" w:hAnsi="宋体" w:hint="eastAsia"/>
          <w:b/>
          <w:bCs/>
          <w:lang w:eastAsia="zh-CN"/>
        </w:rPr>
        <w:t>A6.2  关于评标中途更换评标委员会成员</w:t>
      </w:r>
    </w:p>
    <w:p w14:paraId="219CEE6E">
      <w:pPr>
        <w:spacing w:line="360" w:lineRule="auto"/>
        <w:rPr>
          <w:rFonts w:ascii="宋体" w:hAnsi="宋体"/>
          <w:lang w:eastAsia="zh-CN"/>
        </w:rPr>
      </w:pPr>
      <w:r>
        <w:rPr>
          <w:rFonts w:ascii="宋体" w:hAnsi="宋体" w:hint="eastAsia"/>
          <w:lang w:eastAsia="zh-CN"/>
        </w:rPr>
        <w:t xml:space="preserve">    A6.2.1除非发生下列情况之一，评标委员会成员不得在评标中途更换：</w:t>
      </w:r>
    </w:p>
    <w:p w14:paraId="5B12E99F">
      <w:pPr>
        <w:spacing w:line="360" w:lineRule="auto"/>
        <w:rPr>
          <w:rFonts w:ascii="宋体" w:hAnsi="宋体"/>
          <w:lang w:eastAsia="zh-CN"/>
        </w:rPr>
      </w:pPr>
      <w:r>
        <w:rPr>
          <w:rFonts w:ascii="宋体" w:hAnsi="宋体" w:hint="eastAsia"/>
          <w:lang w:eastAsia="zh-CN"/>
        </w:rPr>
        <w:t xml:space="preserve">    （1）因不可抗拒的客观原因，不能到场或需在评标中途退出评标活动。</w:t>
      </w:r>
    </w:p>
    <w:p w14:paraId="0515F79D">
      <w:pPr>
        <w:spacing w:line="360" w:lineRule="auto"/>
        <w:rPr>
          <w:rFonts w:ascii="宋体" w:hAnsi="宋体"/>
          <w:lang w:eastAsia="zh-CN"/>
        </w:rPr>
      </w:pPr>
      <w:r>
        <w:rPr>
          <w:rFonts w:ascii="宋体" w:hAnsi="宋体" w:hint="eastAsia"/>
          <w:lang w:eastAsia="zh-CN"/>
        </w:rPr>
        <w:t xml:space="preserve">    （2）根据法律法规规定，某个或某几个评标委员会成员需要回避。</w:t>
      </w:r>
    </w:p>
    <w:p w14:paraId="0EE86E9D">
      <w:pPr>
        <w:spacing w:line="360" w:lineRule="auto"/>
        <w:rPr>
          <w:rFonts w:ascii="宋体" w:hAnsi="宋体"/>
          <w:lang w:eastAsia="zh-CN"/>
        </w:rPr>
      </w:pPr>
      <w:r>
        <w:rPr>
          <w:rFonts w:ascii="宋体" w:hAnsi="宋体" w:hint="eastAsia"/>
          <w:lang w:eastAsia="zh-CN"/>
        </w:rPr>
        <w:t xml:space="preserve">    A6.2.2退出评标的评标委员会成员，其已完成的评标行为无效。由招标人根据本招标文件规定的评标委员会成员产生方式另行确定替代者进行评标。</w:t>
      </w:r>
    </w:p>
    <w:p w14:paraId="6D8A6CA1">
      <w:pPr>
        <w:keepNext/>
        <w:keepLines/>
        <w:spacing w:before="280" w:after="290" w:line="360" w:lineRule="auto"/>
        <w:outlineLvl w:val="3"/>
        <w:rPr>
          <w:rFonts w:ascii="宋体" w:hAnsi="宋体"/>
          <w:b/>
          <w:bCs/>
          <w:lang w:eastAsia="zh-CN"/>
        </w:rPr>
      </w:pPr>
      <w:r>
        <w:rPr>
          <w:rFonts w:ascii="宋体" w:hAnsi="宋体" w:hint="eastAsia"/>
          <w:b/>
          <w:bCs/>
          <w:lang w:eastAsia="zh-CN"/>
        </w:rPr>
        <w:t>A6.3记名投票</w:t>
      </w:r>
    </w:p>
    <w:p w14:paraId="7ED4F5BD">
      <w:pPr>
        <w:spacing w:line="360" w:lineRule="auto"/>
        <w:rPr>
          <w:rFonts w:ascii="宋体" w:hAnsi="宋体"/>
          <w:lang w:eastAsia="zh-CN"/>
        </w:rPr>
      </w:pPr>
      <w:r>
        <w:rPr>
          <w:rFonts w:ascii="宋体" w:hAnsi="宋体" w:hint="eastAsia"/>
          <w:lang w:eastAsia="zh-CN"/>
        </w:rPr>
        <w:t xml:space="preserve">    在任何评标环节中，需评标委员会就某项定性的评审结论做出表决的，由评标委员会全体成员按照少数服从多数的原则，以记名投票方式表决。</w:t>
      </w:r>
    </w:p>
    <w:p w14:paraId="0FB73CDA">
      <w:pPr>
        <w:keepNext/>
        <w:keepLines/>
        <w:spacing w:before="260" w:after="260" w:line="360" w:lineRule="auto"/>
        <w:outlineLvl w:val="2"/>
        <w:rPr>
          <w:rFonts w:ascii="宋体" w:hAnsi="宋体"/>
          <w:b/>
          <w:bCs/>
          <w:lang w:eastAsia="zh-CN"/>
        </w:rPr>
      </w:pPr>
      <w:r>
        <w:rPr>
          <w:rFonts w:ascii="宋体" w:hAnsi="宋体" w:hint="eastAsia"/>
          <w:b/>
          <w:bCs/>
          <w:lang w:eastAsia="zh-CN"/>
        </w:rPr>
        <w:t>A7.补充条款</w:t>
      </w:r>
    </w:p>
    <w:p w14:paraId="63C8DC4A">
      <w:pPr>
        <w:spacing w:line="360" w:lineRule="auto"/>
        <w:rPr>
          <w:rFonts w:ascii="宋体" w:hAnsi="宋体"/>
          <w:lang w:eastAsia="zh-CN"/>
        </w:rPr>
      </w:pPr>
    </w:p>
    <w:p w14:paraId="63420F28">
      <w:pPr>
        <w:rPr>
          <w:rFonts w:ascii="宋体" w:hAnsi="宋体"/>
          <w:lang w:eastAsia="zh-CN"/>
        </w:rPr>
      </w:pPr>
      <w:r>
        <w:rPr>
          <w:rFonts w:ascii="宋体" w:hAnsi="宋体" w:hint="eastAsia"/>
          <w:lang w:eastAsia="zh-CN"/>
        </w:rPr>
        <w:br w:type="page"/>
      </w:r>
    </w:p>
    <w:p w14:paraId="5CE1DF09">
      <w:pPr>
        <w:spacing w:line="360" w:lineRule="auto"/>
        <w:rPr>
          <w:rFonts w:ascii="宋体" w:hAnsi="宋体"/>
          <w:lang w:eastAsia="zh-CN"/>
        </w:rPr>
      </w:pPr>
    </w:p>
    <w:p w14:paraId="73B30BC0">
      <w:pPr>
        <w:keepNext/>
        <w:keepLines/>
        <w:spacing w:before="260" w:after="260" w:line="360" w:lineRule="auto"/>
        <w:outlineLvl w:val="1"/>
        <w:rPr>
          <w:rFonts w:ascii="宋体" w:hAnsi="宋体"/>
          <w:b/>
          <w:bCs/>
          <w:lang w:eastAsia="zh-CN"/>
        </w:rPr>
      </w:pPr>
      <w:r>
        <w:rPr>
          <w:rFonts w:ascii="宋体" w:hAnsi="宋体" w:hint="eastAsia"/>
          <w:b/>
          <w:bCs/>
          <w:lang w:eastAsia="zh-CN"/>
        </w:rPr>
        <w:t>附件B：评标价计算方法</w:t>
      </w:r>
    </w:p>
    <w:p w14:paraId="501F867E">
      <w:pPr>
        <w:spacing w:line="360" w:lineRule="auto"/>
        <w:jc w:val="center"/>
        <w:rPr>
          <w:rFonts w:ascii="宋体" w:hAnsi="宋体"/>
          <w:b/>
          <w:lang w:eastAsia="zh-CN"/>
        </w:rPr>
      </w:pPr>
      <w:r>
        <w:rPr>
          <w:rFonts w:ascii="宋体" w:hAnsi="宋体" w:hint="eastAsia"/>
          <w:b/>
          <w:lang w:eastAsia="zh-CN"/>
        </w:rPr>
        <w:t>评标价计算方法</w:t>
      </w:r>
    </w:p>
    <w:p w14:paraId="18B55442">
      <w:pPr>
        <w:keepNext/>
        <w:keepLines/>
        <w:spacing w:before="260" w:after="260" w:line="360" w:lineRule="auto"/>
        <w:outlineLvl w:val="2"/>
        <w:rPr>
          <w:rFonts w:ascii="宋体" w:hAnsi="宋体"/>
          <w:b/>
          <w:bCs/>
          <w:lang w:eastAsia="zh-CN"/>
        </w:rPr>
      </w:pPr>
      <w:r>
        <w:rPr>
          <w:rFonts w:ascii="宋体" w:hAnsi="宋体" w:hint="eastAsia"/>
          <w:b/>
          <w:bCs/>
          <w:lang w:eastAsia="zh-CN"/>
        </w:rPr>
        <w:t>B0.总  则</w:t>
      </w:r>
    </w:p>
    <w:p w14:paraId="59C4CA52">
      <w:pPr>
        <w:spacing w:line="360" w:lineRule="auto"/>
        <w:rPr>
          <w:rFonts w:ascii="宋体" w:hAnsi="宋体"/>
          <w:lang w:eastAsia="zh-CN"/>
        </w:rPr>
      </w:pPr>
      <w:r>
        <w:rPr>
          <w:rFonts w:ascii="宋体" w:hAnsi="宋体" w:hint="eastAsia"/>
          <w:lang w:eastAsia="zh-CN"/>
        </w:rPr>
        <w:t xml:space="preserve">    本附件是本章“评标办法”的组成部分，评标委员会按照本章第3.2.1项的规定对投标人投标报价进行折算以计算评标价时，适用本附件所规定的方法。</w:t>
      </w:r>
    </w:p>
    <w:p w14:paraId="49B1CA7B">
      <w:pPr>
        <w:keepNext/>
        <w:keepLines/>
        <w:spacing w:before="260" w:after="260" w:line="360" w:lineRule="auto"/>
        <w:outlineLvl w:val="2"/>
        <w:rPr>
          <w:rFonts w:ascii="宋体" w:hAnsi="宋体"/>
          <w:b/>
          <w:bCs/>
          <w:lang w:eastAsia="zh-CN"/>
        </w:rPr>
      </w:pPr>
      <w:r>
        <w:rPr>
          <w:rFonts w:ascii="宋体" w:hAnsi="宋体" w:hint="eastAsia"/>
          <w:b/>
          <w:bCs/>
          <w:lang w:eastAsia="zh-CN"/>
        </w:rPr>
        <w:t>B1.</w:t>
      </w:r>
    </w:p>
    <w:p w14:paraId="1EF0094D">
      <w:pPr>
        <w:spacing w:line="360" w:lineRule="auto"/>
        <w:rPr>
          <w:rFonts w:ascii="宋体" w:hAnsi="宋体"/>
          <w:lang w:eastAsia="zh-CN"/>
        </w:rPr>
      </w:pPr>
    </w:p>
    <w:p w14:paraId="6B3B2E18">
      <w:pPr>
        <w:spacing w:line="360" w:lineRule="auto"/>
        <w:rPr>
          <w:rFonts w:ascii="宋体" w:hAnsi="宋体"/>
          <w:lang w:eastAsia="zh-CN"/>
        </w:rPr>
      </w:pPr>
    </w:p>
    <w:p w14:paraId="28965AF4">
      <w:pPr>
        <w:spacing w:line="360" w:lineRule="auto"/>
        <w:rPr>
          <w:rFonts w:ascii="宋体" w:hAnsi="宋体"/>
          <w:lang w:eastAsia="zh-CN"/>
        </w:rPr>
      </w:pPr>
    </w:p>
    <w:p w14:paraId="5CC17415">
      <w:pPr>
        <w:spacing w:line="360" w:lineRule="auto"/>
        <w:rPr>
          <w:rFonts w:ascii="宋体" w:hAnsi="宋体"/>
          <w:lang w:eastAsia="zh-CN"/>
        </w:rPr>
      </w:pPr>
      <w:r>
        <w:rPr>
          <w:rFonts w:ascii="宋体" w:hAnsi="宋体" w:hint="eastAsia"/>
          <w:lang w:eastAsia="zh-CN"/>
        </w:rPr>
        <w:t xml:space="preserve">    备注：投标报价评审按本章前附表规定的办法。</w:t>
      </w:r>
    </w:p>
    <w:p w14:paraId="668DF51C">
      <w:pPr>
        <w:rPr>
          <w:rFonts w:ascii="宋体" w:hAnsi="宋体"/>
          <w:lang w:eastAsia="zh-CN"/>
        </w:rPr>
      </w:pPr>
      <w:r>
        <w:rPr>
          <w:rFonts w:ascii="宋体" w:hAnsi="宋体" w:hint="eastAsia"/>
          <w:lang w:eastAsia="zh-CN"/>
        </w:rPr>
        <w:br w:type="page"/>
      </w:r>
    </w:p>
    <w:p w14:paraId="708E94E8">
      <w:pPr>
        <w:spacing w:line="360" w:lineRule="auto"/>
        <w:rPr>
          <w:rFonts w:ascii="宋体" w:hAnsi="宋体"/>
          <w:lang w:eastAsia="zh-CN"/>
        </w:rPr>
      </w:pPr>
    </w:p>
    <w:p w14:paraId="151AD78F">
      <w:pPr>
        <w:keepNext/>
        <w:keepLines/>
        <w:spacing w:before="260" w:after="260" w:line="360" w:lineRule="auto"/>
        <w:outlineLvl w:val="1"/>
        <w:rPr>
          <w:rFonts w:ascii="宋体" w:hAnsi="宋体"/>
          <w:b/>
          <w:bCs/>
          <w:lang w:eastAsia="zh-CN"/>
        </w:rPr>
      </w:pPr>
      <w:bookmarkStart w:id="91" w:name="_Toc256000081"/>
      <w:r>
        <w:rPr>
          <w:rFonts w:ascii="宋体" w:hAnsi="宋体" w:hint="eastAsia"/>
          <w:b/>
          <w:bCs/>
          <w:lang w:eastAsia="zh-CN"/>
        </w:rPr>
        <w:t>附件C：投标人成本评审办法</w:t>
      </w:r>
      <w:bookmarkEnd w:id="91"/>
    </w:p>
    <w:p w14:paraId="7B906390">
      <w:pPr>
        <w:spacing w:line="360" w:lineRule="auto"/>
        <w:jc w:val="center"/>
        <w:rPr>
          <w:rFonts w:ascii="宋体" w:hAnsi="宋体"/>
          <w:b/>
          <w:lang w:eastAsia="zh-CN"/>
        </w:rPr>
      </w:pPr>
      <w:r>
        <w:rPr>
          <w:rFonts w:ascii="宋体" w:hAnsi="宋体" w:hint="eastAsia"/>
          <w:b/>
          <w:lang w:eastAsia="zh-CN"/>
        </w:rPr>
        <w:t>投标人成本评审办法</w:t>
      </w:r>
    </w:p>
    <w:p w14:paraId="2809A352">
      <w:pPr>
        <w:keepNext/>
        <w:keepLines/>
        <w:spacing w:before="260" w:after="260" w:line="360" w:lineRule="auto"/>
        <w:outlineLvl w:val="2"/>
        <w:rPr>
          <w:rFonts w:ascii="宋体" w:hAnsi="宋体"/>
          <w:b/>
          <w:bCs/>
          <w:lang w:eastAsia="zh-CN"/>
        </w:rPr>
      </w:pPr>
      <w:r>
        <w:rPr>
          <w:rFonts w:ascii="宋体" w:hAnsi="宋体" w:hint="eastAsia"/>
          <w:b/>
          <w:bCs/>
          <w:lang w:eastAsia="zh-CN"/>
        </w:rPr>
        <w:t>C0.总则</w:t>
      </w:r>
    </w:p>
    <w:p w14:paraId="3F0C68E0">
      <w:pPr>
        <w:spacing w:line="360" w:lineRule="auto"/>
        <w:rPr>
          <w:rFonts w:ascii="宋体" w:hAnsi="宋体"/>
          <w:lang w:eastAsia="zh-CN"/>
        </w:rPr>
      </w:pPr>
      <w:r>
        <w:rPr>
          <w:rFonts w:ascii="宋体" w:hAnsi="宋体" w:hint="eastAsia"/>
          <w:lang w:eastAsia="zh-CN"/>
        </w:rPr>
        <w:t xml:space="preserve">    本附件是本章“评标办法”的组成部分，评标委员会按照本章第3.2.2项的规定，对投标人投标报价是否低于其成本进行评审和判断时，适用本附件所规定的办法。</w:t>
      </w:r>
    </w:p>
    <w:p w14:paraId="4391212C">
      <w:pPr>
        <w:keepNext/>
        <w:keepLines/>
        <w:spacing w:before="260" w:after="260" w:line="360" w:lineRule="auto"/>
        <w:outlineLvl w:val="2"/>
        <w:rPr>
          <w:rFonts w:ascii="宋体" w:hAnsi="宋体"/>
          <w:b/>
          <w:bCs/>
          <w:lang w:eastAsia="zh-CN"/>
        </w:rPr>
      </w:pPr>
      <w:r>
        <w:rPr>
          <w:rFonts w:ascii="宋体" w:hAnsi="宋体" w:hint="eastAsia"/>
          <w:b/>
          <w:bCs/>
          <w:lang w:eastAsia="zh-CN"/>
        </w:rPr>
        <w:t>C1.评审程序</w:t>
      </w:r>
    </w:p>
    <w:p w14:paraId="3B8AE00D">
      <w:pPr>
        <w:spacing w:line="360" w:lineRule="auto"/>
        <w:rPr>
          <w:rFonts w:ascii="宋体" w:hAnsi="宋体"/>
          <w:lang w:eastAsia="zh-CN"/>
        </w:rPr>
      </w:pPr>
    </w:p>
    <w:p w14:paraId="1249EA08">
      <w:pPr>
        <w:spacing w:line="360" w:lineRule="auto"/>
        <w:rPr>
          <w:rFonts w:ascii="宋体" w:hAnsi="宋体"/>
          <w:lang w:eastAsia="zh-CN"/>
        </w:rPr>
      </w:pPr>
    </w:p>
    <w:p w14:paraId="783D34CE">
      <w:pPr>
        <w:spacing w:line="360" w:lineRule="auto"/>
        <w:rPr>
          <w:rFonts w:ascii="宋体" w:hAnsi="宋体"/>
          <w:lang w:eastAsia="zh-CN"/>
        </w:rPr>
      </w:pPr>
    </w:p>
    <w:p w14:paraId="3CB2C5BD">
      <w:pPr>
        <w:spacing w:line="360" w:lineRule="auto"/>
        <w:rPr>
          <w:rFonts w:ascii="宋体" w:hAnsi="宋体"/>
          <w:lang w:eastAsia="zh-CN"/>
        </w:rPr>
      </w:pPr>
    </w:p>
    <w:p w14:paraId="31554012">
      <w:pPr>
        <w:spacing w:line="360" w:lineRule="auto"/>
        <w:ind w:firstLine="480"/>
        <w:rPr>
          <w:rFonts w:ascii="宋体" w:hAnsi="宋体"/>
          <w:lang w:eastAsia="zh-CN"/>
        </w:rPr>
      </w:pPr>
      <w:r>
        <w:rPr>
          <w:rFonts w:ascii="宋体" w:hAnsi="宋体" w:hint="eastAsia"/>
          <w:lang w:eastAsia="zh-CN"/>
        </w:rPr>
        <w:t>注:</w:t>
      </w:r>
      <w:r>
        <w:rPr>
          <w:lang w:eastAsia="zh-CN"/>
        </w:rPr>
        <w:t xml:space="preserve"> </w:t>
      </w:r>
      <w:r>
        <w:rPr>
          <w:rFonts w:ascii="宋体" w:hAnsi="宋体" w:hint="eastAsia"/>
          <w:lang w:eastAsia="zh-CN"/>
        </w:rPr>
        <w:t>投标报价评审按本章前附表规定的办法。</w:t>
      </w:r>
    </w:p>
    <w:p w14:paraId="5EFD83BC">
      <w:pPr>
        <w:spacing w:line="360" w:lineRule="auto"/>
        <w:ind w:firstLine="480"/>
        <w:rPr>
          <w:rFonts w:ascii="宋体" w:hAnsi="宋体"/>
          <w:lang w:eastAsia="zh-CN"/>
        </w:rPr>
      </w:pPr>
    </w:p>
    <w:p w14:paraId="0D726E67">
      <w:pPr>
        <w:rPr>
          <w:rFonts w:ascii="宋体" w:hAnsi="宋体"/>
          <w:lang w:eastAsia="zh-CN"/>
        </w:rPr>
      </w:pPr>
      <w:r>
        <w:rPr>
          <w:rFonts w:ascii="宋体" w:hAnsi="宋体" w:hint="eastAsia"/>
          <w:lang w:eastAsia="zh-CN"/>
        </w:rPr>
        <w:br w:type="page"/>
      </w:r>
    </w:p>
    <w:p w14:paraId="4A8B7D4D">
      <w:pPr>
        <w:spacing w:line="360" w:lineRule="auto"/>
        <w:rPr>
          <w:rFonts w:ascii="宋体" w:hAnsi="宋体"/>
          <w:lang w:eastAsia="zh-CN"/>
        </w:rPr>
      </w:pPr>
    </w:p>
    <w:p w14:paraId="09CC1C3B">
      <w:pPr>
        <w:keepNext/>
        <w:keepLines/>
        <w:spacing w:before="260" w:after="260" w:line="360" w:lineRule="auto"/>
        <w:outlineLvl w:val="1"/>
        <w:rPr>
          <w:rFonts w:ascii="宋体" w:hAnsi="宋体"/>
          <w:b/>
          <w:bCs/>
          <w:lang w:eastAsia="zh-CN"/>
        </w:rPr>
      </w:pPr>
      <w:r>
        <w:rPr>
          <w:rFonts w:ascii="宋体" w:hAnsi="宋体" w:hint="eastAsia"/>
          <w:b/>
          <w:bCs/>
          <w:lang w:eastAsia="zh-CN"/>
        </w:rPr>
        <w:t>附件D：备选投标方案的评审和比较办法</w:t>
      </w:r>
    </w:p>
    <w:p w14:paraId="6CEC6FE3">
      <w:pPr>
        <w:spacing w:line="360" w:lineRule="auto"/>
        <w:jc w:val="center"/>
        <w:rPr>
          <w:rFonts w:ascii="宋体" w:hAnsi="宋体"/>
          <w:b/>
          <w:lang w:eastAsia="zh-CN"/>
        </w:rPr>
      </w:pPr>
      <w:r>
        <w:rPr>
          <w:rFonts w:ascii="宋体" w:hAnsi="宋体" w:hint="eastAsia"/>
          <w:b/>
          <w:lang w:eastAsia="zh-CN"/>
        </w:rPr>
        <w:t>备选投标方案的评审和比较办法</w:t>
      </w:r>
    </w:p>
    <w:p w14:paraId="69842697">
      <w:pPr>
        <w:keepNext/>
        <w:keepLines/>
        <w:spacing w:before="260" w:after="260" w:line="360" w:lineRule="auto"/>
        <w:outlineLvl w:val="2"/>
        <w:rPr>
          <w:rFonts w:ascii="宋体" w:hAnsi="宋体"/>
          <w:b/>
          <w:bCs/>
          <w:lang w:eastAsia="zh-CN"/>
        </w:rPr>
      </w:pPr>
      <w:r>
        <w:rPr>
          <w:rFonts w:ascii="宋体" w:hAnsi="宋体" w:hint="eastAsia"/>
          <w:b/>
          <w:bCs/>
          <w:lang w:eastAsia="zh-CN"/>
        </w:rPr>
        <w:t>D0.总  则</w:t>
      </w:r>
    </w:p>
    <w:p w14:paraId="57566F14">
      <w:pPr>
        <w:spacing w:line="360" w:lineRule="auto"/>
        <w:rPr>
          <w:rFonts w:ascii="宋体" w:hAnsi="宋体"/>
          <w:lang w:eastAsia="zh-CN"/>
        </w:rPr>
      </w:pPr>
      <w:r>
        <w:rPr>
          <w:rFonts w:ascii="宋体" w:hAnsi="宋体" w:hint="eastAsia"/>
          <w:lang w:eastAsia="zh-CN"/>
        </w:rPr>
        <w:t xml:space="preserve">    本附件是本章“评标办法”的组成部分。当第二章“投标人须知”第3.6款中规定允许投标人递交备选投标方案时，评标委员会应当按照本附件所规定的办法对排名第一的中标候选人或者根据招标人授权直接确定的中标人所递交的备选投标方案进行评审和比较。</w:t>
      </w:r>
    </w:p>
    <w:p w14:paraId="156FA367">
      <w:pPr>
        <w:keepNext/>
        <w:keepLines/>
        <w:spacing w:before="260" w:after="260" w:line="360" w:lineRule="auto"/>
        <w:outlineLvl w:val="2"/>
        <w:rPr>
          <w:rFonts w:ascii="宋体" w:hAnsi="宋体"/>
          <w:b/>
          <w:bCs/>
          <w:lang w:eastAsia="zh-CN"/>
        </w:rPr>
      </w:pPr>
      <w:r>
        <w:rPr>
          <w:rFonts w:ascii="宋体" w:hAnsi="宋体" w:hint="eastAsia"/>
          <w:b/>
          <w:bCs/>
          <w:lang w:eastAsia="zh-CN"/>
        </w:rPr>
        <w:t>D1.备选投标方案的评审规定</w:t>
      </w:r>
    </w:p>
    <w:p w14:paraId="15616D76">
      <w:pPr>
        <w:keepNext/>
        <w:keepLines/>
        <w:spacing w:before="280" w:after="290" w:line="360" w:lineRule="auto"/>
        <w:outlineLvl w:val="3"/>
        <w:rPr>
          <w:rFonts w:ascii="宋体" w:hAnsi="宋体"/>
          <w:b/>
          <w:bCs/>
          <w:lang w:eastAsia="zh-CN"/>
        </w:rPr>
      </w:pPr>
      <w:r>
        <w:rPr>
          <w:rFonts w:ascii="宋体" w:hAnsi="宋体" w:hint="eastAsia"/>
          <w:b/>
          <w:bCs/>
          <w:lang w:eastAsia="zh-CN"/>
        </w:rPr>
        <w:t>D.1.1　必须投递了正选投标方案</w:t>
      </w:r>
    </w:p>
    <w:p w14:paraId="77586CD2">
      <w:pPr>
        <w:spacing w:line="360" w:lineRule="auto"/>
        <w:rPr>
          <w:rFonts w:ascii="宋体" w:hAnsi="宋体"/>
          <w:lang w:eastAsia="zh-CN"/>
        </w:rPr>
      </w:pPr>
      <w:r>
        <w:rPr>
          <w:rFonts w:ascii="宋体" w:hAnsi="宋体" w:hint="eastAsia"/>
          <w:lang w:eastAsia="zh-CN"/>
        </w:rPr>
        <w:t xml:space="preserve">    按照第二章“投标人须知”第3.6款中规定投递备选投标方案的投标人，必须按照招标文件中规定的要求和条件编制并投递了正选投标方案，否则其投标作否决投标处理。</w:t>
      </w:r>
    </w:p>
    <w:p w14:paraId="63DECDAC">
      <w:pPr>
        <w:keepNext/>
        <w:keepLines/>
        <w:spacing w:before="280" w:after="290" w:line="360" w:lineRule="auto"/>
        <w:outlineLvl w:val="3"/>
        <w:rPr>
          <w:rFonts w:ascii="宋体" w:hAnsi="宋体"/>
          <w:b/>
          <w:bCs/>
          <w:lang w:eastAsia="zh-CN"/>
        </w:rPr>
      </w:pPr>
      <w:r>
        <w:rPr>
          <w:rFonts w:ascii="宋体" w:hAnsi="宋体" w:hint="eastAsia"/>
          <w:b/>
          <w:bCs/>
          <w:lang w:eastAsia="zh-CN"/>
        </w:rPr>
        <w:t>D1.2  只对中标人或中标候选人的备选投标方案进行评审</w:t>
      </w:r>
    </w:p>
    <w:p w14:paraId="5E7995FD">
      <w:pPr>
        <w:spacing w:line="360" w:lineRule="auto"/>
        <w:rPr>
          <w:rFonts w:ascii="宋体" w:hAnsi="宋体"/>
          <w:lang w:eastAsia="zh-CN"/>
        </w:rPr>
      </w:pPr>
      <w:r>
        <w:rPr>
          <w:rFonts w:ascii="宋体" w:hAnsi="宋体" w:hint="eastAsia"/>
          <w:lang w:eastAsia="zh-CN"/>
        </w:rPr>
        <w:t xml:space="preserve">    只有中标人或中标候选人的备选投标方案才会被评标委员会评审。</w:t>
      </w:r>
    </w:p>
    <w:p w14:paraId="3E306DB2">
      <w:pPr>
        <w:keepNext/>
        <w:keepLines/>
        <w:spacing w:before="260" w:after="260" w:line="360" w:lineRule="auto"/>
        <w:outlineLvl w:val="2"/>
        <w:rPr>
          <w:rFonts w:ascii="宋体" w:hAnsi="宋体"/>
          <w:b/>
          <w:bCs/>
          <w:lang w:eastAsia="zh-CN"/>
        </w:rPr>
      </w:pPr>
      <w:r>
        <w:rPr>
          <w:rFonts w:ascii="宋体" w:hAnsi="宋体" w:hint="eastAsia"/>
          <w:b/>
          <w:bCs/>
          <w:lang w:eastAsia="zh-CN"/>
        </w:rPr>
        <w:t>D2.备选投标方案的评审程序、方法和标准</w:t>
      </w:r>
    </w:p>
    <w:p w14:paraId="3169BE3C">
      <w:pPr>
        <w:keepNext/>
        <w:keepLines/>
        <w:spacing w:before="280" w:after="290" w:line="360" w:lineRule="auto"/>
        <w:outlineLvl w:val="3"/>
        <w:rPr>
          <w:rFonts w:ascii="宋体" w:hAnsi="宋体"/>
          <w:b/>
          <w:bCs/>
          <w:lang w:eastAsia="zh-CN"/>
        </w:rPr>
      </w:pPr>
      <w:r>
        <w:rPr>
          <w:rFonts w:ascii="宋体" w:hAnsi="宋体" w:hint="eastAsia"/>
          <w:b/>
          <w:bCs/>
          <w:lang w:eastAsia="zh-CN"/>
        </w:rPr>
        <w:t>D2.1  适用的评审程序、方法和标准</w:t>
      </w:r>
    </w:p>
    <w:p w14:paraId="4B0B6246">
      <w:pPr>
        <w:spacing w:line="360" w:lineRule="auto"/>
        <w:rPr>
          <w:rFonts w:ascii="宋体" w:hAnsi="宋体"/>
          <w:lang w:eastAsia="zh-CN"/>
        </w:rPr>
      </w:pPr>
      <w:r>
        <w:rPr>
          <w:rFonts w:ascii="宋体" w:hAnsi="宋体" w:hint="eastAsia"/>
          <w:lang w:eastAsia="zh-CN"/>
        </w:rPr>
        <w:t xml:space="preserve">    评标委员会应当根据备选投标方案的内容，找出本章（包括本章附件）中适用的程序、方法、标准对备选投标方案进行综合定性评审。如果没有适用的程序、方法、标准，则由评标委员会成员分别独立对备选投标方案进行综合定性评审。评审结论通过表决方式做出。只有超过半数的评标委员会成员所做出的结论，方可以作为评标委员会的结论。</w:t>
      </w:r>
    </w:p>
    <w:p w14:paraId="77621CE5">
      <w:pPr>
        <w:keepNext/>
        <w:keepLines/>
        <w:spacing w:before="280" w:after="290" w:line="360" w:lineRule="auto"/>
        <w:outlineLvl w:val="3"/>
        <w:rPr>
          <w:rFonts w:ascii="宋体" w:hAnsi="宋体"/>
          <w:b/>
          <w:bCs/>
          <w:lang w:eastAsia="zh-CN"/>
        </w:rPr>
      </w:pPr>
      <w:r>
        <w:rPr>
          <w:rFonts w:ascii="宋体" w:hAnsi="宋体" w:hint="eastAsia"/>
          <w:b/>
          <w:bCs/>
          <w:lang w:eastAsia="zh-CN"/>
        </w:rPr>
        <w:t>D2.2  基本的评审程序和方法</w:t>
      </w:r>
    </w:p>
    <w:p w14:paraId="3FD2BDA0">
      <w:pPr>
        <w:spacing w:line="360" w:lineRule="auto"/>
        <w:rPr>
          <w:rFonts w:ascii="宋体" w:hAnsi="宋体"/>
          <w:lang w:eastAsia="zh-CN"/>
        </w:rPr>
      </w:pPr>
      <w:r>
        <w:rPr>
          <w:rFonts w:ascii="宋体" w:hAnsi="宋体" w:hint="eastAsia"/>
          <w:lang w:eastAsia="zh-CN"/>
        </w:rPr>
        <w:t xml:space="preserve">    对备选投标方案的评审，按以下程序和方法进行：</w:t>
      </w:r>
    </w:p>
    <w:p w14:paraId="22A793C3">
      <w:pPr>
        <w:spacing w:line="360" w:lineRule="auto"/>
        <w:rPr>
          <w:rFonts w:ascii="宋体" w:hAnsi="宋体"/>
          <w:lang w:eastAsia="zh-CN"/>
        </w:rPr>
      </w:pPr>
      <w:r>
        <w:rPr>
          <w:rFonts w:ascii="宋体" w:hAnsi="宋体" w:hint="eastAsia"/>
          <w:lang w:eastAsia="zh-CN"/>
        </w:rPr>
        <w:t xml:space="preserve">    （1）找出备选投标方案改变了招标文件中规定的哪些要求或条件，判断这种改变是否可能被招标人所接受。如果评标委员会认为备选投标方案所改变的招标要求和条件是不能被招标人所接受的，则应当宣布备选投标方案不被接受。</w:t>
      </w:r>
    </w:p>
    <w:p w14:paraId="4C70F6B7">
      <w:pPr>
        <w:spacing w:line="360" w:lineRule="auto"/>
        <w:rPr>
          <w:rFonts w:ascii="宋体" w:hAnsi="宋体"/>
          <w:lang w:eastAsia="zh-CN"/>
        </w:rPr>
      </w:pPr>
      <w:r>
        <w:rPr>
          <w:rFonts w:ascii="宋体" w:hAnsi="宋体" w:hint="eastAsia"/>
          <w:lang w:eastAsia="zh-CN"/>
        </w:rPr>
        <w:t xml:space="preserve">    （2）判断备选投标方案的可行性，不可行的备选投标方案应当被宣布为不被接受。</w:t>
      </w:r>
    </w:p>
    <w:p w14:paraId="10F858AE">
      <w:pPr>
        <w:spacing w:line="360" w:lineRule="auto"/>
        <w:rPr>
          <w:rFonts w:ascii="宋体" w:hAnsi="宋体"/>
          <w:lang w:eastAsia="zh-CN"/>
        </w:rPr>
      </w:pPr>
      <w:r>
        <w:rPr>
          <w:rFonts w:ascii="宋体" w:hAnsi="宋体" w:hint="eastAsia"/>
          <w:lang w:eastAsia="zh-CN"/>
        </w:rPr>
        <w:t xml:space="preserve">    （3）对比中标人或中标候选人的正选投标方案和备选投标方案，找出两者之间的偏差，并对偏差对招标人的有利和不利程度做出评估。只有备选投标方案与正选投标方案的偏差对招标人的有利程度明显大于不利程度时，备选投标方案方可以被接受。</w:t>
      </w:r>
    </w:p>
    <w:p w14:paraId="1CD2C2C1">
      <w:pPr>
        <w:keepNext/>
        <w:keepLines/>
        <w:spacing w:before="260" w:after="260" w:line="360" w:lineRule="auto"/>
        <w:outlineLvl w:val="2"/>
        <w:rPr>
          <w:rFonts w:ascii="宋体" w:hAnsi="宋体"/>
          <w:b/>
          <w:bCs/>
          <w:lang w:eastAsia="zh-CN"/>
        </w:rPr>
      </w:pPr>
      <w:r>
        <w:rPr>
          <w:rFonts w:ascii="宋体" w:hAnsi="宋体" w:hint="eastAsia"/>
          <w:b/>
          <w:bCs/>
          <w:lang w:eastAsia="zh-CN"/>
        </w:rPr>
        <w:t>D3.备选投标方案的评审结果</w:t>
      </w:r>
    </w:p>
    <w:p w14:paraId="3104741F">
      <w:pPr>
        <w:keepNext/>
        <w:keepLines/>
        <w:spacing w:before="280" w:after="290" w:line="360" w:lineRule="auto"/>
        <w:outlineLvl w:val="3"/>
        <w:rPr>
          <w:rFonts w:ascii="宋体" w:hAnsi="宋体"/>
          <w:b/>
          <w:bCs/>
          <w:lang w:eastAsia="zh-CN"/>
        </w:rPr>
      </w:pPr>
      <w:r>
        <w:rPr>
          <w:rFonts w:ascii="宋体" w:hAnsi="宋体" w:hint="eastAsia"/>
          <w:b/>
          <w:bCs/>
          <w:lang w:eastAsia="zh-CN"/>
        </w:rPr>
        <w:t>D3.1备选投标方案的评审报告</w:t>
      </w:r>
    </w:p>
    <w:p w14:paraId="15F6B3B4">
      <w:pPr>
        <w:spacing w:line="360" w:lineRule="auto"/>
        <w:rPr>
          <w:rFonts w:ascii="宋体" w:hAnsi="宋体"/>
          <w:lang w:eastAsia="zh-CN"/>
        </w:rPr>
      </w:pPr>
      <w:r>
        <w:rPr>
          <w:rFonts w:ascii="宋体" w:hAnsi="宋体" w:hint="eastAsia"/>
          <w:lang w:eastAsia="zh-CN"/>
        </w:rPr>
        <w:t xml:space="preserve">    评标委员会应当出具备选投标方案评审报告，备选投标方案评审报告中应当包括：</w:t>
      </w:r>
    </w:p>
    <w:p w14:paraId="557D2B29">
      <w:pPr>
        <w:spacing w:line="360" w:lineRule="auto"/>
        <w:rPr>
          <w:rFonts w:ascii="宋体" w:hAnsi="宋体"/>
          <w:lang w:eastAsia="zh-CN"/>
        </w:rPr>
      </w:pPr>
      <w:r>
        <w:rPr>
          <w:rFonts w:ascii="宋体" w:hAnsi="宋体" w:hint="eastAsia"/>
          <w:lang w:eastAsia="zh-CN"/>
        </w:rPr>
        <w:t xml:space="preserve">    （1）备选投标方案与正选投标方案的主要偏差；</w:t>
      </w:r>
    </w:p>
    <w:p w14:paraId="258169FE">
      <w:pPr>
        <w:spacing w:line="360" w:lineRule="auto"/>
        <w:rPr>
          <w:rFonts w:ascii="宋体" w:hAnsi="宋体"/>
          <w:lang w:eastAsia="zh-CN"/>
        </w:rPr>
      </w:pPr>
      <w:r>
        <w:rPr>
          <w:rFonts w:ascii="宋体" w:hAnsi="宋体" w:hint="eastAsia"/>
          <w:lang w:eastAsia="zh-CN"/>
        </w:rPr>
        <w:t xml:space="preserve">    （2）备选投标方案的科学性与合理性分析；</w:t>
      </w:r>
    </w:p>
    <w:p w14:paraId="2C069672">
      <w:pPr>
        <w:spacing w:line="360" w:lineRule="auto"/>
        <w:rPr>
          <w:rFonts w:ascii="宋体" w:hAnsi="宋体"/>
          <w:lang w:eastAsia="zh-CN"/>
        </w:rPr>
      </w:pPr>
      <w:r>
        <w:rPr>
          <w:rFonts w:ascii="宋体" w:hAnsi="宋体" w:hint="eastAsia"/>
          <w:lang w:eastAsia="zh-CN"/>
        </w:rPr>
        <w:t xml:space="preserve">    （3）备选投标方案对招标人的有利性分析；</w:t>
      </w:r>
    </w:p>
    <w:p w14:paraId="772DCFFB">
      <w:pPr>
        <w:spacing w:line="360" w:lineRule="auto"/>
        <w:rPr>
          <w:rFonts w:ascii="宋体" w:hAnsi="宋体"/>
          <w:lang w:eastAsia="zh-CN"/>
        </w:rPr>
      </w:pPr>
      <w:r>
        <w:rPr>
          <w:rFonts w:ascii="宋体" w:hAnsi="宋体" w:hint="eastAsia"/>
          <w:lang w:eastAsia="zh-CN"/>
        </w:rPr>
        <w:t xml:space="preserve">    （4）备选投标方案是否可以被采纳。</w:t>
      </w:r>
    </w:p>
    <w:p w14:paraId="3173A01A">
      <w:pPr>
        <w:keepNext/>
        <w:keepLines/>
        <w:spacing w:before="280" w:after="290" w:line="360" w:lineRule="auto"/>
        <w:outlineLvl w:val="3"/>
        <w:rPr>
          <w:rFonts w:ascii="宋体" w:hAnsi="宋体"/>
          <w:b/>
          <w:bCs/>
          <w:lang w:eastAsia="zh-CN"/>
        </w:rPr>
      </w:pPr>
      <w:r>
        <w:rPr>
          <w:rFonts w:ascii="宋体" w:hAnsi="宋体" w:hint="eastAsia"/>
          <w:b/>
          <w:bCs/>
          <w:lang w:eastAsia="zh-CN"/>
        </w:rPr>
        <w:t>D3.2  评审结论</w:t>
      </w:r>
    </w:p>
    <w:p w14:paraId="2C06CEF6">
      <w:pPr>
        <w:spacing w:line="360" w:lineRule="auto"/>
        <w:rPr>
          <w:rFonts w:ascii="宋体" w:hAnsi="宋体"/>
          <w:lang w:eastAsia="zh-CN"/>
        </w:rPr>
      </w:pPr>
      <w:r>
        <w:rPr>
          <w:rFonts w:ascii="宋体" w:hAnsi="宋体" w:hint="eastAsia"/>
          <w:lang w:eastAsia="zh-CN"/>
        </w:rPr>
        <w:t xml:space="preserve">    通过评审，评标委员会只做出备选投标方案是否可以被采纳的决定，但不做出中标人应当按正选投标方案或备选投标方案中标的决定。中标人是否按备选投标方案中标的决定，由招标人依据评标委员会的评审报告做出。</w:t>
      </w:r>
    </w:p>
    <w:p w14:paraId="482ED6DE">
      <w:pPr>
        <w:keepNext/>
        <w:keepLines/>
        <w:spacing w:before="260" w:after="260" w:line="360" w:lineRule="auto"/>
        <w:outlineLvl w:val="2"/>
        <w:rPr>
          <w:rFonts w:ascii="宋体" w:hAnsi="宋体"/>
          <w:b/>
          <w:bCs/>
          <w:sz w:val="27"/>
          <w:szCs w:val="32"/>
          <w:lang w:eastAsia="zh-CN"/>
        </w:rPr>
      </w:pPr>
      <w:r>
        <w:rPr>
          <w:rFonts w:ascii="宋体" w:hAnsi="宋体" w:hint="eastAsia"/>
          <w:b/>
          <w:bCs/>
          <w:lang w:eastAsia="zh-CN"/>
        </w:rPr>
        <w:t>D4.补充条款</w:t>
      </w:r>
    </w:p>
    <w:p w14:paraId="0BB033C6">
      <w:pPr>
        <w:spacing w:line="36" w:lineRule="auto"/>
        <w:rPr>
          <w:rFonts w:ascii="宋体" w:hAnsi="宋体"/>
          <w:sz w:val="25"/>
          <w:szCs w:val="22"/>
          <w:lang w:eastAsia="zh-CN"/>
        </w:rPr>
      </w:pPr>
    </w:p>
    <w:p w14:paraId="55746CC2">
      <w:pPr>
        <w:rPr>
          <w:rFonts w:ascii="宋体" w:hAnsi="宋体"/>
          <w:b/>
          <w:bCs/>
          <w:kern w:val="44"/>
          <w:sz w:val="27"/>
          <w:szCs w:val="44"/>
          <w:lang w:eastAsia="zh-CN"/>
        </w:rPr>
      </w:pPr>
    </w:p>
    <w:p w14:paraId="37A9C713">
      <w:pPr>
        <w:pStyle w:val="Heading2"/>
        <w:rPr>
          <w:rFonts w:ascii="宋体" w:hAnsi="宋体"/>
          <w:sz w:val="24"/>
          <w:szCs w:val="24"/>
        </w:rPr>
      </w:pPr>
      <w:r>
        <w:rPr>
          <w:rFonts w:ascii="宋体" w:hAnsi="宋体" w:hint="eastAsia"/>
          <w:sz w:val="24"/>
          <w:szCs w:val="24"/>
        </w:rPr>
        <w:t>附表A-1：评标委员会签到表</w:t>
      </w:r>
    </w:p>
    <w:p w14:paraId="39094D70">
      <w:pPr>
        <w:rPr>
          <w:rFonts w:ascii="宋体" w:hAnsi="宋体"/>
          <w:b/>
          <w:sz w:val="27"/>
          <w:szCs w:val="22"/>
          <w:lang w:eastAsia="zh-CN"/>
        </w:rPr>
      </w:pPr>
    </w:p>
    <w:p w14:paraId="59C59DCE">
      <w:pPr>
        <w:spacing w:line="360" w:lineRule="auto"/>
        <w:jc w:val="center"/>
        <w:rPr>
          <w:rFonts w:ascii="宋体" w:hAnsi="宋体"/>
          <w:b/>
          <w:lang w:eastAsia="zh-CN"/>
        </w:rPr>
      </w:pPr>
      <w:r>
        <w:rPr>
          <w:rFonts w:ascii="宋体" w:hAnsi="宋体" w:hint="eastAsia"/>
          <w:b/>
          <w:lang w:eastAsia="zh-CN"/>
        </w:rPr>
        <w:t>评标委员会签到表</w:t>
      </w:r>
    </w:p>
    <w:p w14:paraId="02BAA01F">
      <w:pPr>
        <w:spacing w:line="360" w:lineRule="auto"/>
        <w:rPr>
          <w:rFonts w:ascii="宋体" w:hAnsi="宋体"/>
          <w:lang w:eastAsia="zh-CN"/>
        </w:rPr>
      </w:pPr>
    </w:p>
    <w:p w14:paraId="29F34AB0">
      <w:pPr>
        <w:spacing w:line="360" w:lineRule="auto"/>
        <w:jc w:val="center"/>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     评标时间：   年    月    日</w:t>
      </w: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921"/>
        <w:gridCol w:w="2481"/>
        <w:gridCol w:w="5103"/>
      </w:tblGrid>
      <w:tr w14:paraId="7C5861AC">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1266"/>
          <w:jc w:val="center"/>
        </w:trPr>
        <w:tc>
          <w:tcPr>
            <w:tcW w:w="921" w:type="dxa"/>
            <w:tcBorders>
              <w:top w:val="single" w:sz="2" w:space="0" w:color="auto"/>
              <w:left w:val="single" w:sz="2" w:space="0" w:color="auto"/>
              <w:bottom w:val="single" w:sz="2" w:space="0" w:color="auto"/>
              <w:right w:val="single" w:sz="2" w:space="0" w:color="auto"/>
            </w:tcBorders>
            <w:vAlign w:val="center"/>
          </w:tcPr>
          <w:p w14:paraId="390A5ADB">
            <w:pPr>
              <w:spacing w:line="360" w:lineRule="auto"/>
              <w:jc w:val="center"/>
              <w:rPr>
                <w:rFonts w:ascii="宋体" w:hAnsi="宋体"/>
              </w:rPr>
            </w:pPr>
            <w:r>
              <w:rPr>
                <w:rFonts w:ascii="宋体" w:hAnsi="宋体" w:hint="eastAsia"/>
              </w:rPr>
              <w:t>序号</w:t>
            </w:r>
          </w:p>
        </w:tc>
        <w:tc>
          <w:tcPr>
            <w:tcW w:w="2481" w:type="dxa"/>
            <w:tcBorders>
              <w:top w:val="single" w:sz="2" w:space="0" w:color="auto"/>
              <w:left w:val="single" w:sz="2" w:space="0" w:color="auto"/>
              <w:bottom w:val="single" w:sz="2" w:space="0" w:color="auto"/>
              <w:right w:val="single" w:sz="2" w:space="0" w:color="auto"/>
            </w:tcBorders>
            <w:vAlign w:val="center"/>
          </w:tcPr>
          <w:p w14:paraId="38CBE6AB">
            <w:pPr>
              <w:spacing w:line="360" w:lineRule="auto"/>
              <w:jc w:val="center"/>
              <w:rPr>
                <w:rFonts w:ascii="宋体" w:hAnsi="宋体"/>
              </w:rPr>
            </w:pPr>
            <w:r>
              <w:rPr>
                <w:rFonts w:ascii="宋体" w:hAnsi="宋体" w:hint="eastAsia"/>
              </w:rPr>
              <w:t>姓名</w:t>
            </w:r>
          </w:p>
        </w:tc>
        <w:tc>
          <w:tcPr>
            <w:tcW w:w="5103" w:type="dxa"/>
            <w:tcBorders>
              <w:top w:val="single" w:sz="2" w:space="0" w:color="auto"/>
              <w:left w:val="single" w:sz="2" w:space="0" w:color="auto"/>
              <w:bottom w:val="single" w:sz="2" w:space="0" w:color="auto"/>
              <w:right w:val="single" w:sz="2" w:space="0" w:color="auto"/>
            </w:tcBorders>
            <w:vAlign w:val="center"/>
          </w:tcPr>
          <w:p w14:paraId="792C4D71">
            <w:pPr>
              <w:spacing w:line="360" w:lineRule="auto"/>
              <w:jc w:val="center"/>
              <w:rPr>
                <w:rFonts w:ascii="宋体" w:hAnsi="宋体"/>
              </w:rPr>
            </w:pPr>
            <w:r>
              <w:rPr>
                <w:rFonts w:ascii="宋体" w:hAnsi="宋体" w:hint="eastAsia"/>
              </w:rPr>
              <w:t>工作单位</w:t>
            </w:r>
          </w:p>
        </w:tc>
      </w:tr>
      <w:tr w14:paraId="4471DA0F">
        <w:tblPrEx>
          <w:tblW w:w="0" w:type="auto"/>
          <w:jc w:val="center"/>
          <w:tblLayout w:type="fixed"/>
          <w:tblCellMar>
            <w:top w:w="0" w:type="dxa"/>
            <w:left w:w="108" w:type="dxa"/>
            <w:bottom w:w="0" w:type="dxa"/>
            <w:right w:w="108" w:type="dxa"/>
          </w:tblCellMar>
        </w:tblPrEx>
        <w:trPr>
          <w:trHeight w:val="640"/>
          <w:jc w:val="center"/>
        </w:trPr>
        <w:tc>
          <w:tcPr>
            <w:tcW w:w="921" w:type="dxa"/>
            <w:tcBorders>
              <w:top w:val="single" w:sz="2" w:space="0" w:color="auto"/>
              <w:left w:val="single" w:sz="2" w:space="0" w:color="auto"/>
              <w:bottom w:val="single" w:sz="2" w:space="0" w:color="auto"/>
              <w:right w:val="single" w:sz="2" w:space="0" w:color="auto"/>
            </w:tcBorders>
            <w:vAlign w:val="center"/>
          </w:tcPr>
          <w:p w14:paraId="613BBF8E">
            <w:pPr>
              <w:spacing w:line="360" w:lineRule="auto"/>
              <w:jc w:val="center"/>
              <w:rPr>
                <w:rFonts w:ascii="宋体" w:hAnsi="宋体"/>
              </w:rPr>
            </w:pPr>
            <w:r>
              <w:rPr>
                <w:rFonts w:ascii="宋体" w:hAnsi="宋体" w:hint="eastAsia"/>
              </w:rPr>
              <w:t>1</w:t>
            </w:r>
          </w:p>
        </w:tc>
        <w:tc>
          <w:tcPr>
            <w:tcW w:w="2481" w:type="dxa"/>
            <w:tcBorders>
              <w:top w:val="single" w:sz="2" w:space="0" w:color="auto"/>
              <w:left w:val="single" w:sz="2" w:space="0" w:color="auto"/>
              <w:bottom w:val="single" w:sz="2" w:space="0" w:color="auto"/>
              <w:right w:val="single" w:sz="2" w:space="0" w:color="auto"/>
            </w:tcBorders>
            <w:vAlign w:val="center"/>
          </w:tcPr>
          <w:p w14:paraId="426C79F9">
            <w:pPr>
              <w:spacing w:line="360" w:lineRule="auto"/>
              <w:jc w:val="center"/>
              <w:rPr>
                <w:rFonts w:ascii="宋体" w:hAnsi="宋体"/>
              </w:rPr>
            </w:pPr>
          </w:p>
        </w:tc>
        <w:tc>
          <w:tcPr>
            <w:tcW w:w="5103" w:type="dxa"/>
            <w:tcBorders>
              <w:top w:val="single" w:sz="2" w:space="0" w:color="auto"/>
              <w:left w:val="single" w:sz="2" w:space="0" w:color="auto"/>
              <w:bottom w:val="single" w:sz="2" w:space="0" w:color="auto"/>
              <w:right w:val="single" w:sz="2" w:space="0" w:color="auto"/>
            </w:tcBorders>
            <w:vAlign w:val="center"/>
          </w:tcPr>
          <w:p w14:paraId="006FCC02">
            <w:pPr>
              <w:spacing w:line="360" w:lineRule="auto"/>
              <w:jc w:val="center"/>
              <w:rPr>
                <w:rFonts w:ascii="宋体" w:hAnsi="宋体"/>
              </w:rPr>
            </w:pPr>
          </w:p>
        </w:tc>
      </w:tr>
      <w:tr w14:paraId="1BBC4B46">
        <w:tblPrEx>
          <w:tblW w:w="0" w:type="auto"/>
          <w:jc w:val="center"/>
          <w:tblLayout w:type="fixed"/>
          <w:tblCellMar>
            <w:top w:w="0" w:type="dxa"/>
            <w:left w:w="108" w:type="dxa"/>
            <w:bottom w:w="0" w:type="dxa"/>
            <w:right w:w="108" w:type="dxa"/>
          </w:tblCellMar>
        </w:tblPrEx>
        <w:trPr>
          <w:trHeight w:val="625"/>
          <w:jc w:val="center"/>
        </w:trPr>
        <w:tc>
          <w:tcPr>
            <w:tcW w:w="921" w:type="dxa"/>
            <w:tcBorders>
              <w:top w:val="single" w:sz="2" w:space="0" w:color="auto"/>
              <w:left w:val="single" w:sz="2" w:space="0" w:color="auto"/>
              <w:bottom w:val="single" w:sz="2" w:space="0" w:color="auto"/>
              <w:right w:val="single" w:sz="2" w:space="0" w:color="auto"/>
            </w:tcBorders>
            <w:vAlign w:val="center"/>
          </w:tcPr>
          <w:p w14:paraId="256CBDD4">
            <w:pPr>
              <w:spacing w:line="360" w:lineRule="auto"/>
              <w:jc w:val="center"/>
              <w:rPr>
                <w:rFonts w:ascii="宋体" w:hAnsi="宋体"/>
              </w:rPr>
            </w:pPr>
            <w:r>
              <w:rPr>
                <w:rFonts w:ascii="宋体" w:hAnsi="宋体" w:hint="eastAsia"/>
              </w:rPr>
              <w:t>2</w:t>
            </w:r>
          </w:p>
        </w:tc>
        <w:tc>
          <w:tcPr>
            <w:tcW w:w="2481" w:type="dxa"/>
            <w:tcBorders>
              <w:top w:val="single" w:sz="2" w:space="0" w:color="auto"/>
              <w:left w:val="single" w:sz="2" w:space="0" w:color="auto"/>
              <w:bottom w:val="single" w:sz="2" w:space="0" w:color="auto"/>
              <w:right w:val="single" w:sz="2" w:space="0" w:color="auto"/>
            </w:tcBorders>
            <w:vAlign w:val="center"/>
          </w:tcPr>
          <w:p w14:paraId="5800AFA3">
            <w:pPr>
              <w:spacing w:line="360" w:lineRule="auto"/>
              <w:jc w:val="center"/>
              <w:rPr>
                <w:rFonts w:ascii="宋体" w:hAnsi="宋体"/>
              </w:rPr>
            </w:pPr>
          </w:p>
        </w:tc>
        <w:tc>
          <w:tcPr>
            <w:tcW w:w="5103" w:type="dxa"/>
            <w:tcBorders>
              <w:top w:val="single" w:sz="2" w:space="0" w:color="auto"/>
              <w:left w:val="single" w:sz="2" w:space="0" w:color="auto"/>
              <w:bottom w:val="single" w:sz="2" w:space="0" w:color="auto"/>
              <w:right w:val="single" w:sz="2" w:space="0" w:color="auto"/>
            </w:tcBorders>
            <w:vAlign w:val="center"/>
          </w:tcPr>
          <w:p w14:paraId="113E9F77">
            <w:pPr>
              <w:spacing w:line="360" w:lineRule="auto"/>
              <w:jc w:val="center"/>
              <w:rPr>
                <w:rFonts w:ascii="宋体" w:hAnsi="宋体"/>
              </w:rPr>
            </w:pPr>
          </w:p>
        </w:tc>
      </w:tr>
      <w:tr w14:paraId="4F500834">
        <w:tblPrEx>
          <w:tblW w:w="0" w:type="auto"/>
          <w:jc w:val="center"/>
          <w:tblLayout w:type="fixed"/>
          <w:tblCellMar>
            <w:top w:w="0" w:type="dxa"/>
            <w:left w:w="108" w:type="dxa"/>
            <w:bottom w:w="0" w:type="dxa"/>
            <w:right w:w="108" w:type="dxa"/>
          </w:tblCellMar>
        </w:tblPrEx>
        <w:trPr>
          <w:trHeight w:val="640"/>
          <w:jc w:val="center"/>
        </w:trPr>
        <w:tc>
          <w:tcPr>
            <w:tcW w:w="921" w:type="dxa"/>
            <w:tcBorders>
              <w:top w:val="single" w:sz="2" w:space="0" w:color="auto"/>
              <w:left w:val="single" w:sz="2" w:space="0" w:color="auto"/>
              <w:bottom w:val="single" w:sz="2" w:space="0" w:color="auto"/>
              <w:right w:val="single" w:sz="2" w:space="0" w:color="auto"/>
            </w:tcBorders>
            <w:vAlign w:val="center"/>
          </w:tcPr>
          <w:p w14:paraId="778927F8">
            <w:pPr>
              <w:spacing w:line="360" w:lineRule="auto"/>
              <w:jc w:val="center"/>
              <w:rPr>
                <w:rFonts w:ascii="宋体" w:hAnsi="宋体"/>
              </w:rPr>
            </w:pPr>
            <w:r>
              <w:rPr>
                <w:rFonts w:ascii="宋体" w:hAnsi="宋体" w:hint="eastAsia"/>
              </w:rPr>
              <w:t>3</w:t>
            </w:r>
          </w:p>
        </w:tc>
        <w:tc>
          <w:tcPr>
            <w:tcW w:w="2481" w:type="dxa"/>
            <w:tcBorders>
              <w:top w:val="single" w:sz="2" w:space="0" w:color="auto"/>
              <w:left w:val="single" w:sz="2" w:space="0" w:color="auto"/>
              <w:bottom w:val="single" w:sz="2" w:space="0" w:color="auto"/>
              <w:right w:val="single" w:sz="2" w:space="0" w:color="auto"/>
            </w:tcBorders>
            <w:vAlign w:val="center"/>
          </w:tcPr>
          <w:p w14:paraId="4AB9F15A">
            <w:pPr>
              <w:spacing w:line="360" w:lineRule="auto"/>
              <w:jc w:val="center"/>
              <w:rPr>
                <w:rFonts w:ascii="宋体" w:hAnsi="宋体"/>
              </w:rPr>
            </w:pPr>
          </w:p>
        </w:tc>
        <w:tc>
          <w:tcPr>
            <w:tcW w:w="5103" w:type="dxa"/>
            <w:tcBorders>
              <w:top w:val="single" w:sz="2" w:space="0" w:color="auto"/>
              <w:left w:val="single" w:sz="2" w:space="0" w:color="auto"/>
              <w:bottom w:val="single" w:sz="2" w:space="0" w:color="auto"/>
              <w:right w:val="single" w:sz="2" w:space="0" w:color="auto"/>
            </w:tcBorders>
            <w:vAlign w:val="center"/>
          </w:tcPr>
          <w:p w14:paraId="4375F5ED">
            <w:pPr>
              <w:spacing w:line="360" w:lineRule="auto"/>
              <w:jc w:val="center"/>
              <w:rPr>
                <w:rFonts w:ascii="宋体" w:hAnsi="宋体"/>
              </w:rPr>
            </w:pPr>
          </w:p>
        </w:tc>
      </w:tr>
      <w:tr w14:paraId="750FDE98">
        <w:tblPrEx>
          <w:tblW w:w="0" w:type="auto"/>
          <w:jc w:val="center"/>
          <w:tblLayout w:type="fixed"/>
          <w:tblCellMar>
            <w:top w:w="0" w:type="dxa"/>
            <w:left w:w="108" w:type="dxa"/>
            <w:bottom w:w="0" w:type="dxa"/>
            <w:right w:w="108" w:type="dxa"/>
          </w:tblCellMar>
        </w:tblPrEx>
        <w:trPr>
          <w:trHeight w:val="640"/>
          <w:jc w:val="center"/>
        </w:trPr>
        <w:tc>
          <w:tcPr>
            <w:tcW w:w="921" w:type="dxa"/>
            <w:tcBorders>
              <w:top w:val="single" w:sz="2" w:space="0" w:color="auto"/>
              <w:left w:val="single" w:sz="2" w:space="0" w:color="auto"/>
              <w:bottom w:val="single" w:sz="2" w:space="0" w:color="auto"/>
              <w:right w:val="single" w:sz="2" w:space="0" w:color="auto"/>
            </w:tcBorders>
            <w:vAlign w:val="center"/>
          </w:tcPr>
          <w:p w14:paraId="3B23F95D">
            <w:pPr>
              <w:spacing w:line="360" w:lineRule="auto"/>
              <w:jc w:val="center"/>
              <w:rPr>
                <w:rFonts w:ascii="宋体" w:hAnsi="宋体"/>
              </w:rPr>
            </w:pPr>
            <w:r>
              <w:rPr>
                <w:rFonts w:ascii="宋体" w:hAnsi="宋体" w:hint="eastAsia"/>
              </w:rPr>
              <w:t>4</w:t>
            </w:r>
          </w:p>
        </w:tc>
        <w:tc>
          <w:tcPr>
            <w:tcW w:w="2481" w:type="dxa"/>
            <w:tcBorders>
              <w:top w:val="single" w:sz="2" w:space="0" w:color="auto"/>
              <w:left w:val="single" w:sz="2" w:space="0" w:color="auto"/>
              <w:bottom w:val="single" w:sz="2" w:space="0" w:color="auto"/>
              <w:right w:val="single" w:sz="2" w:space="0" w:color="auto"/>
            </w:tcBorders>
            <w:vAlign w:val="center"/>
          </w:tcPr>
          <w:p w14:paraId="02F9B29D">
            <w:pPr>
              <w:spacing w:line="360" w:lineRule="auto"/>
              <w:jc w:val="center"/>
              <w:rPr>
                <w:rFonts w:ascii="宋体" w:hAnsi="宋体"/>
              </w:rPr>
            </w:pPr>
          </w:p>
        </w:tc>
        <w:tc>
          <w:tcPr>
            <w:tcW w:w="5103" w:type="dxa"/>
            <w:tcBorders>
              <w:top w:val="single" w:sz="2" w:space="0" w:color="auto"/>
              <w:left w:val="single" w:sz="2" w:space="0" w:color="auto"/>
              <w:bottom w:val="single" w:sz="2" w:space="0" w:color="auto"/>
              <w:right w:val="single" w:sz="2" w:space="0" w:color="auto"/>
            </w:tcBorders>
            <w:vAlign w:val="center"/>
          </w:tcPr>
          <w:p w14:paraId="7E4C81B9">
            <w:pPr>
              <w:spacing w:line="360" w:lineRule="auto"/>
              <w:jc w:val="center"/>
              <w:rPr>
                <w:rFonts w:ascii="宋体" w:hAnsi="宋体"/>
              </w:rPr>
            </w:pPr>
          </w:p>
        </w:tc>
      </w:tr>
      <w:tr w14:paraId="2F168D17">
        <w:tblPrEx>
          <w:tblW w:w="0" w:type="auto"/>
          <w:jc w:val="center"/>
          <w:tblLayout w:type="fixed"/>
          <w:tblCellMar>
            <w:top w:w="0" w:type="dxa"/>
            <w:left w:w="108" w:type="dxa"/>
            <w:bottom w:w="0" w:type="dxa"/>
            <w:right w:w="108" w:type="dxa"/>
          </w:tblCellMar>
        </w:tblPrEx>
        <w:trPr>
          <w:trHeight w:val="625"/>
          <w:jc w:val="center"/>
        </w:trPr>
        <w:tc>
          <w:tcPr>
            <w:tcW w:w="921" w:type="dxa"/>
            <w:tcBorders>
              <w:top w:val="single" w:sz="2" w:space="0" w:color="auto"/>
              <w:left w:val="single" w:sz="2" w:space="0" w:color="auto"/>
              <w:bottom w:val="single" w:sz="2" w:space="0" w:color="auto"/>
              <w:right w:val="single" w:sz="2" w:space="0" w:color="auto"/>
            </w:tcBorders>
            <w:vAlign w:val="center"/>
          </w:tcPr>
          <w:p w14:paraId="25ECFE40">
            <w:pPr>
              <w:spacing w:line="360" w:lineRule="auto"/>
              <w:jc w:val="center"/>
              <w:rPr>
                <w:rFonts w:ascii="宋体" w:hAnsi="宋体"/>
              </w:rPr>
            </w:pPr>
            <w:r>
              <w:rPr>
                <w:rFonts w:ascii="宋体" w:hAnsi="宋体" w:hint="eastAsia"/>
              </w:rPr>
              <w:t>5</w:t>
            </w:r>
          </w:p>
        </w:tc>
        <w:tc>
          <w:tcPr>
            <w:tcW w:w="2481" w:type="dxa"/>
            <w:tcBorders>
              <w:top w:val="single" w:sz="2" w:space="0" w:color="auto"/>
              <w:left w:val="single" w:sz="2" w:space="0" w:color="auto"/>
              <w:bottom w:val="single" w:sz="2" w:space="0" w:color="auto"/>
              <w:right w:val="single" w:sz="2" w:space="0" w:color="auto"/>
            </w:tcBorders>
            <w:vAlign w:val="center"/>
          </w:tcPr>
          <w:p w14:paraId="28D41D80">
            <w:pPr>
              <w:spacing w:line="360" w:lineRule="auto"/>
              <w:jc w:val="center"/>
              <w:rPr>
                <w:rFonts w:ascii="宋体" w:hAnsi="宋体"/>
              </w:rPr>
            </w:pPr>
          </w:p>
        </w:tc>
        <w:tc>
          <w:tcPr>
            <w:tcW w:w="5103" w:type="dxa"/>
            <w:tcBorders>
              <w:top w:val="single" w:sz="2" w:space="0" w:color="auto"/>
              <w:left w:val="single" w:sz="2" w:space="0" w:color="auto"/>
              <w:bottom w:val="single" w:sz="2" w:space="0" w:color="auto"/>
              <w:right w:val="single" w:sz="2" w:space="0" w:color="auto"/>
            </w:tcBorders>
            <w:vAlign w:val="center"/>
          </w:tcPr>
          <w:p w14:paraId="357C314C">
            <w:pPr>
              <w:spacing w:line="360" w:lineRule="auto"/>
              <w:jc w:val="center"/>
              <w:rPr>
                <w:rFonts w:ascii="宋体" w:hAnsi="宋体"/>
              </w:rPr>
            </w:pPr>
          </w:p>
        </w:tc>
      </w:tr>
      <w:tr w14:paraId="771107CF">
        <w:tblPrEx>
          <w:tblW w:w="0" w:type="auto"/>
          <w:jc w:val="center"/>
          <w:tblLayout w:type="fixed"/>
          <w:tblCellMar>
            <w:top w:w="0" w:type="dxa"/>
            <w:left w:w="108" w:type="dxa"/>
            <w:bottom w:w="0" w:type="dxa"/>
            <w:right w:w="108" w:type="dxa"/>
          </w:tblCellMar>
        </w:tblPrEx>
        <w:trPr>
          <w:trHeight w:val="640"/>
          <w:jc w:val="center"/>
        </w:trPr>
        <w:tc>
          <w:tcPr>
            <w:tcW w:w="921" w:type="dxa"/>
            <w:tcBorders>
              <w:top w:val="single" w:sz="2" w:space="0" w:color="auto"/>
              <w:left w:val="single" w:sz="2" w:space="0" w:color="auto"/>
              <w:bottom w:val="single" w:sz="2" w:space="0" w:color="auto"/>
              <w:right w:val="single" w:sz="2" w:space="0" w:color="auto"/>
            </w:tcBorders>
            <w:vAlign w:val="center"/>
          </w:tcPr>
          <w:p w14:paraId="6A7B8005">
            <w:pPr>
              <w:spacing w:line="360" w:lineRule="auto"/>
              <w:jc w:val="center"/>
              <w:rPr>
                <w:rFonts w:ascii="宋体" w:hAnsi="宋体"/>
              </w:rPr>
            </w:pPr>
            <w:r>
              <w:rPr>
                <w:rFonts w:ascii="宋体" w:hAnsi="宋体" w:hint="eastAsia"/>
              </w:rPr>
              <w:t>……</w:t>
            </w:r>
          </w:p>
        </w:tc>
        <w:tc>
          <w:tcPr>
            <w:tcW w:w="2481" w:type="dxa"/>
            <w:tcBorders>
              <w:top w:val="single" w:sz="2" w:space="0" w:color="auto"/>
              <w:left w:val="single" w:sz="2" w:space="0" w:color="auto"/>
              <w:bottom w:val="single" w:sz="2" w:space="0" w:color="auto"/>
              <w:right w:val="single" w:sz="2" w:space="0" w:color="auto"/>
            </w:tcBorders>
            <w:vAlign w:val="center"/>
          </w:tcPr>
          <w:p w14:paraId="36E05D4C">
            <w:pPr>
              <w:spacing w:line="360" w:lineRule="auto"/>
              <w:jc w:val="center"/>
              <w:rPr>
                <w:rFonts w:ascii="宋体" w:hAnsi="宋体"/>
              </w:rPr>
            </w:pPr>
            <w:r>
              <w:rPr>
                <w:rFonts w:ascii="宋体" w:hAnsi="宋体" w:hint="eastAsia"/>
              </w:rPr>
              <w:t>……</w:t>
            </w:r>
          </w:p>
        </w:tc>
        <w:tc>
          <w:tcPr>
            <w:tcW w:w="5103" w:type="dxa"/>
            <w:tcBorders>
              <w:top w:val="single" w:sz="2" w:space="0" w:color="auto"/>
              <w:left w:val="single" w:sz="2" w:space="0" w:color="auto"/>
              <w:bottom w:val="single" w:sz="2" w:space="0" w:color="auto"/>
              <w:right w:val="single" w:sz="2" w:space="0" w:color="auto"/>
            </w:tcBorders>
            <w:vAlign w:val="center"/>
          </w:tcPr>
          <w:p w14:paraId="717FE224">
            <w:pPr>
              <w:spacing w:line="360" w:lineRule="auto"/>
              <w:jc w:val="center"/>
              <w:rPr>
                <w:rFonts w:ascii="宋体" w:hAnsi="宋体"/>
              </w:rPr>
            </w:pPr>
          </w:p>
        </w:tc>
      </w:tr>
    </w:tbl>
    <w:p w14:paraId="2864E706">
      <w:pPr>
        <w:rPr>
          <w:rFonts w:ascii="宋体" w:hAnsi="宋体"/>
          <w:kern w:val="2"/>
          <w:sz w:val="27"/>
          <w:szCs w:val="22"/>
        </w:rPr>
      </w:pPr>
    </w:p>
    <w:p w14:paraId="2F9218CE">
      <w:pPr>
        <w:rPr>
          <w:rFonts w:ascii="宋体" w:hAnsi="宋体"/>
          <w:sz w:val="27"/>
        </w:rPr>
      </w:pPr>
      <w:r>
        <w:rPr>
          <w:rFonts w:ascii="宋体" w:hAnsi="宋体" w:hint="eastAsia"/>
          <w:sz w:val="27"/>
        </w:rPr>
        <w:br w:type="page"/>
      </w:r>
    </w:p>
    <w:p w14:paraId="29E8BBB4">
      <w:pPr>
        <w:rPr>
          <w:rFonts w:ascii="宋体" w:hAnsi="宋体"/>
          <w:sz w:val="27"/>
        </w:rPr>
      </w:pPr>
    </w:p>
    <w:p w14:paraId="2F0421C9">
      <w:pPr>
        <w:pStyle w:val="Heading2"/>
        <w:rPr>
          <w:rFonts w:ascii="宋体" w:hAnsi="宋体"/>
          <w:sz w:val="24"/>
          <w:szCs w:val="24"/>
        </w:rPr>
      </w:pPr>
      <w:r>
        <w:rPr>
          <w:rFonts w:ascii="宋体" w:hAnsi="宋体" w:hint="eastAsia"/>
          <w:sz w:val="24"/>
          <w:szCs w:val="24"/>
        </w:rPr>
        <w:t>附表A-2：形式评审记录表</w:t>
      </w:r>
    </w:p>
    <w:p w14:paraId="3BBE9B8C">
      <w:pPr>
        <w:rPr>
          <w:rFonts w:ascii="宋体" w:hAnsi="宋体"/>
          <w:b/>
          <w:sz w:val="27"/>
          <w:szCs w:val="22"/>
          <w:lang w:eastAsia="zh-CN"/>
        </w:rPr>
      </w:pPr>
    </w:p>
    <w:p w14:paraId="77A46795">
      <w:pPr>
        <w:spacing w:line="360" w:lineRule="auto"/>
        <w:jc w:val="center"/>
        <w:rPr>
          <w:rFonts w:ascii="宋体" w:hAnsi="宋体"/>
          <w:b/>
          <w:lang w:eastAsia="zh-CN"/>
        </w:rPr>
      </w:pPr>
      <w:r>
        <w:rPr>
          <w:rFonts w:ascii="宋体" w:hAnsi="宋体" w:hint="eastAsia"/>
          <w:b/>
          <w:lang w:eastAsia="zh-CN"/>
        </w:rPr>
        <w:t>形式评审记录表</w:t>
      </w:r>
    </w:p>
    <w:p w14:paraId="322AC1CE">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888"/>
        <w:gridCol w:w="1899"/>
        <w:gridCol w:w="640"/>
        <w:gridCol w:w="595"/>
        <w:gridCol w:w="744"/>
        <w:gridCol w:w="791"/>
        <w:gridCol w:w="731"/>
        <w:gridCol w:w="877"/>
        <w:gridCol w:w="1027"/>
      </w:tblGrid>
      <w:tr w14:paraId="0E7C8C0B">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593"/>
          <w:jc w:val="center"/>
        </w:trPr>
        <w:tc>
          <w:tcPr>
            <w:tcW w:w="888" w:type="dxa"/>
            <w:vMerge w:val="restart"/>
            <w:tcBorders>
              <w:top w:val="single" w:sz="2" w:space="0" w:color="auto"/>
              <w:left w:val="single" w:sz="2" w:space="0" w:color="auto"/>
              <w:bottom w:val="single" w:sz="2" w:space="0" w:color="auto"/>
              <w:right w:val="single" w:sz="2" w:space="0" w:color="auto"/>
            </w:tcBorders>
            <w:vAlign w:val="center"/>
          </w:tcPr>
          <w:p w14:paraId="719AF0EA">
            <w:pPr>
              <w:spacing w:line="360" w:lineRule="auto"/>
              <w:jc w:val="center"/>
              <w:rPr>
                <w:rFonts w:ascii="宋体" w:hAnsi="宋体"/>
              </w:rPr>
            </w:pPr>
            <w:r>
              <w:rPr>
                <w:rFonts w:ascii="宋体" w:hAnsi="宋体" w:hint="eastAsia"/>
              </w:rPr>
              <w:t>序号</w:t>
            </w:r>
          </w:p>
        </w:tc>
        <w:tc>
          <w:tcPr>
            <w:tcW w:w="1899" w:type="dxa"/>
            <w:vMerge w:val="restart"/>
            <w:tcBorders>
              <w:top w:val="single" w:sz="2" w:space="0" w:color="auto"/>
              <w:left w:val="single" w:sz="2" w:space="0" w:color="auto"/>
              <w:bottom w:val="single" w:sz="2" w:space="0" w:color="auto"/>
              <w:right w:val="single" w:sz="2" w:space="0" w:color="auto"/>
            </w:tcBorders>
            <w:vAlign w:val="center"/>
          </w:tcPr>
          <w:p w14:paraId="62203380">
            <w:pPr>
              <w:spacing w:line="360" w:lineRule="auto"/>
              <w:jc w:val="center"/>
              <w:rPr>
                <w:rFonts w:ascii="宋体" w:hAnsi="宋体"/>
              </w:rPr>
            </w:pPr>
            <w:r>
              <w:rPr>
                <w:rFonts w:ascii="宋体" w:hAnsi="宋体" w:hint="eastAsia"/>
              </w:rPr>
              <w:t>评审因素</w:t>
            </w:r>
          </w:p>
        </w:tc>
        <w:tc>
          <w:tcPr>
            <w:tcW w:w="5405" w:type="dxa"/>
            <w:gridSpan w:val="7"/>
            <w:tcBorders>
              <w:top w:val="single" w:sz="2" w:space="0" w:color="auto"/>
              <w:left w:val="single" w:sz="2" w:space="0" w:color="auto"/>
              <w:bottom w:val="single" w:sz="2" w:space="0" w:color="auto"/>
              <w:right w:val="single" w:sz="2" w:space="0" w:color="auto"/>
            </w:tcBorders>
            <w:vAlign w:val="center"/>
          </w:tcPr>
          <w:p w14:paraId="48D6C407">
            <w:pPr>
              <w:spacing w:line="360" w:lineRule="auto"/>
              <w:jc w:val="center"/>
              <w:rPr>
                <w:rFonts w:ascii="宋体" w:hAnsi="宋体"/>
                <w:lang w:eastAsia="zh-CN"/>
              </w:rPr>
            </w:pPr>
            <w:r>
              <w:rPr>
                <w:rFonts w:ascii="宋体" w:hAnsi="宋体" w:hint="eastAsia"/>
                <w:lang w:eastAsia="zh-CN"/>
              </w:rPr>
              <w:t>投标人名称及评审意见</w:t>
            </w:r>
          </w:p>
        </w:tc>
      </w:tr>
      <w:tr w14:paraId="1319F1A6">
        <w:tblPrEx>
          <w:tblW w:w="0" w:type="auto"/>
          <w:jc w:val="center"/>
          <w:tblLayout w:type="fixed"/>
          <w:tblCellMar>
            <w:top w:w="0" w:type="dxa"/>
            <w:left w:w="108" w:type="dxa"/>
            <w:bottom w:w="0" w:type="dxa"/>
            <w:right w:w="108" w:type="dxa"/>
          </w:tblCellMar>
        </w:tblPrEx>
        <w:trPr>
          <w:trHeight w:val="593"/>
          <w:jc w:val="center"/>
        </w:trPr>
        <w:tc>
          <w:tcPr>
            <w:tcW w:w="888" w:type="dxa"/>
            <w:vMerge/>
            <w:tcBorders>
              <w:top w:val="single" w:sz="2" w:space="0" w:color="auto"/>
              <w:left w:val="single" w:sz="2" w:space="0" w:color="auto"/>
              <w:bottom w:val="single" w:sz="2" w:space="0" w:color="auto"/>
              <w:right w:val="single" w:sz="2" w:space="0" w:color="auto"/>
            </w:tcBorders>
            <w:vAlign w:val="center"/>
          </w:tcPr>
          <w:p w14:paraId="25C1630D">
            <w:pPr>
              <w:rPr>
                <w:rFonts w:ascii="宋体" w:eastAsia="宋体" w:hAnsi="宋体"/>
                <w:kern w:val="2"/>
                <w:lang w:eastAsia="zh-CN"/>
              </w:rPr>
            </w:pPr>
          </w:p>
        </w:tc>
        <w:tc>
          <w:tcPr>
            <w:tcW w:w="1899" w:type="dxa"/>
            <w:vMerge/>
            <w:tcBorders>
              <w:top w:val="single" w:sz="2" w:space="0" w:color="auto"/>
              <w:left w:val="single" w:sz="2" w:space="0" w:color="auto"/>
              <w:bottom w:val="single" w:sz="2" w:space="0" w:color="auto"/>
              <w:right w:val="single" w:sz="2" w:space="0" w:color="auto"/>
            </w:tcBorders>
            <w:vAlign w:val="center"/>
          </w:tcPr>
          <w:p w14:paraId="6CE1C496">
            <w:pPr>
              <w:rPr>
                <w:rFonts w:ascii="宋体" w:eastAsia="宋体" w:hAnsi="宋体"/>
                <w:kern w:val="2"/>
                <w:lang w:eastAsia="zh-CN"/>
              </w:rPr>
            </w:pPr>
          </w:p>
        </w:tc>
        <w:tc>
          <w:tcPr>
            <w:tcW w:w="640" w:type="dxa"/>
            <w:tcBorders>
              <w:top w:val="single" w:sz="2" w:space="0" w:color="auto"/>
              <w:left w:val="single" w:sz="2" w:space="0" w:color="auto"/>
              <w:bottom w:val="single" w:sz="2" w:space="0" w:color="auto"/>
              <w:right w:val="single" w:sz="2" w:space="0" w:color="auto"/>
            </w:tcBorders>
            <w:vAlign w:val="center"/>
          </w:tcPr>
          <w:p w14:paraId="2531695A">
            <w:pPr>
              <w:spacing w:line="360" w:lineRule="auto"/>
              <w:jc w:val="center"/>
              <w:rPr>
                <w:rFonts w:ascii="宋体" w:hAnsi="宋体"/>
                <w:lang w:eastAsia="zh-CN"/>
              </w:rPr>
            </w:pPr>
          </w:p>
        </w:tc>
        <w:tc>
          <w:tcPr>
            <w:tcW w:w="595" w:type="dxa"/>
            <w:tcBorders>
              <w:top w:val="single" w:sz="2" w:space="0" w:color="auto"/>
              <w:left w:val="single" w:sz="2" w:space="0" w:color="auto"/>
              <w:bottom w:val="single" w:sz="2" w:space="0" w:color="auto"/>
              <w:right w:val="single" w:sz="2" w:space="0" w:color="auto"/>
            </w:tcBorders>
            <w:vAlign w:val="center"/>
          </w:tcPr>
          <w:p w14:paraId="79BEFF51">
            <w:pPr>
              <w:spacing w:line="360" w:lineRule="auto"/>
              <w:jc w:val="center"/>
              <w:rPr>
                <w:rFonts w:ascii="宋体" w:hAnsi="宋体"/>
                <w:lang w:eastAsia="zh-CN"/>
              </w:rPr>
            </w:pPr>
          </w:p>
        </w:tc>
        <w:tc>
          <w:tcPr>
            <w:tcW w:w="744" w:type="dxa"/>
            <w:tcBorders>
              <w:top w:val="single" w:sz="2" w:space="0" w:color="auto"/>
              <w:left w:val="single" w:sz="2" w:space="0" w:color="auto"/>
              <w:bottom w:val="single" w:sz="2" w:space="0" w:color="auto"/>
              <w:right w:val="single" w:sz="2" w:space="0" w:color="auto"/>
            </w:tcBorders>
            <w:vAlign w:val="center"/>
          </w:tcPr>
          <w:p w14:paraId="740D8496">
            <w:pPr>
              <w:spacing w:line="360" w:lineRule="auto"/>
              <w:jc w:val="center"/>
              <w:rPr>
                <w:rFonts w:ascii="宋体" w:hAnsi="宋体"/>
                <w:lang w:eastAsia="zh-CN"/>
              </w:rPr>
            </w:pPr>
          </w:p>
        </w:tc>
        <w:tc>
          <w:tcPr>
            <w:tcW w:w="791" w:type="dxa"/>
            <w:tcBorders>
              <w:top w:val="single" w:sz="2" w:space="0" w:color="auto"/>
              <w:left w:val="single" w:sz="2" w:space="0" w:color="auto"/>
              <w:bottom w:val="single" w:sz="2" w:space="0" w:color="auto"/>
              <w:right w:val="single" w:sz="2" w:space="0" w:color="auto"/>
            </w:tcBorders>
            <w:vAlign w:val="center"/>
          </w:tcPr>
          <w:p w14:paraId="6C864146">
            <w:pPr>
              <w:spacing w:line="360" w:lineRule="auto"/>
              <w:jc w:val="center"/>
              <w:rPr>
                <w:rFonts w:ascii="宋体" w:hAnsi="宋体"/>
                <w:lang w:eastAsia="zh-CN"/>
              </w:rPr>
            </w:pPr>
          </w:p>
        </w:tc>
        <w:tc>
          <w:tcPr>
            <w:tcW w:w="731" w:type="dxa"/>
            <w:tcBorders>
              <w:top w:val="single" w:sz="2" w:space="0" w:color="auto"/>
              <w:left w:val="single" w:sz="2" w:space="0" w:color="auto"/>
              <w:bottom w:val="single" w:sz="2" w:space="0" w:color="auto"/>
              <w:right w:val="single" w:sz="2" w:space="0" w:color="auto"/>
            </w:tcBorders>
            <w:vAlign w:val="center"/>
          </w:tcPr>
          <w:p w14:paraId="545A8022">
            <w:pPr>
              <w:spacing w:line="360" w:lineRule="auto"/>
              <w:jc w:val="center"/>
              <w:rPr>
                <w:rFonts w:ascii="宋体" w:hAnsi="宋体"/>
                <w:lang w:eastAsia="zh-CN"/>
              </w:rPr>
            </w:pPr>
          </w:p>
        </w:tc>
        <w:tc>
          <w:tcPr>
            <w:tcW w:w="877" w:type="dxa"/>
            <w:tcBorders>
              <w:top w:val="single" w:sz="2" w:space="0" w:color="auto"/>
              <w:left w:val="single" w:sz="2" w:space="0" w:color="auto"/>
              <w:bottom w:val="single" w:sz="2" w:space="0" w:color="auto"/>
              <w:right w:val="single" w:sz="2" w:space="0" w:color="auto"/>
            </w:tcBorders>
            <w:vAlign w:val="center"/>
          </w:tcPr>
          <w:p w14:paraId="44C04E24">
            <w:pPr>
              <w:spacing w:line="360" w:lineRule="auto"/>
              <w:jc w:val="center"/>
              <w:rPr>
                <w:rFonts w:ascii="宋体" w:hAnsi="宋体"/>
                <w:lang w:eastAsia="zh-CN"/>
              </w:rPr>
            </w:pPr>
          </w:p>
        </w:tc>
        <w:tc>
          <w:tcPr>
            <w:tcW w:w="1027" w:type="dxa"/>
            <w:tcBorders>
              <w:top w:val="single" w:sz="2" w:space="0" w:color="auto"/>
              <w:left w:val="single" w:sz="2" w:space="0" w:color="auto"/>
              <w:bottom w:val="single" w:sz="2" w:space="0" w:color="auto"/>
              <w:right w:val="single" w:sz="2" w:space="0" w:color="auto"/>
            </w:tcBorders>
            <w:vAlign w:val="center"/>
          </w:tcPr>
          <w:p w14:paraId="543D02D7">
            <w:pPr>
              <w:spacing w:line="360" w:lineRule="auto"/>
              <w:jc w:val="center"/>
              <w:rPr>
                <w:rFonts w:ascii="宋体" w:hAnsi="宋体"/>
                <w:lang w:eastAsia="zh-CN"/>
              </w:rPr>
            </w:pPr>
          </w:p>
        </w:tc>
      </w:tr>
      <w:tr w14:paraId="052BA144">
        <w:tblPrEx>
          <w:tblW w:w="0" w:type="auto"/>
          <w:jc w:val="center"/>
          <w:tblLayout w:type="fixed"/>
          <w:tblCellMar>
            <w:top w:w="0" w:type="dxa"/>
            <w:left w:w="108" w:type="dxa"/>
            <w:bottom w:w="0" w:type="dxa"/>
            <w:right w:w="108" w:type="dxa"/>
          </w:tblCellMar>
        </w:tblPrEx>
        <w:trPr>
          <w:trHeight w:val="613"/>
          <w:jc w:val="center"/>
        </w:trPr>
        <w:tc>
          <w:tcPr>
            <w:tcW w:w="888" w:type="dxa"/>
            <w:tcBorders>
              <w:top w:val="single" w:sz="2" w:space="0" w:color="auto"/>
              <w:left w:val="single" w:sz="2" w:space="0" w:color="auto"/>
              <w:bottom w:val="single" w:sz="2" w:space="0" w:color="auto"/>
              <w:right w:val="single" w:sz="2" w:space="0" w:color="auto"/>
            </w:tcBorders>
            <w:vAlign w:val="center"/>
          </w:tcPr>
          <w:p w14:paraId="746F8B27">
            <w:pPr>
              <w:spacing w:line="360" w:lineRule="auto"/>
              <w:jc w:val="center"/>
              <w:rPr>
                <w:rFonts w:ascii="宋体" w:hAnsi="宋体"/>
              </w:rPr>
            </w:pPr>
            <w:r>
              <w:rPr>
                <w:rFonts w:ascii="宋体" w:hAnsi="宋体" w:hint="eastAsia"/>
              </w:rPr>
              <w:t>1</w:t>
            </w:r>
          </w:p>
        </w:tc>
        <w:tc>
          <w:tcPr>
            <w:tcW w:w="1899" w:type="dxa"/>
            <w:tcBorders>
              <w:top w:val="single" w:sz="2" w:space="0" w:color="auto"/>
              <w:left w:val="single" w:sz="2" w:space="0" w:color="auto"/>
              <w:bottom w:val="single" w:sz="2" w:space="0" w:color="auto"/>
              <w:right w:val="single" w:sz="2" w:space="0" w:color="auto"/>
            </w:tcBorders>
            <w:vAlign w:val="center"/>
          </w:tcPr>
          <w:p w14:paraId="14216FEE">
            <w:pPr>
              <w:spacing w:line="360" w:lineRule="auto"/>
              <w:jc w:val="center"/>
              <w:rPr>
                <w:rFonts w:ascii="宋体" w:hAnsi="宋体"/>
              </w:rPr>
            </w:pPr>
            <w:r>
              <w:rPr>
                <w:rFonts w:ascii="宋体" w:hAnsi="宋体" w:hint="eastAsia"/>
              </w:rPr>
              <w:t>投标人名称</w:t>
            </w:r>
          </w:p>
        </w:tc>
        <w:tc>
          <w:tcPr>
            <w:tcW w:w="640" w:type="dxa"/>
            <w:tcBorders>
              <w:top w:val="single" w:sz="2" w:space="0" w:color="auto"/>
              <w:left w:val="single" w:sz="2" w:space="0" w:color="auto"/>
              <w:bottom w:val="single" w:sz="2" w:space="0" w:color="auto"/>
              <w:right w:val="single" w:sz="2" w:space="0" w:color="auto"/>
            </w:tcBorders>
            <w:vAlign w:val="center"/>
          </w:tcPr>
          <w:p w14:paraId="2FE68142">
            <w:pPr>
              <w:spacing w:line="360" w:lineRule="auto"/>
              <w:jc w:val="center"/>
              <w:rPr>
                <w:rFonts w:ascii="宋体" w:hAnsi="宋体"/>
              </w:rPr>
            </w:pPr>
          </w:p>
        </w:tc>
        <w:tc>
          <w:tcPr>
            <w:tcW w:w="595" w:type="dxa"/>
            <w:tcBorders>
              <w:top w:val="single" w:sz="2" w:space="0" w:color="auto"/>
              <w:left w:val="single" w:sz="2" w:space="0" w:color="auto"/>
              <w:bottom w:val="single" w:sz="2" w:space="0" w:color="auto"/>
              <w:right w:val="single" w:sz="2" w:space="0" w:color="auto"/>
            </w:tcBorders>
            <w:vAlign w:val="center"/>
          </w:tcPr>
          <w:p w14:paraId="73917407">
            <w:pPr>
              <w:spacing w:line="360" w:lineRule="auto"/>
              <w:jc w:val="center"/>
              <w:rPr>
                <w:rFonts w:ascii="宋体" w:hAnsi="宋体"/>
              </w:rPr>
            </w:pPr>
          </w:p>
        </w:tc>
        <w:tc>
          <w:tcPr>
            <w:tcW w:w="744" w:type="dxa"/>
            <w:tcBorders>
              <w:top w:val="single" w:sz="2" w:space="0" w:color="auto"/>
              <w:left w:val="single" w:sz="2" w:space="0" w:color="auto"/>
              <w:bottom w:val="single" w:sz="2" w:space="0" w:color="auto"/>
              <w:right w:val="single" w:sz="2" w:space="0" w:color="auto"/>
            </w:tcBorders>
            <w:vAlign w:val="center"/>
          </w:tcPr>
          <w:p w14:paraId="15155235">
            <w:pPr>
              <w:spacing w:line="360" w:lineRule="auto"/>
              <w:jc w:val="center"/>
              <w:rPr>
                <w:rFonts w:ascii="宋体" w:hAnsi="宋体"/>
              </w:rPr>
            </w:pPr>
          </w:p>
        </w:tc>
        <w:tc>
          <w:tcPr>
            <w:tcW w:w="791" w:type="dxa"/>
            <w:tcBorders>
              <w:top w:val="single" w:sz="2" w:space="0" w:color="auto"/>
              <w:left w:val="single" w:sz="2" w:space="0" w:color="auto"/>
              <w:bottom w:val="single" w:sz="2" w:space="0" w:color="auto"/>
              <w:right w:val="single" w:sz="2" w:space="0" w:color="auto"/>
            </w:tcBorders>
            <w:vAlign w:val="center"/>
          </w:tcPr>
          <w:p w14:paraId="0BDC47DD">
            <w:pPr>
              <w:spacing w:line="360" w:lineRule="auto"/>
              <w:jc w:val="center"/>
              <w:rPr>
                <w:rFonts w:ascii="宋体" w:hAnsi="宋体"/>
              </w:rPr>
            </w:pPr>
          </w:p>
        </w:tc>
        <w:tc>
          <w:tcPr>
            <w:tcW w:w="731" w:type="dxa"/>
            <w:tcBorders>
              <w:top w:val="single" w:sz="2" w:space="0" w:color="auto"/>
              <w:left w:val="single" w:sz="2" w:space="0" w:color="auto"/>
              <w:bottom w:val="single" w:sz="2" w:space="0" w:color="auto"/>
              <w:right w:val="single" w:sz="2" w:space="0" w:color="auto"/>
            </w:tcBorders>
            <w:vAlign w:val="center"/>
          </w:tcPr>
          <w:p w14:paraId="00A9309D">
            <w:pPr>
              <w:spacing w:line="360" w:lineRule="auto"/>
              <w:jc w:val="center"/>
              <w:rPr>
                <w:rFonts w:ascii="宋体" w:hAnsi="宋体"/>
              </w:rPr>
            </w:pPr>
          </w:p>
        </w:tc>
        <w:tc>
          <w:tcPr>
            <w:tcW w:w="877" w:type="dxa"/>
            <w:tcBorders>
              <w:top w:val="single" w:sz="2" w:space="0" w:color="auto"/>
              <w:left w:val="single" w:sz="2" w:space="0" w:color="auto"/>
              <w:bottom w:val="single" w:sz="2" w:space="0" w:color="auto"/>
              <w:right w:val="single" w:sz="2" w:space="0" w:color="auto"/>
            </w:tcBorders>
            <w:vAlign w:val="center"/>
          </w:tcPr>
          <w:p w14:paraId="53837D04">
            <w:pPr>
              <w:spacing w:line="360" w:lineRule="auto"/>
              <w:jc w:val="center"/>
              <w:rPr>
                <w:rFonts w:ascii="宋体" w:hAnsi="宋体"/>
              </w:rPr>
            </w:pPr>
          </w:p>
        </w:tc>
        <w:tc>
          <w:tcPr>
            <w:tcW w:w="1027" w:type="dxa"/>
            <w:tcBorders>
              <w:top w:val="single" w:sz="2" w:space="0" w:color="auto"/>
              <w:left w:val="single" w:sz="2" w:space="0" w:color="auto"/>
              <w:bottom w:val="single" w:sz="2" w:space="0" w:color="auto"/>
              <w:right w:val="single" w:sz="2" w:space="0" w:color="auto"/>
            </w:tcBorders>
            <w:vAlign w:val="center"/>
          </w:tcPr>
          <w:p w14:paraId="09240489">
            <w:pPr>
              <w:spacing w:line="360" w:lineRule="auto"/>
              <w:jc w:val="center"/>
              <w:rPr>
                <w:rFonts w:ascii="宋体" w:hAnsi="宋体"/>
              </w:rPr>
            </w:pPr>
          </w:p>
        </w:tc>
      </w:tr>
      <w:tr w14:paraId="0F9F841A">
        <w:tblPrEx>
          <w:tblW w:w="0" w:type="auto"/>
          <w:jc w:val="center"/>
          <w:tblLayout w:type="fixed"/>
          <w:tblCellMar>
            <w:top w:w="0" w:type="dxa"/>
            <w:left w:w="108" w:type="dxa"/>
            <w:bottom w:w="0" w:type="dxa"/>
            <w:right w:w="108" w:type="dxa"/>
          </w:tblCellMar>
        </w:tblPrEx>
        <w:trPr>
          <w:trHeight w:val="593"/>
          <w:jc w:val="center"/>
        </w:trPr>
        <w:tc>
          <w:tcPr>
            <w:tcW w:w="888" w:type="dxa"/>
            <w:tcBorders>
              <w:top w:val="single" w:sz="2" w:space="0" w:color="auto"/>
              <w:left w:val="single" w:sz="2" w:space="0" w:color="auto"/>
              <w:bottom w:val="single" w:sz="2" w:space="0" w:color="auto"/>
              <w:right w:val="single" w:sz="2" w:space="0" w:color="auto"/>
            </w:tcBorders>
            <w:vAlign w:val="center"/>
          </w:tcPr>
          <w:p w14:paraId="5647077E">
            <w:pPr>
              <w:spacing w:line="360" w:lineRule="auto"/>
              <w:jc w:val="center"/>
              <w:rPr>
                <w:rFonts w:ascii="宋体" w:hAnsi="宋体"/>
              </w:rPr>
            </w:pPr>
            <w:r>
              <w:rPr>
                <w:rFonts w:ascii="宋体" w:hAnsi="宋体" w:hint="eastAsia"/>
              </w:rPr>
              <w:t>2</w:t>
            </w:r>
          </w:p>
        </w:tc>
        <w:tc>
          <w:tcPr>
            <w:tcW w:w="1899" w:type="dxa"/>
            <w:tcBorders>
              <w:top w:val="single" w:sz="2" w:space="0" w:color="auto"/>
              <w:left w:val="single" w:sz="2" w:space="0" w:color="auto"/>
              <w:bottom w:val="single" w:sz="2" w:space="0" w:color="auto"/>
              <w:right w:val="single" w:sz="2" w:space="0" w:color="auto"/>
            </w:tcBorders>
            <w:vAlign w:val="center"/>
          </w:tcPr>
          <w:p w14:paraId="0A8FD6F3">
            <w:pPr>
              <w:spacing w:line="360" w:lineRule="auto"/>
              <w:jc w:val="center"/>
              <w:rPr>
                <w:rFonts w:ascii="宋体" w:hAnsi="宋体"/>
              </w:rPr>
            </w:pPr>
            <w:r>
              <w:rPr>
                <w:rFonts w:ascii="宋体" w:hAnsi="宋体" w:hint="eastAsia"/>
              </w:rPr>
              <w:t>投标文件格式</w:t>
            </w:r>
          </w:p>
        </w:tc>
        <w:tc>
          <w:tcPr>
            <w:tcW w:w="640" w:type="dxa"/>
            <w:tcBorders>
              <w:top w:val="single" w:sz="2" w:space="0" w:color="auto"/>
              <w:left w:val="single" w:sz="2" w:space="0" w:color="auto"/>
              <w:bottom w:val="single" w:sz="2" w:space="0" w:color="auto"/>
              <w:right w:val="single" w:sz="2" w:space="0" w:color="auto"/>
            </w:tcBorders>
            <w:vAlign w:val="center"/>
          </w:tcPr>
          <w:p w14:paraId="1DB5CE44">
            <w:pPr>
              <w:spacing w:line="360" w:lineRule="auto"/>
              <w:jc w:val="center"/>
              <w:rPr>
                <w:rFonts w:ascii="宋体" w:hAnsi="宋体"/>
              </w:rPr>
            </w:pPr>
          </w:p>
        </w:tc>
        <w:tc>
          <w:tcPr>
            <w:tcW w:w="595" w:type="dxa"/>
            <w:tcBorders>
              <w:top w:val="single" w:sz="2" w:space="0" w:color="auto"/>
              <w:left w:val="single" w:sz="2" w:space="0" w:color="auto"/>
              <w:bottom w:val="single" w:sz="2" w:space="0" w:color="auto"/>
              <w:right w:val="single" w:sz="2" w:space="0" w:color="auto"/>
            </w:tcBorders>
            <w:vAlign w:val="center"/>
          </w:tcPr>
          <w:p w14:paraId="22937483">
            <w:pPr>
              <w:spacing w:line="360" w:lineRule="auto"/>
              <w:jc w:val="center"/>
              <w:rPr>
                <w:rFonts w:ascii="宋体" w:hAnsi="宋体"/>
              </w:rPr>
            </w:pPr>
          </w:p>
        </w:tc>
        <w:tc>
          <w:tcPr>
            <w:tcW w:w="744" w:type="dxa"/>
            <w:tcBorders>
              <w:top w:val="single" w:sz="2" w:space="0" w:color="auto"/>
              <w:left w:val="single" w:sz="2" w:space="0" w:color="auto"/>
              <w:bottom w:val="single" w:sz="2" w:space="0" w:color="auto"/>
              <w:right w:val="single" w:sz="2" w:space="0" w:color="auto"/>
            </w:tcBorders>
            <w:vAlign w:val="center"/>
          </w:tcPr>
          <w:p w14:paraId="75706F64">
            <w:pPr>
              <w:spacing w:line="360" w:lineRule="auto"/>
              <w:jc w:val="center"/>
              <w:rPr>
                <w:rFonts w:ascii="宋体" w:hAnsi="宋体"/>
              </w:rPr>
            </w:pPr>
          </w:p>
        </w:tc>
        <w:tc>
          <w:tcPr>
            <w:tcW w:w="791" w:type="dxa"/>
            <w:tcBorders>
              <w:top w:val="single" w:sz="2" w:space="0" w:color="auto"/>
              <w:left w:val="single" w:sz="2" w:space="0" w:color="auto"/>
              <w:bottom w:val="single" w:sz="2" w:space="0" w:color="auto"/>
              <w:right w:val="single" w:sz="2" w:space="0" w:color="auto"/>
            </w:tcBorders>
            <w:vAlign w:val="center"/>
          </w:tcPr>
          <w:p w14:paraId="63A53925">
            <w:pPr>
              <w:spacing w:line="360" w:lineRule="auto"/>
              <w:jc w:val="center"/>
              <w:rPr>
                <w:rFonts w:ascii="宋体" w:hAnsi="宋体"/>
              </w:rPr>
            </w:pPr>
          </w:p>
        </w:tc>
        <w:tc>
          <w:tcPr>
            <w:tcW w:w="731" w:type="dxa"/>
            <w:tcBorders>
              <w:top w:val="single" w:sz="2" w:space="0" w:color="auto"/>
              <w:left w:val="single" w:sz="2" w:space="0" w:color="auto"/>
              <w:bottom w:val="single" w:sz="2" w:space="0" w:color="auto"/>
              <w:right w:val="single" w:sz="2" w:space="0" w:color="auto"/>
            </w:tcBorders>
            <w:vAlign w:val="center"/>
          </w:tcPr>
          <w:p w14:paraId="6F69EA12">
            <w:pPr>
              <w:spacing w:line="360" w:lineRule="auto"/>
              <w:jc w:val="center"/>
              <w:rPr>
                <w:rFonts w:ascii="宋体" w:hAnsi="宋体"/>
              </w:rPr>
            </w:pPr>
          </w:p>
        </w:tc>
        <w:tc>
          <w:tcPr>
            <w:tcW w:w="877" w:type="dxa"/>
            <w:tcBorders>
              <w:top w:val="single" w:sz="2" w:space="0" w:color="auto"/>
              <w:left w:val="single" w:sz="2" w:space="0" w:color="auto"/>
              <w:bottom w:val="single" w:sz="2" w:space="0" w:color="auto"/>
              <w:right w:val="single" w:sz="2" w:space="0" w:color="auto"/>
            </w:tcBorders>
            <w:vAlign w:val="center"/>
          </w:tcPr>
          <w:p w14:paraId="46224DCA">
            <w:pPr>
              <w:spacing w:line="360" w:lineRule="auto"/>
              <w:jc w:val="center"/>
              <w:rPr>
                <w:rFonts w:ascii="宋体" w:hAnsi="宋体"/>
              </w:rPr>
            </w:pPr>
          </w:p>
        </w:tc>
        <w:tc>
          <w:tcPr>
            <w:tcW w:w="1027" w:type="dxa"/>
            <w:tcBorders>
              <w:top w:val="single" w:sz="2" w:space="0" w:color="auto"/>
              <w:left w:val="single" w:sz="2" w:space="0" w:color="auto"/>
              <w:bottom w:val="single" w:sz="2" w:space="0" w:color="auto"/>
              <w:right w:val="single" w:sz="2" w:space="0" w:color="auto"/>
            </w:tcBorders>
            <w:vAlign w:val="center"/>
          </w:tcPr>
          <w:p w14:paraId="2B48E737">
            <w:pPr>
              <w:spacing w:line="360" w:lineRule="auto"/>
              <w:jc w:val="center"/>
              <w:rPr>
                <w:rFonts w:ascii="宋体" w:hAnsi="宋体"/>
              </w:rPr>
            </w:pPr>
          </w:p>
        </w:tc>
      </w:tr>
      <w:tr w14:paraId="320F8DD5">
        <w:tblPrEx>
          <w:tblW w:w="0" w:type="auto"/>
          <w:jc w:val="center"/>
          <w:tblLayout w:type="fixed"/>
          <w:tblCellMar>
            <w:top w:w="0" w:type="dxa"/>
            <w:left w:w="108" w:type="dxa"/>
            <w:bottom w:w="0" w:type="dxa"/>
            <w:right w:w="108" w:type="dxa"/>
          </w:tblCellMar>
        </w:tblPrEx>
        <w:trPr>
          <w:trHeight w:val="593"/>
          <w:jc w:val="center"/>
        </w:trPr>
        <w:tc>
          <w:tcPr>
            <w:tcW w:w="888" w:type="dxa"/>
            <w:tcBorders>
              <w:top w:val="single" w:sz="2" w:space="0" w:color="auto"/>
              <w:left w:val="single" w:sz="2" w:space="0" w:color="auto"/>
              <w:bottom w:val="single" w:sz="2" w:space="0" w:color="auto"/>
              <w:right w:val="single" w:sz="2" w:space="0" w:color="auto"/>
            </w:tcBorders>
            <w:vAlign w:val="center"/>
          </w:tcPr>
          <w:p w14:paraId="1576BA3E">
            <w:pPr>
              <w:spacing w:line="360" w:lineRule="auto"/>
              <w:jc w:val="center"/>
              <w:rPr>
                <w:rFonts w:ascii="宋体" w:hAnsi="宋体"/>
              </w:rPr>
            </w:pPr>
            <w:r>
              <w:rPr>
                <w:rFonts w:ascii="宋体" w:hAnsi="宋体" w:hint="eastAsia"/>
              </w:rPr>
              <w:t>3</w:t>
            </w:r>
          </w:p>
        </w:tc>
        <w:tc>
          <w:tcPr>
            <w:tcW w:w="1899" w:type="dxa"/>
            <w:tcBorders>
              <w:top w:val="single" w:sz="2" w:space="0" w:color="auto"/>
              <w:left w:val="single" w:sz="2" w:space="0" w:color="auto"/>
              <w:bottom w:val="single" w:sz="2" w:space="0" w:color="auto"/>
              <w:right w:val="single" w:sz="2" w:space="0" w:color="auto"/>
            </w:tcBorders>
            <w:vAlign w:val="center"/>
          </w:tcPr>
          <w:p w14:paraId="10A96601">
            <w:pPr>
              <w:spacing w:line="360" w:lineRule="auto"/>
              <w:jc w:val="center"/>
              <w:rPr>
                <w:rFonts w:ascii="宋体" w:hAnsi="宋体"/>
              </w:rPr>
            </w:pPr>
            <w:r>
              <w:rPr>
                <w:rFonts w:ascii="宋体" w:hAnsi="宋体" w:hint="eastAsia"/>
              </w:rPr>
              <w:t>签字、盖章</w:t>
            </w:r>
          </w:p>
        </w:tc>
        <w:tc>
          <w:tcPr>
            <w:tcW w:w="640" w:type="dxa"/>
            <w:tcBorders>
              <w:top w:val="single" w:sz="2" w:space="0" w:color="auto"/>
              <w:left w:val="single" w:sz="2" w:space="0" w:color="auto"/>
              <w:bottom w:val="single" w:sz="2" w:space="0" w:color="auto"/>
              <w:right w:val="single" w:sz="2" w:space="0" w:color="auto"/>
            </w:tcBorders>
            <w:vAlign w:val="center"/>
          </w:tcPr>
          <w:p w14:paraId="5E49D9BC">
            <w:pPr>
              <w:spacing w:line="360" w:lineRule="auto"/>
              <w:jc w:val="center"/>
              <w:rPr>
                <w:rFonts w:ascii="宋体" w:hAnsi="宋体"/>
              </w:rPr>
            </w:pPr>
          </w:p>
        </w:tc>
        <w:tc>
          <w:tcPr>
            <w:tcW w:w="595" w:type="dxa"/>
            <w:tcBorders>
              <w:top w:val="single" w:sz="2" w:space="0" w:color="auto"/>
              <w:left w:val="single" w:sz="2" w:space="0" w:color="auto"/>
              <w:bottom w:val="single" w:sz="2" w:space="0" w:color="auto"/>
              <w:right w:val="single" w:sz="2" w:space="0" w:color="auto"/>
            </w:tcBorders>
            <w:vAlign w:val="center"/>
          </w:tcPr>
          <w:p w14:paraId="7FB6758C">
            <w:pPr>
              <w:spacing w:line="360" w:lineRule="auto"/>
              <w:jc w:val="center"/>
              <w:rPr>
                <w:rFonts w:ascii="宋体" w:hAnsi="宋体"/>
              </w:rPr>
            </w:pPr>
          </w:p>
        </w:tc>
        <w:tc>
          <w:tcPr>
            <w:tcW w:w="744" w:type="dxa"/>
            <w:tcBorders>
              <w:top w:val="single" w:sz="2" w:space="0" w:color="auto"/>
              <w:left w:val="single" w:sz="2" w:space="0" w:color="auto"/>
              <w:bottom w:val="single" w:sz="2" w:space="0" w:color="auto"/>
              <w:right w:val="single" w:sz="2" w:space="0" w:color="auto"/>
            </w:tcBorders>
            <w:vAlign w:val="center"/>
          </w:tcPr>
          <w:p w14:paraId="5BD7E06A">
            <w:pPr>
              <w:spacing w:line="360" w:lineRule="auto"/>
              <w:jc w:val="center"/>
              <w:rPr>
                <w:rFonts w:ascii="宋体" w:hAnsi="宋体"/>
              </w:rPr>
            </w:pPr>
          </w:p>
        </w:tc>
        <w:tc>
          <w:tcPr>
            <w:tcW w:w="791" w:type="dxa"/>
            <w:tcBorders>
              <w:top w:val="single" w:sz="2" w:space="0" w:color="auto"/>
              <w:left w:val="single" w:sz="2" w:space="0" w:color="auto"/>
              <w:bottom w:val="single" w:sz="2" w:space="0" w:color="auto"/>
              <w:right w:val="single" w:sz="2" w:space="0" w:color="auto"/>
            </w:tcBorders>
            <w:vAlign w:val="center"/>
          </w:tcPr>
          <w:p w14:paraId="6919ED31">
            <w:pPr>
              <w:spacing w:line="360" w:lineRule="auto"/>
              <w:jc w:val="center"/>
              <w:rPr>
                <w:rFonts w:ascii="宋体" w:hAnsi="宋体"/>
              </w:rPr>
            </w:pPr>
          </w:p>
        </w:tc>
        <w:tc>
          <w:tcPr>
            <w:tcW w:w="731" w:type="dxa"/>
            <w:tcBorders>
              <w:top w:val="single" w:sz="2" w:space="0" w:color="auto"/>
              <w:left w:val="single" w:sz="2" w:space="0" w:color="auto"/>
              <w:bottom w:val="single" w:sz="2" w:space="0" w:color="auto"/>
              <w:right w:val="single" w:sz="2" w:space="0" w:color="auto"/>
            </w:tcBorders>
            <w:vAlign w:val="center"/>
          </w:tcPr>
          <w:p w14:paraId="2F5754EF">
            <w:pPr>
              <w:spacing w:line="360" w:lineRule="auto"/>
              <w:jc w:val="center"/>
              <w:rPr>
                <w:rFonts w:ascii="宋体" w:hAnsi="宋体"/>
              </w:rPr>
            </w:pPr>
          </w:p>
        </w:tc>
        <w:tc>
          <w:tcPr>
            <w:tcW w:w="877" w:type="dxa"/>
            <w:tcBorders>
              <w:top w:val="single" w:sz="2" w:space="0" w:color="auto"/>
              <w:left w:val="single" w:sz="2" w:space="0" w:color="auto"/>
              <w:bottom w:val="single" w:sz="2" w:space="0" w:color="auto"/>
              <w:right w:val="single" w:sz="2" w:space="0" w:color="auto"/>
            </w:tcBorders>
            <w:vAlign w:val="center"/>
          </w:tcPr>
          <w:p w14:paraId="0AD32F97">
            <w:pPr>
              <w:spacing w:line="360" w:lineRule="auto"/>
              <w:jc w:val="center"/>
              <w:rPr>
                <w:rFonts w:ascii="宋体" w:hAnsi="宋体"/>
              </w:rPr>
            </w:pPr>
          </w:p>
        </w:tc>
        <w:tc>
          <w:tcPr>
            <w:tcW w:w="1027" w:type="dxa"/>
            <w:tcBorders>
              <w:top w:val="single" w:sz="2" w:space="0" w:color="auto"/>
              <w:left w:val="single" w:sz="2" w:space="0" w:color="auto"/>
              <w:bottom w:val="single" w:sz="2" w:space="0" w:color="auto"/>
              <w:right w:val="single" w:sz="2" w:space="0" w:color="auto"/>
            </w:tcBorders>
            <w:vAlign w:val="center"/>
          </w:tcPr>
          <w:p w14:paraId="0EAF030C">
            <w:pPr>
              <w:spacing w:line="360" w:lineRule="auto"/>
              <w:jc w:val="center"/>
              <w:rPr>
                <w:rFonts w:ascii="宋体" w:hAnsi="宋体"/>
              </w:rPr>
            </w:pPr>
          </w:p>
        </w:tc>
      </w:tr>
      <w:tr w14:paraId="170AF91E">
        <w:tblPrEx>
          <w:tblW w:w="0" w:type="auto"/>
          <w:jc w:val="center"/>
          <w:tblLayout w:type="fixed"/>
          <w:tblCellMar>
            <w:top w:w="0" w:type="dxa"/>
            <w:left w:w="108" w:type="dxa"/>
            <w:bottom w:w="0" w:type="dxa"/>
            <w:right w:w="108" w:type="dxa"/>
          </w:tblCellMar>
        </w:tblPrEx>
        <w:trPr>
          <w:trHeight w:val="593"/>
          <w:jc w:val="center"/>
        </w:trPr>
        <w:tc>
          <w:tcPr>
            <w:tcW w:w="888" w:type="dxa"/>
            <w:tcBorders>
              <w:top w:val="single" w:sz="2" w:space="0" w:color="auto"/>
              <w:left w:val="single" w:sz="2" w:space="0" w:color="auto"/>
              <w:bottom w:val="single" w:sz="2" w:space="0" w:color="auto"/>
              <w:right w:val="single" w:sz="2" w:space="0" w:color="auto"/>
            </w:tcBorders>
            <w:vAlign w:val="center"/>
          </w:tcPr>
          <w:p w14:paraId="6FD1B1BE">
            <w:pPr>
              <w:spacing w:line="360" w:lineRule="auto"/>
              <w:jc w:val="center"/>
              <w:rPr>
                <w:rFonts w:ascii="宋体" w:hAnsi="宋体"/>
              </w:rPr>
            </w:pPr>
            <w:r>
              <w:rPr>
                <w:rFonts w:ascii="宋体" w:hAnsi="宋体" w:hint="eastAsia"/>
              </w:rPr>
              <w:t>4</w:t>
            </w:r>
          </w:p>
        </w:tc>
        <w:tc>
          <w:tcPr>
            <w:tcW w:w="1899" w:type="dxa"/>
            <w:tcBorders>
              <w:top w:val="single" w:sz="2" w:space="0" w:color="auto"/>
              <w:left w:val="single" w:sz="2" w:space="0" w:color="auto"/>
              <w:bottom w:val="single" w:sz="2" w:space="0" w:color="auto"/>
              <w:right w:val="single" w:sz="2" w:space="0" w:color="auto"/>
            </w:tcBorders>
            <w:vAlign w:val="center"/>
          </w:tcPr>
          <w:p w14:paraId="23F1D5E2">
            <w:pPr>
              <w:spacing w:line="360" w:lineRule="auto"/>
              <w:jc w:val="center"/>
              <w:rPr>
                <w:rFonts w:ascii="宋体" w:hAnsi="宋体"/>
              </w:rPr>
            </w:pPr>
            <w:r>
              <w:rPr>
                <w:rFonts w:ascii="宋体" w:hAnsi="宋体" w:hint="eastAsia"/>
              </w:rPr>
              <w:t>联合体投标人</w:t>
            </w:r>
          </w:p>
        </w:tc>
        <w:tc>
          <w:tcPr>
            <w:tcW w:w="640" w:type="dxa"/>
            <w:tcBorders>
              <w:top w:val="single" w:sz="2" w:space="0" w:color="auto"/>
              <w:left w:val="single" w:sz="2" w:space="0" w:color="auto"/>
              <w:bottom w:val="single" w:sz="2" w:space="0" w:color="auto"/>
              <w:right w:val="single" w:sz="2" w:space="0" w:color="auto"/>
            </w:tcBorders>
            <w:vAlign w:val="center"/>
          </w:tcPr>
          <w:p w14:paraId="5FEE15B1">
            <w:pPr>
              <w:spacing w:line="360" w:lineRule="auto"/>
              <w:jc w:val="center"/>
              <w:rPr>
                <w:rFonts w:ascii="宋体" w:hAnsi="宋体"/>
              </w:rPr>
            </w:pPr>
          </w:p>
        </w:tc>
        <w:tc>
          <w:tcPr>
            <w:tcW w:w="595" w:type="dxa"/>
            <w:tcBorders>
              <w:top w:val="single" w:sz="2" w:space="0" w:color="auto"/>
              <w:left w:val="single" w:sz="2" w:space="0" w:color="auto"/>
              <w:bottom w:val="single" w:sz="2" w:space="0" w:color="auto"/>
              <w:right w:val="single" w:sz="2" w:space="0" w:color="auto"/>
            </w:tcBorders>
            <w:vAlign w:val="center"/>
          </w:tcPr>
          <w:p w14:paraId="402DF240">
            <w:pPr>
              <w:spacing w:line="360" w:lineRule="auto"/>
              <w:jc w:val="center"/>
              <w:rPr>
                <w:rFonts w:ascii="宋体" w:hAnsi="宋体"/>
              </w:rPr>
            </w:pPr>
          </w:p>
        </w:tc>
        <w:tc>
          <w:tcPr>
            <w:tcW w:w="744" w:type="dxa"/>
            <w:tcBorders>
              <w:top w:val="single" w:sz="2" w:space="0" w:color="auto"/>
              <w:left w:val="single" w:sz="2" w:space="0" w:color="auto"/>
              <w:bottom w:val="single" w:sz="2" w:space="0" w:color="auto"/>
              <w:right w:val="single" w:sz="2" w:space="0" w:color="auto"/>
            </w:tcBorders>
            <w:vAlign w:val="center"/>
          </w:tcPr>
          <w:p w14:paraId="36332EE5">
            <w:pPr>
              <w:spacing w:line="360" w:lineRule="auto"/>
              <w:jc w:val="center"/>
              <w:rPr>
                <w:rFonts w:ascii="宋体" w:hAnsi="宋体"/>
              </w:rPr>
            </w:pPr>
          </w:p>
        </w:tc>
        <w:tc>
          <w:tcPr>
            <w:tcW w:w="791" w:type="dxa"/>
            <w:tcBorders>
              <w:top w:val="single" w:sz="2" w:space="0" w:color="auto"/>
              <w:left w:val="single" w:sz="2" w:space="0" w:color="auto"/>
              <w:bottom w:val="single" w:sz="2" w:space="0" w:color="auto"/>
              <w:right w:val="single" w:sz="2" w:space="0" w:color="auto"/>
            </w:tcBorders>
            <w:vAlign w:val="center"/>
          </w:tcPr>
          <w:p w14:paraId="43250946">
            <w:pPr>
              <w:spacing w:line="360" w:lineRule="auto"/>
              <w:jc w:val="center"/>
              <w:rPr>
                <w:rFonts w:ascii="宋体" w:hAnsi="宋体"/>
              </w:rPr>
            </w:pPr>
          </w:p>
        </w:tc>
        <w:tc>
          <w:tcPr>
            <w:tcW w:w="731" w:type="dxa"/>
            <w:tcBorders>
              <w:top w:val="single" w:sz="2" w:space="0" w:color="auto"/>
              <w:left w:val="single" w:sz="2" w:space="0" w:color="auto"/>
              <w:bottom w:val="single" w:sz="2" w:space="0" w:color="auto"/>
              <w:right w:val="single" w:sz="2" w:space="0" w:color="auto"/>
            </w:tcBorders>
            <w:vAlign w:val="center"/>
          </w:tcPr>
          <w:p w14:paraId="78B84299">
            <w:pPr>
              <w:spacing w:line="360" w:lineRule="auto"/>
              <w:jc w:val="center"/>
              <w:rPr>
                <w:rFonts w:ascii="宋体" w:hAnsi="宋体"/>
              </w:rPr>
            </w:pPr>
          </w:p>
        </w:tc>
        <w:tc>
          <w:tcPr>
            <w:tcW w:w="877" w:type="dxa"/>
            <w:tcBorders>
              <w:top w:val="single" w:sz="2" w:space="0" w:color="auto"/>
              <w:left w:val="single" w:sz="2" w:space="0" w:color="auto"/>
              <w:bottom w:val="single" w:sz="2" w:space="0" w:color="auto"/>
              <w:right w:val="single" w:sz="2" w:space="0" w:color="auto"/>
            </w:tcBorders>
            <w:vAlign w:val="center"/>
          </w:tcPr>
          <w:p w14:paraId="70AFF7EC">
            <w:pPr>
              <w:spacing w:line="360" w:lineRule="auto"/>
              <w:jc w:val="center"/>
              <w:rPr>
                <w:rFonts w:ascii="宋体" w:hAnsi="宋体"/>
              </w:rPr>
            </w:pPr>
          </w:p>
        </w:tc>
        <w:tc>
          <w:tcPr>
            <w:tcW w:w="1027" w:type="dxa"/>
            <w:tcBorders>
              <w:top w:val="single" w:sz="2" w:space="0" w:color="auto"/>
              <w:left w:val="single" w:sz="2" w:space="0" w:color="auto"/>
              <w:bottom w:val="single" w:sz="2" w:space="0" w:color="auto"/>
              <w:right w:val="single" w:sz="2" w:space="0" w:color="auto"/>
            </w:tcBorders>
            <w:vAlign w:val="center"/>
          </w:tcPr>
          <w:p w14:paraId="44C50022">
            <w:pPr>
              <w:spacing w:line="360" w:lineRule="auto"/>
              <w:jc w:val="center"/>
              <w:rPr>
                <w:rFonts w:ascii="宋体" w:hAnsi="宋体"/>
              </w:rPr>
            </w:pPr>
          </w:p>
        </w:tc>
      </w:tr>
      <w:tr w14:paraId="3F369248">
        <w:tblPrEx>
          <w:tblW w:w="0" w:type="auto"/>
          <w:jc w:val="center"/>
          <w:tblLayout w:type="fixed"/>
          <w:tblCellMar>
            <w:top w:w="0" w:type="dxa"/>
            <w:left w:w="108" w:type="dxa"/>
            <w:bottom w:w="0" w:type="dxa"/>
            <w:right w:w="108" w:type="dxa"/>
          </w:tblCellMar>
        </w:tblPrEx>
        <w:trPr>
          <w:trHeight w:val="593"/>
          <w:jc w:val="center"/>
        </w:trPr>
        <w:tc>
          <w:tcPr>
            <w:tcW w:w="888" w:type="dxa"/>
            <w:tcBorders>
              <w:top w:val="single" w:sz="2" w:space="0" w:color="auto"/>
              <w:left w:val="single" w:sz="2" w:space="0" w:color="auto"/>
              <w:bottom w:val="single" w:sz="2" w:space="0" w:color="auto"/>
              <w:right w:val="single" w:sz="2" w:space="0" w:color="auto"/>
            </w:tcBorders>
            <w:vAlign w:val="center"/>
          </w:tcPr>
          <w:p w14:paraId="3FB8E587">
            <w:pPr>
              <w:spacing w:line="360" w:lineRule="auto"/>
              <w:jc w:val="center"/>
              <w:rPr>
                <w:rFonts w:ascii="宋体" w:hAnsi="宋体"/>
              </w:rPr>
            </w:pPr>
            <w:r>
              <w:rPr>
                <w:rFonts w:ascii="宋体" w:hAnsi="宋体" w:hint="eastAsia"/>
              </w:rPr>
              <w:t>5</w:t>
            </w:r>
          </w:p>
        </w:tc>
        <w:tc>
          <w:tcPr>
            <w:tcW w:w="1899" w:type="dxa"/>
            <w:tcBorders>
              <w:top w:val="single" w:sz="2" w:space="0" w:color="auto"/>
              <w:left w:val="single" w:sz="2" w:space="0" w:color="auto"/>
              <w:bottom w:val="single" w:sz="2" w:space="0" w:color="auto"/>
              <w:right w:val="single" w:sz="2" w:space="0" w:color="auto"/>
            </w:tcBorders>
            <w:vAlign w:val="center"/>
          </w:tcPr>
          <w:p w14:paraId="757B750B">
            <w:pPr>
              <w:spacing w:line="360" w:lineRule="auto"/>
              <w:jc w:val="center"/>
              <w:rPr>
                <w:rFonts w:ascii="宋体" w:hAnsi="宋体"/>
              </w:rPr>
            </w:pPr>
            <w:r>
              <w:rPr>
                <w:rFonts w:ascii="宋体" w:hAnsi="宋体" w:hint="eastAsia"/>
              </w:rPr>
              <w:t>报价唯一</w:t>
            </w:r>
          </w:p>
        </w:tc>
        <w:tc>
          <w:tcPr>
            <w:tcW w:w="640" w:type="dxa"/>
            <w:tcBorders>
              <w:top w:val="single" w:sz="2" w:space="0" w:color="auto"/>
              <w:left w:val="single" w:sz="2" w:space="0" w:color="auto"/>
              <w:bottom w:val="single" w:sz="2" w:space="0" w:color="auto"/>
              <w:right w:val="single" w:sz="2" w:space="0" w:color="auto"/>
            </w:tcBorders>
            <w:vAlign w:val="center"/>
          </w:tcPr>
          <w:p w14:paraId="3FC81124">
            <w:pPr>
              <w:spacing w:line="360" w:lineRule="auto"/>
              <w:jc w:val="center"/>
              <w:rPr>
                <w:rFonts w:ascii="宋体" w:hAnsi="宋体"/>
              </w:rPr>
            </w:pPr>
          </w:p>
        </w:tc>
        <w:tc>
          <w:tcPr>
            <w:tcW w:w="595" w:type="dxa"/>
            <w:tcBorders>
              <w:top w:val="single" w:sz="2" w:space="0" w:color="auto"/>
              <w:left w:val="single" w:sz="2" w:space="0" w:color="auto"/>
              <w:bottom w:val="single" w:sz="2" w:space="0" w:color="auto"/>
              <w:right w:val="single" w:sz="2" w:space="0" w:color="auto"/>
            </w:tcBorders>
            <w:vAlign w:val="center"/>
          </w:tcPr>
          <w:p w14:paraId="3A5BC05A">
            <w:pPr>
              <w:spacing w:line="360" w:lineRule="auto"/>
              <w:jc w:val="center"/>
              <w:rPr>
                <w:rFonts w:ascii="宋体" w:hAnsi="宋体"/>
              </w:rPr>
            </w:pPr>
          </w:p>
        </w:tc>
        <w:tc>
          <w:tcPr>
            <w:tcW w:w="744" w:type="dxa"/>
            <w:tcBorders>
              <w:top w:val="single" w:sz="2" w:space="0" w:color="auto"/>
              <w:left w:val="single" w:sz="2" w:space="0" w:color="auto"/>
              <w:bottom w:val="single" w:sz="2" w:space="0" w:color="auto"/>
              <w:right w:val="single" w:sz="2" w:space="0" w:color="auto"/>
            </w:tcBorders>
            <w:vAlign w:val="center"/>
          </w:tcPr>
          <w:p w14:paraId="54A5E374">
            <w:pPr>
              <w:spacing w:line="360" w:lineRule="auto"/>
              <w:jc w:val="center"/>
              <w:rPr>
                <w:rFonts w:ascii="宋体" w:hAnsi="宋体"/>
              </w:rPr>
            </w:pPr>
          </w:p>
        </w:tc>
        <w:tc>
          <w:tcPr>
            <w:tcW w:w="791" w:type="dxa"/>
            <w:tcBorders>
              <w:top w:val="single" w:sz="2" w:space="0" w:color="auto"/>
              <w:left w:val="single" w:sz="2" w:space="0" w:color="auto"/>
              <w:bottom w:val="single" w:sz="2" w:space="0" w:color="auto"/>
              <w:right w:val="single" w:sz="2" w:space="0" w:color="auto"/>
            </w:tcBorders>
            <w:vAlign w:val="center"/>
          </w:tcPr>
          <w:p w14:paraId="4FA1287C">
            <w:pPr>
              <w:spacing w:line="360" w:lineRule="auto"/>
              <w:jc w:val="center"/>
              <w:rPr>
                <w:rFonts w:ascii="宋体" w:hAnsi="宋体"/>
              </w:rPr>
            </w:pPr>
          </w:p>
        </w:tc>
        <w:tc>
          <w:tcPr>
            <w:tcW w:w="731" w:type="dxa"/>
            <w:tcBorders>
              <w:top w:val="single" w:sz="2" w:space="0" w:color="auto"/>
              <w:left w:val="single" w:sz="2" w:space="0" w:color="auto"/>
              <w:bottom w:val="single" w:sz="2" w:space="0" w:color="auto"/>
              <w:right w:val="single" w:sz="2" w:space="0" w:color="auto"/>
            </w:tcBorders>
            <w:vAlign w:val="center"/>
          </w:tcPr>
          <w:p w14:paraId="02CF295A">
            <w:pPr>
              <w:spacing w:line="360" w:lineRule="auto"/>
              <w:jc w:val="center"/>
              <w:rPr>
                <w:rFonts w:ascii="宋体" w:hAnsi="宋体"/>
              </w:rPr>
            </w:pPr>
          </w:p>
        </w:tc>
        <w:tc>
          <w:tcPr>
            <w:tcW w:w="877" w:type="dxa"/>
            <w:tcBorders>
              <w:top w:val="single" w:sz="2" w:space="0" w:color="auto"/>
              <w:left w:val="single" w:sz="2" w:space="0" w:color="auto"/>
              <w:bottom w:val="single" w:sz="2" w:space="0" w:color="auto"/>
              <w:right w:val="single" w:sz="2" w:space="0" w:color="auto"/>
            </w:tcBorders>
            <w:vAlign w:val="center"/>
          </w:tcPr>
          <w:p w14:paraId="0F4DD348">
            <w:pPr>
              <w:spacing w:line="360" w:lineRule="auto"/>
              <w:jc w:val="center"/>
              <w:rPr>
                <w:rFonts w:ascii="宋体" w:hAnsi="宋体"/>
              </w:rPr>
            </w:pPr>
          </w:p>
        </w:tc>
        <w:tc>
          <w:tcPr>
            <w:tcW w:w="1027" w:type="dxa"/>
            <w:tcBorders>
              <w:top w:val="single" w:sz="2" w:space="0" w:color="auto"/>
              <w:left w:val="single" w:sz="2" w:space="0" w:color="auto"/>
              <w:bottom w:val="single" w:sz="2" w:space="0" w:color="auto"/>
              <w:right w:val="single" w:sz="2" w:space="0" w:color="auto"/>
            </w:tcBorders>
            <w:vAlign w:val="center"/>
          </w:tcPr>
          <w:p w14:paraId="1FCC56B9">
            <w:pPr>
              <w:spacing w:line="360" w:lineRule="auto"/>
              <w:jc w:val="center"/>
              <w:rPr>
                <w:rFonts w:ascii="宋体" w:hAnsi="宋体"/>
              </w:rPr>
            </w:pPr>
          </w:p>
        </w:tc>
      </w:tr>
      <w:tr w14:paraId="47B09ABF">
        <w:tblPrEx>
          <w:tblW w:w="0" w:type="auto"/>
          <w:jc w:val="center"/>
          <w:tblLayout w:type="fixed"/>
          <w:tblCellMar>
            <w:top w:w="0" w:type="dxa"/>
            <w:left w:w="108" w:type="dxa"/>
            <w:bottom w:w="0" w:type="dxa"/>
            <w:right w:w="108" w:type="dxa"/>
          </w:tblCellMar>
        </w:tblPrEx>
        <w:trPr>
          <w:trHeight w:val="613"/>
          <w:jc w:val="center"/>
        </w:trPr>
        <w:tc>
          <w:tcPr>
            <w:tcW w:w="888" w:type="dxa"/>
            <w:tcBorders>
              <w:top w:val="single" w:sz="2" w:space="0" w:color="auto"/>
              <w:left w:val="single" w:sz="2" w:space="0" w:color="auto"/>
              <w:bottom w:val="single" w:sz="2" w:space="0" w:color="auto"/>
              <w:right w:val="single" w:sz="2" w:space="0" w:color="auto"/>
            </w:tcBorders>
            <w:vAlign w:val="center"/>
          </w:tcPr>
          <w:p w14:paraId="66B3F2ED">
            <w:pPr>
              <w:spacing w:line="360" w:lineRule="auto"/>
              <w:jc w:val="center"/>
              <w:rPr>
                <w:rFonts w:ascii="宋体" w:hAnsi="宋体"/>
              </w:rPr>
            </w:pPr>
            <w:r>
              <w:rPr>
                <w:rFonts w:ascii="宋体" w:hAnsi="宋体" w:hint="eastAsia"/>
              </w:rPr>
              <w:t>6</w:t>
            </w:r>
          </w:p>
        </w:tc>
        <w:tc>
          <w:tcPr>
            <w:tcW w:w="1899" w:type="dxa"/>
            <w:tcBorders>
              <w:top w:val="single" w:sz="2" w:space="0" w:color="auto"/>
              <w:left w:val="single" w:sz="2" w:space="0" w:color="auto"/>
              <w:bottom w:val="single" w:sz="2" w:space="0" w:color="auto"/>
              <w:right w:val="single" w:sz="2" w:space="0" w:color="auto"/>
            </w:tcBorders>
            <w:vAlign w:val="center"/>
          </w:tcPr>
          <w:p w14:paraId="4A6CC625">
            <w:pPr>
              <w:spacing w:line="360" w:lineRule="auto"/>
              <w:jc w:val="center"/>
              <w:rPr>
                <w:rFonts w:ascii="宋体" w:hAnsi="宋体"/>
              </w:rPr>
            </w:pPr>
            <w:r>
              <w:rPr>
                <w:rFonts w:ascii="宋体" w:hAnsi="宋体" w:hint="eastAsia"/>
              </w:rPr>
              <w:t>备选投标方案</w:t>
            </w:r>
          </w:p>
        </w:tc>
        <w:tc>
          <w:tcPr>
            <w:tcW w:w="640" w:type="dxa"/>
            <w:tcBorders>
              <w:top w:val="single" w:sz="2" w:space="0" w:color="auto"/>
              <w:left w:val="single" w:sz="2" w:space="0" w:color="auto"/>
              <w:bottom w:val="single" w:sz="2" w:space="0" w:color="auto"/>
              <w:right w:val="single" w:sz="2" w:space="0" w:color="auto"/>
            </w:tcBorders>
            <w:vAlign w:val="center"/>
          </w:tcPr>
          <w:p w14:paraId="3949AB0A">
            <w:pPr>
              <w:spacing w:line="360" w:lineRule="auto"/>
              <w:jc w:val="center"/>
              <w:rPr>
                <w:rFonts w:ascii="宋体" w:hAnsi="宋体"/>
              </w:rPr>
            </w:pPr>
          </w:p>
        </w:tc>
        <w:tc>
          <w:tcPr>
            <w:tcW w:w="595" w:type="dxa"/>
            <w:tcBorders>
              <w:top w:val="single" w:sz="2" w:space="0" w:color="auto"/>
              <w:left w:val="single" w:sz="2" w:space="0" w:color="auto"/>
              <w:bottom w:val="single" w:sz="2" w:space="0" w:color="auto"/>
              <w:right w:val="single" w:sz="2" w:space="0" w:color="auto"/>
            </w:tcBorders>
            <w:vAlign w:val="center"/>
          </w:tcPr>
          <w:p w14:paraId="6538D916">
            <w:pPr>
              <w:spacing w:line="360" w:lineRule="auto"/>
              <w:jc w:val="center"/>
              <w:rPr>
                <w:rFonts w:ascii="宋体" w:hAnsi="宋体"/>
              </w:rPr>
            </w:pPr>
          </w:p>
        </w:tc>
        <w:tc>
          <w:tcPr>
            <w:tcW w:w="744" w:type="dxa"/>
            <w:tcBorders>
              <w:top w:val="single" w:sz="2" w:space="0" w:color="auto"/>
              <w:left w:val="single" w:sz="2" w:space="0" w:color="auto"/>
              <w:bottom w:val="single" w:sz="2" w:space="0" w:color="auto"/>
              <w:right w:val="single" w:sz="2" w:space="0" w:color="auto"/>
            </w:tcBorders>
            <w:vAlign w:val="center"/>
          </w:tcPr>
          <w:p w14:paraId="07A13578">
            <w:pPr>
              <w:spacing w:line="360" w:lineRule="auto"/>
              <w:jc w:val="center"/>
              <w:rPr>
                <w:rFonts w:ascii="宋体" w:hAnsi="宋体"/>
              </w:rPr>
            </w:pPr>
          </w:p>
        </w:tc>
        <w:tc>
          <w:tcPr>
            <w:tcW w:w="791" w:type="dxa"/>
            <w:tcBorders>
              <w:top w:val="single" w:sz="2" w:space="0" w:color="auto"/>
              <w:left w:val="single" w:sz="2" w:space="0" w:color="auto"/>
              <w:bottom w:val="single" w:sz="2" w:space="0" w:color="auto"/>
              <w:right w:val="single" w:sz="2" w:space="0" w:color="auto"/>
            </w:tcBorders>
            <w:vAlign w:val="center"/>
          </w:tcPr>
          <w:p w14:paraId="0E11FD22">
            <w:pPr>
              <w:spacing w:line="360" w:lineRule="auto"/>
              <w:jc w:val="center"/>
              <w:rPr>
                <w:rFonts w:ascii="宋体" w:hAnsi="宋体"/>
              </w:rPr>
            </w:pPr>
          </w:p>
        </w:tc>
        <w:tc>
          <w:tcPr>
            <w:tcW w:w="731" w:type="dxa"/>
            <w:tcBorders>
              <w:top w:val="single" w:sz="2" w:space="0" w:color="auto"/>
              <w:left w:val="single" w:sz="2" w:space="0" w:color="auto"/>
              <w:bottom w:val="single" w:sz="2" w:space="0" w:color="auto"/>
              <w:right w:val="single" w:sz="2" w:space="0" w:color="auto"/>
            </w:tcBorders>
            <w:vAlign w:val="center"/>
          </w:tcPr>
          <w:p w14:paraId="0ED99D13">
            <w:pPr>
              <w:spacing w:line="360" w:lineRule="auto"/>
              <w:jc w:val="center"/>
              <w:rPr>
                <w:rFonts w:ascii="宋体" w:hAnsi="宋体"/>
              </w:rPr>
            </w:pPr>
          </w:p>
        </w:tc>
        <w:tc>
          <w:tcPr>
            <w:tcW w:w="877" w:type="dxa"/>
            <w:tcBorders>
              <w:top w:val="single" w:sz="2" w:space="0" w:color="auto"/>
              <w:left w:val="single" w:sz="2" w:space="0" w:color="auto"/>
              <w:bottom w:val="single" w:sz="2" w:space="0" w:color="auto"/>
              <w:right w:val="single" w:sz="2" w:space="0" w:color="auto"/>
            </w:tcBorders>
            <w:vAlign w:val="center"/>
          </w:tcPr>
          <w:p w14:paraId="46DABF0C">
            <w:pPr>
              <w:spacing w:line="360" w:lineRule="auto"/>
              <w:jc w:val="center"/>
              <w:rPr>
                <w:rFonts w:ascii="宋体" w:hAnsi="宋体"/>
              </w:rPr>
            </w:pPr>
          </w:p>
        </w:tc>
        <w:tc>
          <w:tcPr>
            <w:tcW w:w="1027" w:type="dxa"/>
            <w:tcBorders>
              <w:top w:val="single" w:sz="2" w:space="0" w:color="auto"/>
              <w:left w:val="single" w:sz="2" w:space="0" w:color="auto"/>
              <w:bottom w:val="single" w:sz="2" w:space="0" w:color="auto"/>
              <w:right w:val="single" w:sz="2" w:space="0" w:color="auto"/>
            </w:tcBorders>
            <w:vAlign w:val="center"/>
          </w:tcPr>
          <w:p w14:paraId="2562C6B0">
            <w:pPr>
              <w:spacing w:line="360" w:lineRule="auto"/>
              <w:jc w:val="center"/>
              <w:rPr>
                <w:rFonts w:ascii="宋体" w:hAnsi="宋体"/>
              </w:rPr>
            </w:pPr>
          </w:p>
        </w:tc>
      </w:tr>
      <w:tr w14:paraId="3A32C0D6">
        <w:tblPrEx>
          <w:tblW w:w="0" w:type="auto"/>
          <w:jc w:val="center"/>
          <w:tblLayout w:type="fixed"/>
          <w:tblCellMar>
            <w:top w:w="0" w:type="dxa"/>
            <w:left w:w="108" w:type="dxa"/>
            <w:bottom w:w="0" w:type="dxa"/>
            <w:right w:w="108" w:type="dxa"/>
          </w:tblCellMar>
        </w:tblPrEx>
        <w:trPr>
          <w:trHeight w:val="593"/>
          <w:jc w:val="center"/>
        </w:trPr>
        <w:tc>
          <w:tcPr>
            <w:tcW w:w="888" w:type="dxa"/>
            <w:tcBorders>
              <w:top w:val="single" w:sz="2" w:space="0" w:color="auto"/>
              <w:left w:val="single" w:sz="2" w:space="0" w:color="auto"/>
              <w:bottom w:val="single" w:sz="2" w:space="0" w:color="auto"/>
              <w:right w:val="single" w:sz="2" w:space="0" w:color="auto"/>
            </w:tcBorders>
            <w:vAlign w:val="center"/>
          </w:tcPr>
          <w:p w14:paraId="463D93B2">
            <w:pPr>
              <w:spacing w:line="360" w:lineRule="auto"/>
              <w:jc w:val="center"/>
              <w:rPr>
                <w:rFonts w:ascii="宋体" w:hAnsi="宋体"/>
              </w:rPr>
            </w:pPr>
            <w:r>
              <w:rPr>
                <w:rFonts w:ascii="宋体" w:hAnsi="宋体" w:hint="eastAsia"/>
              </w:rPr>
              <w:t>7</w:t>
            </w:r>
          </w:p>
        </w:tc>
        <w:tc>
          <w:tcPr>
            <w:tcW w:w="1899" w:type="dxa"/>
            <w:tcBorders>
              <w:top w:val="single" w:sz="2" w:space="0" w:color="auto"/>
              <w:left w:val="single" w:sz="2" w:space="0" w:color="auto"/>
              <w:bottom w:val="single" w:sz="2" w:space="0" w:color="auto"/>
              <w:right w:val="single" w:sz="2" w:space="0" w:color="auto"/>
            </w:tcBorders>
            <w:vAlign w:val="center"/>
          </w:tcPr>
          <w:p w14:paraId="6ACB0BA8">
            <w:pPr>
              <w:spacing w:line="360" w:lineRule="auto"/>
              <w:jc w:val="center"/>
              <w:rPr>
                <w:rFonts w:ascii="宋体" w:hAnsi="宋体"/>
              </w:rPr>
            </w:pPr>
            <w:r>
              <w:rPr>
                <w:rFonts w:ascii="宋体" w:hAnsi="宋体" w:hint="eastAsia"/>
              </w:rPr>
              <w:t>……</w:t>
            </w:r>
          </w:p>
        </w:tc>
        <w:tc>
          <w:tcPr>
            <w:tcW w:w="640" w:type="dxa"/>
            <w:tcBorders>
              <w:top w:val="single" w:sz="2" w:space="0" w:color="auto"/>
              <w:left w:val="single" w:sz="2" w:space="0" w:color="auto"/>
              <w:bottom w:val="single" w:sz="2" w:space="0" w:color="auto"/>
              <w:right w:val="single" w:sz="2" w:space="0" w:color="auto"/>
            </w:tcBorders>
            <w:vAlign w:val="center"/>
          </w:tcPr>
          <w:p w14:paraId="0EFC7D6B">
            <w:pPr>
              <w:spacing w:line="360" w:lineRule="auto"/>
              <w:jc w:val="center"/>
              <w:rPr>
                <w:rFonts w:ascii="宋体" w:hAnsi="宋体"/>
              </w:rPr>
            </w:pPr>
          </w:p>
        </w:tc>
        <w:tc>
          <w:tcPr>
            <w:tcW w:w="595" w:type="dxa"/>
            <w:tcBorders>
              <w:top w:val="single" w:sz="2" w:space="0" w:color="auto"/>
              <w:left w:val="single" w:sz="2" w:space="0" w:color="auto"/>
              <w:bottom w:val="single" w:sz="2" w:space="0" w:color="auto"/>
              <w:right w:val="single" w:sz="2" w:space="0" w:color="auto"/>
            </w:tcBorders>
            <w:vAlign w:val="center"/>
          </w:tcPr>
          <w:p w14:paraId="231B1464">
            <w:pPr>
              <w:spacing w:line="360" w:lineRule="auto"/>
              <w:jc w:val="center"/>
              <w:rPr>
                <w:rFonts w:ascii="宋体" w:hAnsi="宋体"/>
              </w:rPr>
            </w:pPr>
          </w:p>
        </w:tc>
        <w:tc>
          <w:tcPr>
            <w:tcW w:w="744" w:type="dxa"/>
            <w:tcBorders>
              <w:top w:val="single" w:sz="2" w:space="0" w:color="auto"/>
              <w:left w:val="single" w:sz="2" w:space="0" w:color="auto"/>
              <w:bottom w:val="single" w:sz="2" w:space="0" w:color="auto"/>
              <w:right w:val="single" w:sz="2" w:space="0" w:color="auto"/>
            </w:tcBorders>
            <w:vAlign w:val="center"/>
          </w:tcPr>
          <w:p w14:paraId="0383A835">
            <w:pPr>
              <w:spacing w:line="360" w:lineRule="auto"/>
              <w:jc w:val="center"/>
              <w:rPr>
                <w:rFonts w:ascii="宋体" w:hAnsi="宋体"/>
              </w:rPr>
            </w:pPr>
          </w:p>
        </w:tc>
        <w:tc>
          <w:tcPr>
            <w:tcW w:w="791" w:type="dxa"/>
            <w:tcBorders>
              <w:top w:val="single" w:sz="2" w:space="0" w:color="auto"/>
              <w:left w:val="single" w:sz="2" w:space="0" w:color="auto"/>
              <w:bottom w:val="single" w:sz="2" w:space="0" w:color="auto"/>
              <w:right w:val="single" w:sz="2" w:space="0" w:color="auto"/>
            </w:tcBorders>
            <w:vAlign w:val="center"/>
          </w:tcPr>
          <w:p w14:paraId="28D04C45">
            <w:pPr>
              <w:spacing w:line="360" w:lineRule="auto"/>
              <w:jc w:val="center"/>
              <w:rPr>
                <w:rFonts w:ascii="宋体" w:hAnsi="宋体"/>
              </w:rPr>
            </w:pPr>
          </w:p>
        </w:tc>
        <w:tc>
          <w:tcPr>
            <w:tcW w:w="731" w:type="dxa"/>
            <w:tcBorders>
              <w:top w:val="single" w:sz="2" w:space="0" w:color="auto"/>
              <w:left w:val="single" w:sz="2" w:space="0" w:color="auto"/>
              <w:bottom w:val="single" w:sz="2" w:space="0" w:color="auto"/>
              <w:right w:val="single" w:sz="2" w:space="0" w:color="auto"/>
            </w:tcBorders>
            <w:vAlign w:val="center"/>
          </w:tcPr>
          <w:p w14:paraId="68AE6E46">
            <w:pPr>
              <w:spacing w:line="360" w:lineRule="auto"/>
              <w:jc w:val="center"/>
              <w:rPr>
                <w:rFonts w:ascii="宋体" w:hAnsi="宋体"/>
              </w:rPr>
            </w:pPr>
          </w:p>
        </w:tc>
        <w:tc>
          <w:tcPr>
            <w:tcW w:w="877" w:type="dxa"/>
            <w:tcBorders>
              <w:top w:val="single" w:sz="2" w:space="0" w:color="auto"/>
              <w:left w:val="single" w:sz="2" w:space="0" w:color="auto"/>
              <w:bottom w:val="single" w:sz="2" w:space="0" w:color="auto"/>
              <w:right w:val="single" w:sz="2" w:space="0" w:color="auto"/>
            </w:tcBorders>
            <w:vAlign w:val="center"/>
          </w:tcPr>
          <w:p w14:paraId="79225C1C">
            <w:pPr>
              <w:spacing w:line="360" w:lineRule="auto"/>
              <w:jc w:val="center"/>
              <w:rPr>
                <w:rFonts w:ascii="宋体" w:hAnsi="宋体"/>
              </w:rPr>
            </w:pPr>
          </w:p>
        </w:tc>
        <w:tc>
          <w:tcPr>
            <w:tcW w:w="1027" w:type="dxa"/>
            <w:tcBorders>
              <w:top w:val="single" w:sz="2" w:space="0" w:color="auto"/>
              <w:left w:val="single" w:sz="2" w:space="0" w:color="auto"/>
              <w:bottom w:val="single" w:sz="2" w:space="0" w:color="auto"/>
              <w:right w:val="single" w:sz="2" w:space="0" w:color="auto"/>
            </w:tcBorders>
            <w:vAlign w:val="center"/>
          </w:tcPr>
          <w:p w14:paraId="013C8B2F">
            <w:pPr>
              <w:spacing w:line="360" w:lineRule="auto"/>
              <w:jc w:val="center"/>
              <w:rPr>
                <w:rFonts w:ascii="宋体" w:hAnsi="宋体"/>
              </w:rPr>
            </w:pPr>
          </w:p>
        </w:tc>
      </w:tr>
    </w:tbl>
    <w:p w14:paraId="366E163F">
      <w:pPr>
        <w:spacing w:line="360" w:lineRule="auto"/>
        <w:rPr>
          <w:rFonts w:ascii="宋体" w:hAnsi="宋体"/>
          <w:kern w:val="2"/>
        </w:rPr>
      </w:pPr>
    </w:p>
    <w:p w14:paraId="16CCB23C">
      <w:pPr>
        <w:spacing w:line="360" w:lineRule="auto"/>
        <w:rPr>
          <w:rFonts w:ascii="宋体" w:hAnsi="宋体"/>
          <w:lang w:eastAsia="zh-CN"/>
        </w:rPr>
      </w:pPr>
      <w:r>
        <w:rPr>
          <w:rFonts w:ascii="宋体" w:hAnsi="宋体" w:hint="eastAsia"/>
          <w:lang w:eastAsia="zh-CN"/>
        </w:rPr>
        <w:t xml:space="preserve">评标委员会全体成员签名：                     </w:t>
      </w:r>
    </w:p>
    <w:p w14:paraId="4352C392">
      <w:pPr>
        <w:spacing w:line="360" w:lineRule="auto"/>
        <w:ind w:firstLine="240" w:firstLineChars="100"/>
        <w:rPr>
          <w:rFonts w:ascii="宋体" w:hAnsi="宋体"/>
          <w:lang w:eastAsia="zh-CN"/>
        </w:rPr>
      </w:pPr>
    </w:p>
    <w:p w14:paraId="6DF189DF">
      <w:pPr>
        <w:spacing w:line="360" w:lineRule="auto"/>
        <w:ind w:firstLine="240" w:firstLineChars="100"/>
        <w:jc w:val="right"/>
        <w:rPr>
          <w:rFonts w:ascii="宋体" w:hAnsi="宋体"/>
          <w:lang w:eastAsia="zh-CN"/>
        </w:rPr>
      </w:pPr>
      <w:r>
        <w:rPr>
          <w:rFonts w:ascii="宋体" w:hAnsi="宋体" w:hint="eastAsia"/>
          <w:lang w:eastAsia="zh-CN"/>
        </w:rPr>
        <w:t>日期：    年    月    日</w:t>
      </w:r>
    </w:p>
    <w:p w14:paraId="4E669950">
      <w:pPr>
        <w:rPr>
          <w:rFonts w:ascii="宋体" w:hAnsi="宋体"/>
          <w:sz w:val="27"/>
          <w:szCs w:val="22"/>
          <w:lang w:eastAsia="zh-CN"/>
        </w:rPr>
      </w:pPr>
    </w:p>
    <w:p w14:paraId="2B7198EA">
      <w:pPr>
        <w:rPr>
          <w:rFonts w:ascii="宋体" w:hAnsi="宋体"/>
          <w:sz w:val="27"/>
          <w:lang w:eastAsia="zh-CN"/>
        </w:rPr>
      </w:pPr>
      <w:r>
        <w:rPr>
          <w:rFonts w:ascii="宋体" w:hAnsi="宋体" w:hint="eastAsia"/>
          <w:sz w:val="27"/>
          <w:lang w:eastAsia="zh-CN"/>
        </w:rPr>
        <w:br w:type="page"/>
      </w:r>
    </w:p>
    <w:p w14:paraId="0E4EC099">
      <w:pPr>
        <w:rPr>
          <w:rFonts w:ascii="宋体" w:hAnsi="宋体"/>
          <w:sz w:val="27"/>
          <w:lang w:eastAsia="zh-CN"/>
        </w:rPr>
      </w:pPr>
    </w:p>
    <w:p w14:paraId="591D774E">
      <w:pPr>
        <w:pStyle w:val="Heading2"/>
        <w:rPr>
          <w:rFonts w:ascii="宋体" w:hAnsi="宋体"/>
          <w:sz w:val="24"/>
          <w:szCs w:val="24"/>
        </w:rPr>
      </w:pPr>
      <w:r>
        <w:rPr>
          <w:rFonts w:ascii="宋体" w:hAnsi="宋体" w:hint="eastAsia"/>
          <w:sz w:val="24"/>
          <w:szCs w:val="24"/>
        </w:rPr>
        <w:t>附表A-3：资格评审记录表(适用于未进行资格预审的)</w:t>
      </w:r>
    </w:p>
    <w:p w14:paraId="3E92A503">
      <w:pPr>
        <w:rPr>
          <w:rFonts w:ascii="宋体" w:hAnsi="宋体"/>
          <w:b/>
          <w:sz w:val="27"/>
          <w:szCs w:val="22"/>
          <w:lang w:eastAsia="zh-CN"/>
        </w:rPr>
      </w:pPr>
    </w:p>
    <w:p w14:paraId="1BDFA3F9">
      <w:pPr>
        <w:spacing w:line="360" w:lineRule="auto"/>
        <w:jc w:val="center"/>
        <w:rPr>
          <w:rFonts w:ascii="宋体" w:hAnsi="宋体"/>
          <w:b/>
          <w:lang w:eastAsia="zh-CN"/>
        </w:rPr>
      </w:pPr>
      <w:r>
        <w:rPr>
          <w:rFonts w:ascii="宋体" w:hAnsi="宋体" w:hint="eastAsia"/>
          <w:b/>
          <w:lang w:eastAsia="zh-CN"/>
        </w:rPr>
        <w:t>资格评审记录表</w:t>
      </w:r>
    </w:p>
    <w:p w14:paraId="72088CAE">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779"/>
        <w:gridCol w:w="1720"/>
        <w:gridCol w:w="620"/>
        <w:gridCol w:w="679"/>
        <w:gridCol w:w="797"/>
        <w:gridCol w:w="797"/>
        <w:gridCol w:w="797"/>
        <w:gridCol w:w="797"/>
        <w:gridCol w:w="797"/>
        <w:gridCol w:w="806"/>
      </w:tblGrid>
      <w:tr w14:paraId="4E5DB946">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469"/>
          <w:jc w:val="center"/>
        </w:trPr>
        <w:tc>
          <w:tcPr>
            <w:tcW w:w="779" w:type="dxa"/>
            <w:vMerge w:val="restart"/>
            <w:tcBorders>
              <w:top w:val="single" w:sz="2" w:space="0" w:color="auto"/>
              <w:left w:val="single" w:sz="2" w:space="0" w:color="auto"/>
              <w:bottom w:val="single" w:sz="2" w:space="0" w:color="auto"/>
              <w:right w:val="single" w:sz="2" w:space="0" w:color="auto"/>
            </w:tcBorders>
            <w:vAlign w:val="center"/>
          </w:tcPr>
          <w:p w14:paraId="66FA1068">
            <w:pPr>
              <w:spacing w:line="360" w:lineRule="auto"/>
              <w:jc w:val="center"/>
              <w:rPr>
                <w:rFonts w:ascii="宋体" w:hAnsi="宋体"/>
              </w:rPr>
            </w:pPr>
            <w:r>
              <w:rPr>
                <w:rFonts w:ascii="宋体" w:hAnsi="宋体" w:hint="eastAsia"/>
              </w:rPr>
              <w:t>序号</w:t>
            </w:r>
          </w:p>
        </w:tc>
        <w:tc>
          <w:tcPr>
            <w:tcW w:w="1720" w:type="dxa"/>
            <w:vMerge w:val="restart"/>
            <w:tcBorders>
              <w:top w:val="single" w:sz="2" w:space="0" w:color="auto"/>
              <w:left w:val="single" w:sz="2" w:space="0" w:color="auto"/>
              <w:bottom w:val="single" w:sz="2" w:space="0" w:color="auto"/>
              <w:right w:val="single" w:sz="2" w:space="0" w:color="auto"/>
            </w:tcBorders>
            <w:vAlign w:val="center"/>
          </w:tcPr>
          <w:p w14:paraId="3E427CCD">
            <w:pPr>
              <w:spacing w:line="360" w:lineRule="auto"/>
              <w:jc w:val="center"/>
              <w:rPr>
                <w:rFonts w:ascii="宋体" w:hAnsi="宋体"/>
              </w:rPr>
            </w:pPr>
            <w:r>
              <w:rPr>
                <w:rFonts w:ascii="宋体" w:hAnsi="宋体" w:hint="eastAsia"/>
              </w:rPr>
              <w:t>评审因素</w:t>
            </w:r>
          </w:p>
        </w:tc>
        <w:tc>
          <w:tcPr>
            <w:tcW w:w="6090" w:type="dxa"/>
            <w:gridSpan w:val="8"/>
            <w:tcBorders>
              <w:top w:val="single" w:sz="2" w:space="0" w:color="auto"/>
              <w:left w:val="single" w:sz="2" w:space="0" w:color="auto"/>
              <w:bottom w:val="single" w:sz="2" w:space="0" w:color="auto"/>
              <w:right w:val="single" w:sz="2" w:space="0" w:color="auto"/>
            </w:tcBorders>
            <w:vAlign w:val="center"/>
          </w:tcPr>
          <w:p w14:paraId="59E23A1D">
            <w:pPr>
              <w:spacing w:line="360" w:lineRule="auto"/>
              <w:jc w:val="center"/>
              <w:rPr>
                <w:rFonts w:ascii="宋体" w:hAnsi="宋体"/>
                <w:lang w:eastAsia="zh-CN"/>
              </w:rPr>
            </w:pPr>
            <w:r>
              <w:rPr>
                <w:rFonts w:ascii="宋体" w:hAnsi="宋体" w:hint="eastAsia"/>
                <w:lang w:eastAsia="zh-CN"/>
              </w:rPr>
              <w:t>投标人名称及评审意见</w:t>
            </w:r>
          </w:p>
        </w:tc>
      </w:tr>
      <w:tr w14:paraId="05570236">
        <w:tblPrEx>
          <w:tblW w:w="0" w:type="auto"/>
          <w:jc w:val="center"/>
          <w:tblLayout w:type="fixed"/>
          <w:tblCellMar>
            <w:top w:w="0" w:type="dxa"/>
            <w:left w:w="108" w:type="dxa"/>
            <w:bottom w:w="0" w:type="dxa"/>
            <w:right w:w="108" w:type="dxa"/>
          </w:tblCellMar>
        </w:tblPrEx>
        <w:trPr>
          <w:trHeight w:val="469"/>
          <w:jc w:val="center"/>
        </w:trPr>
        <w:tc>
          <w:tcPr>
            <w:tcW w:w="779" w:type="dxa"/>
            <w:vMerge/>
            <w:tcBorders>
              <w:top w:val="single" w:sz="2" w:space="0" w:color="auto"/>
              <w:left w:val="single" w:sz="2" w:space="0" w:color="auto"/>
              <w:bottom w:val="single" w:sz="2" w:space="0" w:color="auto"/>
              <w:right w:val="single" w:sz="2" w:space="0" w:color="auto"/>
            </w:tcBorders>
            <w:vAlign w:val="center"/>
          </w:tcPr>
          <w:p w14:paraId="0E7675C2">
            <w:pPr>
              <w:rPr>
                <w:rFonts w:ascii="宋体" w:eastAsia="宋体" w:hAnsi="宋体"/>
                <w:kern w:val="2"/>
                <w:lang w:eastAsia="zh-CN"/>
              </w:rPr>
            </w:pPr>
          </w:p>
        </w:tc>
        <w:tc>
          <w:tcPr>
            <w:tcW w:w="1720" w:type="dxa"/>
            <w:vMerge/>
            <w:tcBorders>
              <w:top w:val="single" w:sz="2" w:space="0" w:color="auto"/>
              <w:left w:val="single" w:sz="2" w:space="0" w:color="auto"/>
              <w:bottom w:val="single" w:sz="2" w:space="0" w:color="auto"/>
              <w:right w:val="single" w:sz="2" w:space="0" w:color="auto"/>
            </w:tcBorders>
            <w:vAlign w:val="center"/>
          </w:tcPr>
          <w:p w14:paraId="2485AD22">
            <w:pPr>
              <w:rPr>
                <w:rFonts w:ascii="宋体" w:eastAsia="宋体" w:hAnsi="宋体"/>
                <w:kern w:val="2"/>
                <w:lang w:eastAsia="zh-CN"/>
              </w:rPr>
            </w:pPr>
          </w:p>
        </w:tc>
        <w:tc>
          <w:tcPr>
            <w:tcW w:w="620" w:type="dxa"/>
            <w:tcBorders>
              <w:top w:val="single" w:sz="2" w:space="0" w:color="auto"/>
              <w:left w:val="single" w:sz="2" w:space="0" w:color="auto"/>
              <w:bottom w:val="single" w:sz="2" w:space="0" w:color="auto"/>
              <w:right w:val="single" w:sz="2" w:space="0" w:color="auto"/>
            </w:tcBorders>
            <w:vAlign w:val="center"/>
          </w:tcPr>
          <w:p w14:paraId="4128D75F">
            <w:pPr>
              <w:spacing w:line="360" w:lineRule="auto"/>
              <w:jc w:val="center"/>
              <w:rPr>
                <w:rFonts w:ascii="宋体" w:hAnsi="宋体"/>
                <w:lang w:eastAsia="zh-CN"/>
              </w:rPr>
            </w:pPr>
          </w:p>
        </w:tc>
        <w:tc>
          <w:tcPr>
            <w:tcW w:w="679" w:type="dxa"/>
            <w:tcBorders>
              <w:top w:val="single" w:sz="2" w:space="0" w:color="auto"/>
              <w:left w:val="single" w:sz="2" w:space="0" w:color="auto"/>
              <w:bottom w:val="single" w:sz="2" w:space="0" w:color="auto"/>
              <w:right w:val="single" w:sz="2" w:space="0" w:color="auto"/>
            </w:tcBorders>
            <w:vAlign w:val="center"/>
          </w:tcPr>
          <w:p w14:paraId="2A8B4734">
            <w:pPr>
              <w:spacing w:line="360" w:lineRule="auto"/>
              <w:jc w:val="center"/>
              <w:rPr>
                <w:rFonts w:ascii="宋体" w:hAnsi="宋体"/>
                <w:lang w:eastAsia="zh-CN"/>
              </w:rPr>
            </w:pPr>
          </w:p>
        </w:tc>
        <w:tc>
          <w:tcPr>
            <w:tcW w:w="797" w:type="dxa"/>
            <w:tcBorders>
              <w:top w:val="single" w:sz="2" w:space="0" w:color="auto"/>
              <w:left w:val="single" w:sz="2" w:space="0" w:color="auto"/>
              <w:bottom w:val="single" w:sz="2" w:space="0" w:color="auto"/>
              <w:right w:val="single" w:sz="2" w:space="0" w:color="auto"/>
            </w:tcBorders>
            <w:vAlign w:val="center"/>
          </w:tcPr>
          <w:p w14:paraId="5031DCEF">
            <w:pPr>
              <w:spacing w:line="360" w:lineRule="auto"/>
              <w:jc w:val="center"/>
              <w:rPr>
                <w:rFonts w:ascii="宋体" w:hAnsi="宋体"/>
                <w:lang w:eastAsia="zh-CN"/>
              </w:rPr>
            </w:pPr>
          </w:p>
        </w:tc>
        <w:tc>
          <w:tcPr>
            <w:tcW w:w="797" w:type="dxa"/>
            <w:tcBorders>
              <w:top w:val="single" w:sz="2" w:space="0" w:color="auto"/>
              <w:left w:val="single" w:sz="2" w:space="0" w:color="auto"/>
              <w:bottom w:val="single" w:sz="2" w:space="0" w:color="auto"/>
              <w:right w:val="single" w:sz="2" w:space="0" w:color="auto"/>
            </w:tcBorders>
            <w:vAlign w:val="center"/>
          </w:tcPr>
          <w:p w14:paraId="578A8F0F">
            <w:pPr>
              <w:spacing w:line="360" w:lineRule="auto"/>
              <w:jc w:val="center"/>
              <w:rPr>
                <w:rFonts w:ascii="宋体" w:hAnsi="宋体"/>
                <w:lang w:eastAsia="zh-CN"/>
              </w:rPr>
            </w:pPr>
          </w:p>
        </w:tc>
        <w:tc>
          <w:tcPr>
            <w:tcW w:w="797" w:type="dxa"/>
            <w:tcBorders>
              <w:top w:val="single" w:sz="2" w:space="0" w:color="auto"/>
              <w:left w:val="single" w:sz="2" w:space="0" w:color="auto"/>
              <w:bottom w:val="single" w:sz="2" w:space="0" w:color="auto"/>
              <w:right w:val="single" w:sz="2" w:space="0" w:color="auto"/>
            </w:tcBorders>
            <w:vAlign w:val="center"/>
          </w:tcPr>
          <w:p w14:paraId="791AFBCF">
            <w:pPr>
              <w:spacing w:line="360" w:lineRule="auto"/>
              <w:jc w:val="center"/>
              <w:rPr>
                <w:rFonts w:ascii="宋体" w:hAnsi="宋体"/>
                <w:lang w:eastAsia="zh-CN"/>
              </w:rPr>
            </w:pPr>
          </w:p>
        </w:tc>
        <w:tc>
          <w:tcPr>
            <w:tcW w:w="797" w:type="dxa"/>
            <w:tcBorders>
              <w:top w:val="single" w:sz="2" w:space="0" w:color="auto"/>
              <w:left w:val="single" w:sz="2" w:space="0" w:color="auto"/>
              <w:bottom w:val="single" w:sz="2" w:space="0" w:color="auto"/>
              <w:right w:val="single" w:sz="2" w:space="0" w:color="auto"/>
            </w:tcBorders>
            <w:vAlign w:val="center"/>
          </w:tcPr>
          <w:p w14:paraId="4E21DDEC">
            <w:pPr>
              <w:spacing w:line="360" w:lineRule="auto"/>
              <w:jc w:val="center"/>
              <w:rPr>
                <w:rFonts w:ascii="宋体" w:hAnsi="宋体"/>
                <w:lang w:eastAsia="zh-CN"/>
              </w:rPr>
            </w:pPr>
          </w:p>
        </w:tc>
        <w:tc>
          <w:tcPr>
            <w:tcW w:w="797" w:type="dxa"/>
            <w:tcBorders>
              <w:top w:val="single" w:sz="2" w:space="0" w:color="auto"/>
              <w:left w:val="single" w:sz="2" w:space="0" w:color="auto"/>
              <w:bottom w:val="single" w:sz="2" w:space="0" w:color="auto"/>
              <w:right w:val="single" w:sz="2" w:space="0" w:color="auto"/>
            </w:tcBorders>
            <w:vAlign w:val="center"/>
          </w:tcPr>
          <w:p w14:paraId="16C2818F">
            <w:pPr>
              <w:spacing w:line="360" w:lineRule="auto"/>
              <w:jc w:val="center"/>
              <w:rPr>
                <w:rFonts w:ascii="宋体" w:hAnsi="宋体"/>
                <w:lang w:eastAsia="zh-CN"/>
              </w:rPr>
            </w:pPr>
          </w:p>
        </w:tc>
        <w:tc>
          <w:tcPr>
            <w:tcW w:w="806" w:type="dxa"/>
            <w:tcBorders>
              <w:top w:val="single" w:sz="2" w:space="0" w:color="auto"/>
              <w:left w:val="single" w:sz="2" w:space="0" w:color="auto"/>
              <w:bottom w:val="single" w:sz="2" w:space="0" w:color="auto"/>
              <w:right w:val="single" w:sz="2" w:space="0" w:color="auto"/>
            </w:tcBorders>
            <w:vAlign w:val="center"/>
          </w:tcPr>
          <w:p w14:paraId="4EAB536C">
            <w:pPr>
              <w:spacing w:line="360" w:lineRule="auto"/>
              <w:jc w:val="center"/>
              <w:rPr>
                <w:rFonts w:ascii="宋体" w:hAnsi="宋体"/>
                <w:lang w:eastAsia="zh-CN"/>
              </w:rPr>
            </w:pPr>
          </w:p>
        </w:tc>
      </w:tr>
      <w:tr w14:paraId="16E81719">
        <w:tblPrEx>
          <w:tblW w:w="0" w:type="auto"/>
          <w:jc w:val="center"/>
          <w:tblLayout w:type="fixed"/>
          <w:tblCellMar>
            <w:top w:w="0" w:type="dxa"/>
            <w:left w:w="108" w:type="dxa"/>
            <w:bottom w:w="0" w:type="dxa"/>
            <w:right w:w="108" w:type="dxa"/>
          </w:tblCellMar>
        </w:tblPrEx>
        <w:trPr>
          <w:trHeight w:val="485"/>
          <w:jc w:val="center"/>
        </w:trPr>
        <w:tc>
          <w:tcPr>
            <w:tcW w:w="779" w:type="dxa"/>
            <w:tcBorders>
              <w:top w:val="single" w:sz="2" w:space="0" w:color="auto"/>
              <w:left w:val="single" w:sz="2" w:space="0" w:color="auto"/>
              <w:bottom w:val="single" w:sz="2" w:space="0" w:color="auto"/>
              <w:right w:val="single" w:sz="2" w:space="0" w:color="auto"/>
            </w:tcBorders>
            <w:vAlign w:val="center"/>
          </w:tcPr>
          <w:p w14:paraId="7277A7DD">
            <w:pPr>
              <w:spacing w:line="360" w:lineRule="auto"/>
              <w:jc w:val="center"/>
              <w:rPr>
                <w:rFonts w:ascii="宋体" w:hAnsi="宋体"/>
              </w:rPr>
            </w:pPr>
            <w:r>
              <w:rPr>
                <w:rFonts w:ascii="宋体" w:hAnsi="宋体" w:hint="eastAsia"/>
              </w:rPr>
              <w:t>1</w:t>
            </w:r>
          </w:p>
        </w:tc>
        <w:tc>
          <w:tcPr>
            <w:tcW w:w="1720" w:type="dxa"/>
            <w:tcBorders>
              <w:top w:val="single" w:sz="2" w:space="0" w:color="auto"/>
              <w:left w:val="single" w:sz="2" w:space="0" w:color="auto"/>
              <w:bottom w:val="single" w:sz="2" w:space="0" w:color="auto"/>
              <w:right w:val="single" w:sz="2" w:space="0" w:color="auto"/>
            </w:tcBorders>
            <w:vAlign w:val="center"/>
          </w:tcPr>
          <w:p w14:paraId="0ED1FE60">
            <w:pPr>
              <w:spacing w:line="360" w:lineRule="auto"/>
              <w:jc w:val="center"/>
              <w:rPr>
                <w:rFonts w:ascii="宋体" w:hAnsi="宋体"/>
              </w:rPr>
            </w:pPr>
            <w:r>
              <w:rPr>
                <w:rFonts w:ascii="宋体" w:hAnsi="宋体" w:hint="eastAsia"/>
              </w:rPr>
              <w:t>营业执照</w:t>
            </w:r>
          </w:p>
        </w:tc>
        <w:tc>
          <w:tcPr>
            <w:tcW w:w="620" w:type="dxa"/>
            <w:tcBorders>
              <w:top w:val="single" w:sz="2" w:space="0" w:color="auto"/>
              <w:left w:val="single" w:sz="2" w:space="0" w:color="auto"/>
              <w:bottom w:val="single" w:sz="2" w:space="0" w:color="auto"/>
              <w:right w:val="single" w:sz="2" w:space="0" w:color="auto"/>
            </w:tcBorders>
            <w:vAlign w:val="center"/>
          </w:tcPr>
          <w:p w14:paraId="11CC6582">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5C5FEA46">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328B9C4">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7B628D39">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35F4470C">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15906624">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656CFEE2">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7B65DD45">
            <w:pPr>
              <w:spacing w:line="360" w:lineRule="auto"/>
              <w:jc w:val="center"/>
              <w:rPr>
                <w:rFonts w:ascii="宋体" w:hAnsi="宋体"/>
              </w:rPr>
            </w:pPr>
          </w:p>
        </w:tc>
      </w:tr>
      <w:tr w14:paraId="2024C4D8">
        <w:tblPrEx>
          <w:tblW w:w="0" w:type="auto"/>
          <w:jc w:val="center"/>
          <w:tblLayout w:type="fixed"/>
          <w:tblCellMar>
            <w:top w:w="0" w:type="dxa"/>
            <w:left w:w="108" w:type="dxa"/>
            <w:bottom w:w="0" w:type="dxa"/>
            <w:right w:w="108" w:type="dxa"/>
          </w:tblCellMar>
        </w:tblPrEx>
        <w:trPr>
          <w:trHeight w:val="939"/>
          <w:jc w:val="center"/>
        </w:trPr>
        <w:tc>
          <w:tcPr>
            <w:tcW w:w="779" w:type="dxa"/>
            <w:tcBorders>
              <w:top w:val="single" w:sz="2" w:space="0" w:color="auto"/>
              <w:left w:val="single" w:sz="2" w:space="0" w:color="auto"/>
              <w:bottom w:val="single" w:sz="2" w:space="0" w:color="auto"/>
              <w:right w:val="single" w:sz="2" w:space="0" w:color="auto"/>
            </w:tcBorders>
            <w:vAlign w:val="center"/>
          </w:tcPr>
          <w:p w14:paraId="1FF29BF5">
            <w:pPr>
              <w:spacing w:line="360" w:lineRule="auto"/>
              <w:jc w:val="center"/>
              <w:rPr>
                <w:rFonts w:ascii="宋体" w:hAnsi="宋体"/>
              </w:rPr>
            </w:pPr>
            <w:r>
              <w:rPr>
                <w:rFonts w:ascii="宋体" w:hAnsi="宋体" w:hint="eastAsia"/>
              </w:rPr>
              <w:t>2</w:t>
            </w:r>
          </w:p>
        </w:tc>
        <w:tc>
          <w:tcPr>
            <w:tcW w:w="1720" w:type="dxa"/>
            <w:tcBorders>
              <w:top w:val="single" w:sz="2" w:space="0" w:color="auto"/>
              <w:left w:val="single" w:sz="2" w:space="0" w:color="auto"/>
              <w:bottom w:val="single" w:sz="2" w:space="0" w:color="auto"/>
              <w:right w:val="single" w:sz="2" w:space="0" w:color="auto"/>
            </w:tcBorders>
            <w:vAlign w:val="center"/>
          </w:tcPr>
          <w:p w14:paraId="63AB4BE0">
            <w:pPr>
              <w:spacing w:line="360" w:lineRule="auto"/>
              <w:jc w:val="center"/>
              <w:rPr>
                <w:rFonts w:ascii="宋体" w:hAnsi="宋体"/>
              </w:rPr>
            </w:pPr>
            <w:r>
              <w:rPr>
                <w:rFonts w:ascii="宋体" w:hAnsi="宋体" w:hint="eastAsia"/>
              </w:rPr>
              <w:t>安全生产</w:t>
            </w:r>
          </w:p>
          <w:p w14:paraId="4B72277B">
            <w:pPr>
              <w:spacing w:line="360" w:lineRule="auto"/>
              <w:jc w:val="center"/>
              <w:rPr>
                <w:rFonts w:ascii="宋体" w:hAnsi="宋体"/>
              </w:rPr>
            </w:pPr>
            <w:r>
              <w:rPr>
                <w:rFonts w:ascii="宋体" w:hAnsi="宋体" w:hint="eastAsia"/>
              </w:rPr>
              <w:t>许可证</w:t>
            </w:r>
          </w:p>
        </w:tc>
        <w:tc>
          <w:tcPr>
            <w:tcW w:w="620" w:type="dxa"/>
            <w:tcBorders>
              <w:top w:val="single" w:sz="2" w:space="0" w:color="auto"/>
              <w:left w:val="single" w:sz="2" w:space="0" w:color="auto"/>
              <w:bottom w:val="single" w:sz="2" w:space="0" w:color="auto"/>
              <w:right w:val="single" w:sz="2" w:space="0" w:color="auto"/>
            </w:tcBorders>
            <w:vAlign w:val="center"/>
          </w:tcPr>
          <w:p w14:paraId="02AF6F8E">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41D8FCF7">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F2D13FB">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51790987">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BF37AD3">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7DC76838">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08D1371C">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1144CCBB">
            <w:pPr>
              <w:spacing w:line="360" w:lineRule="auto"/>
              <w:jc w:val="center"/>
              <w:rPr>
                <w:rFonts w:ascii="宋体" w:hAnsi="宋体"/>
              </w:rPr>
            </w:pPr>
          </w:p>
        </w:tc>
      </w:tr>
      <w:tr w14:paraId="6CA726E9">
        <w:tblPrEx>
          <w:tblW w:w="0" w:type="auto"/>
          <w:jc w:val="center"/>
          <w:tblLayout w:type="fixed"/>
          <w:tblCellMar>
            <w:top w:w="0" w:type="dxa"/>
            <w:left w:w="108" w:type="dxa"/>
            <w:bottom w:w="0" w:type="dxa"/>
            <w:right w:w="108" w:type="dxa"/>
          </w:tblCellMar>
        </w:tblPrEx>
        <w:trPr>
          <w:trHeight w:val="469"/>
          <w:jc w:val="center"/>
        </w:trPr>
        <w:tc>
          <w:tcPr>
            <w:tcW w:w="779" w:type="dxa"/>
            <w:tcBorders>
              <w:top w:val="single" w:sz="2" w:space="0" w:color="auto"/>
              <w:left w:val="single" w:sz="2" w:space="0" w:color="auto"/>
              <w:bottom w:val="single" w:sz="2" w:space="0" w:color="auto"/>
              <w:right w:val="single" w:sz="2" w:space="0" w:color="auto"/>
            </w:tcBorders>
            <w:vAlign w:val="center"/>
          </w:tcPr>
          <w:p w14:paraId="1CC1DDDA">
            <w:pPr>
              <w:spacing w:line="360" w:lineRule="auto"/>
              <w:jc w:val="center"/>
              <w:rPr>
                <w:rFonts w:ascii="宋体" w:hAnsi="宋体"/>
              </w:rPr>
            </w:pPr>
            <w:r>
              <w:rPr>
                <w:rFonts w:ascii="宋体" w:hAnsi="宋体" w:hint="eastAsia"/>
              </w:rPr>
              <w:t>3</w:t>
            </w:r>
          </w:p>
        </w:tc>
        <w:tc>
          <w:tcPr>
            <w:tcW w:w="1720" w:type="dxa"/>
            <w:tcBorders>
              <w:top w:val="single" w:sz="2" w:space="0" w:color="auto"/>
              <w:left w:val="single" w:sz="2" w:space="0" w:color="auto"/>
              <w:bottom w:val="single" w:sz="2" w:space="0" w:color="auto"/>
              <w:right w:val="single" w:sz="2" w:space="0" w:color="auto"/>
            </w:tcBorders>
            <w:vAlign w:val="center"/>
          </w:tcPr>
          <w:p w14:paraId="461CA61E">
            <w:pPr>
              <w:spacing w:line="360" w:lineRule="auto"/>
              <w:jc w:val="center"/>
              <w:rPr>
                <w:rFonts w:ascii="宋体" w:hAnsi="宋体"/>
              </w:rPr>
            </w:pPr>
            <w:r>
              <w:rPr>
                <w:rFonts w:ascii="宋体" w:hAnsi="宋体" w:hint="eastAsia"/>
              </w:rPr>
              <w:t>资质等级</w:t>
            </w:r>
          </w:p>
        </w:tc>
        <w:tc>
          <w:tcPr>
            <w:tcW w:w="620" w:type="dxa"/>
            <w:tcBorders>
              <w:top w:val="single" w:sz="2" w:space="0" w:color="auto"/>
              <w:left w:val="single" w:sz="2" w:space="0" w:color="auto"/>
              <w:bottom w:val="single" w:sz="2" w:space="0" w:color="auto"/>
              <w:right w:val="single" w:sz="2" w:space="0" w:color="auto"/>
            </w:tcBorders>
            <w:vAlign w:val="center"/>
          </w:tcPr>
          <w:p w14:paraId="096CAE63">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6F38B4DD">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7D8458BE">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5014EBB6">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07CAD8C8">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639C223E">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505FBDF5">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79781B5C">
            <w:pPr>
              <w:spacing w:line="360" w:lineRule="auto"/>
              <w:jc w:val="center"/>
              <w:rPr>
                <w:rFonts w:ascii="宋体" w:hAnsi="宋体"/>
              </w:rPr>
            </w:pPr>
          </w:p>
        </w:tc>
      </w:tr>
      <w:tr w14:paraId="121DBA5E">
        <w:tblPrEx>
          <w:tblW w:w="0" w:type="auto"/>
          <w:jc w:val="center"/>
          <w:tblLayout w:type="fixed"/>
          <w:tblCellMar>
            <w:top w:w="0" w:type="dxa"/>
            <w:left w:w="108" w:type="dxa"/>
            <w:bottom w:w="0" w:type="dxa"/>
            <w:right w:w="108" w:type="dxa"/>
          </w:tblCellMar>
        </w:tblPrEx>
        <w:trPr>
          <w:trHeight w:val="469"/>
          <w:jc w:val="center"/>
        </w:trPr>
        <w:tc>
          <w:tcPr>
            <w:tcW w:w="779" w:type="dxa"/>
            <w:tcBorders>
              <w:top w:val="single" w:sz="2" w:space="0" w:color="auto"/>
              <w:left w:val="single" w:sz="2" w:space="0" w:color="auto"/>
              <w:bottom w:val="single" w:sz="2" w:space="0" w:color="auto"/>
              <w:right w:val="single" w:sz="2" w:space="0" w:color="auto"/>
            </w:tcBorders>
            <w:vAlign w:val="center"/>
          </w:tcPr>
          <w:p w14:paraId="71FF991B">
            <w:pPr>
              <w:spacing w:line="360" w:lineRule="auto"/>
              <w:jc w:val="center"/>
              <w:rPr>
                <w:rFonts w:ascii="宋体" w:hAnsi="宋体"/>
              </w:rPr>
            </w:pPr>
            <w:r>
              <w:rPr>
                <w:rFonts w:ascii="宋体" w:hAnsi="宋体" w:hint="eastAsia"/>
              </w:rPr>
              <w:t>4</w:t>
            </w:r>
          </w:p>
        </w:tc>
        <w:tc>
          <w:tcPr>
            <w:tcW w:w="1720" w:type="dxa"/>
            <w:tcBorders>
              <w:top w:val="single" w:sz="2" w:space="0" w:color="auto"/>
              <w:left w:val="single" w:sz="2" w:space="0" w:color="auto"/>
              <w:bottom w:val="single" w:sz="2" w:space="0" w:color="auto"/>
              <w:right w:val="single" w:sz="2" w:space="0" w:color="auto"/>
            </w:tcBorders>
            <w:vAlign w:val="center"/>
          </w:tcPr>
          <w:p w14:paraId="1F339146">
            <w:pPr>
              <w:spacing w:line="360" w:lineRule="auto"/>
              <w:jc w:val="center"/>
              <w:rPr>
                <w:rFonts w:ascii="宋体" w:hAnsi="宋体"/>
              </w:rPr>
            </w:pPr>
            <w:r>
              <w:rPr>
                <w:rFonts w:ascii="宋体" w:hAnsi="宋体" w:hint="eastAsia"/>
              </w:rPr>
              <w:t>财务状况</w:t>
            </w:r>
          </w:p>
        </w:tc>
        <w:tc>
          <w:tcPr>
            <w:tcW w:w="620" w:type="dxa"/>
            <w:tcBorders>
              <w:top w:val="single" w:sz="2" w:space="0" w:color="auto"/>
              <w:left w:val="single" w:sz="2" w:space="0" w:color="auto"/>
              <w:bottom w:val="single" w:sz="2" w:space="0" w:color="auto"/>
              <w:right w:val="single" w:sz="2" w:space="0" w:color="auto"/>
            </w:tcBorders>
            <w:vAlign w:val="center"/>
          </w:tcPr>
          <w:p w14:paraId="6C703FC3">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39E1C1BF">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02346282">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0CE91BDC">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3E686582">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03C0075F">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12E1BF51">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1BF911DE">
            <w:pPr>
              <w:spacing w:line="360" w:lineRule="auto"/>
              <w:jc w:val="center"/>
              <w:rPr>
                <w:rFonts w:ascii="宋体" w:hAnsi="宋体"/>
              </w:rPr>
            </w:pPr>
          </w:p>
        </w:tc>
      </w:tr>
      <w:tr w14:paraId="6B8551CE">
        <w:tblPrEx>
          <w:tblW w:w="0" w:type="auto"/>
          <w:jc w:val="center"/>
          <w:tblLayout w:type="fixed"/>
          <w:tblCellMar>
            <w:top w:w="0" w:type="dxa"/>
            <w:left w:w="108" w:type="dxa"/>
            <w:bottom w:w="0" w:type="dxa"/>
            <w:right w:w="108" w:type="dxa"/>
          </w:tblCellMar>
        </w:tblPrEx>
        <w:trPr>
          <w:trHeight w:val="955"/>
          <w:jc w:val="center"/>
        </w:trPr>
        <w:tc>
          <w:tcPr>
            <w:tcW w:w="779" w:type="dxa"/>
            <w:tcBorders>
              <w:top w:val="single" w:sz="2" w:space="0" w:color="auto"/>
              <w:left w:val="single" w:sz="2" w:space="0" w:color="auto"/>
              <w:bottom w:val="single" w:sz="2" w:space="0" w:color="auto"/>
              <w:right w:val="single" w:sz="2" w:space="0" w:color="auto"/>
            </w:tcBorders>
            <w:vAlign w:val="center"/>
          </w:tcPr>
          <w:p w14:paraId="060A4CF5">
            <w:pPr>
              <w:spacing w:line="360" w:lineRule="auto"/>
              <w:jc w:val="center"/>
              <w:rPr>
                <w:rFonts w:ascii="宋体" w:hAnsi="宋体"/>
              </w:rPr>
            </w:pPr>
            <w:r>
              <w:rPr>
                <w:rFonts w:ascii="宋体" w:hAnsi="宋体" w:hint="eastAsia"/>
              </w:rPr>
              <w:t>5</w:t>
            </w:r>
          </w:p>
        </w:tc>
        <w:tc>
          <w:tcPr>
            <w:tcW w:w="1720" w:type="dxa"/>
            <w:tcBorders>
              <w:top w:val="single" w:sz="2" w:space="0" w:color="auto"/>
              <w:left w:val="single" w:sz="2" w:space="0" w:color="auto"/>
              <w:bottom w:val="single" w:sz="2" w:space="0" w:color="auto"/>
              <w:right w:val="single" w:sz="2" w:space="0" w:color="auto"/>
            </w:tcBorders>
            <w:vAlign w:val="center"/>
          </w:tcPr>
          <w:p w14:paraId="06F6A1CF">
            <w:pPr>
              <w:spacing w:line="360" w:lineRule="auto"/>
              <w:jc w:val="center"/>
              <w:rPr>
                <w:rFonts w:ascii="宋体" w:hAnsi="宋体"/>
              </w:rPr>
            </w:pPr>
            <w:r>
              <w:rPr>
                <w:rFonts w:ascii="宋体" w:hAnsi="宋体" w:hint="eastAsia"/>
              </w:rPr>
              <w:t>类似项目业绩</w:t>
            </w:r>
          </w:p>
        </w:tc>
        <w:tc>
          <w:tcPr>
            <w:tcW w:w="620" w:type="dxa"/>
            <w:tcBorders>
              <w:top w:val="single" w:sz="2" w:space="0" w:color="auto"/>
              <w:left w:val="single" w:sz="2" w:space="0" w:color="auto"/>
              <w:bottom w:val="single" w:sz="2" w:space="0" w:color="auto"/>
              <w:right w:val="single" w:sz="2" w:space="0" w:color="auto"/>
            </w:tcBorders>
            <w:vAlign w:val="center"/>
          </w:tcPr>
          <w:p w14:paraId="5D7AE15C">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36EE5A65">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0A69773E">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6E0A6D22">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1557C185">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38C6437">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1E56C60">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699EF9D8">
            <w:pPr>
              <w:spacing w:line="360" w:lineRule="auto"/>
              <w:jc w:val="center"/>
              <w:rPr>
                <w:rFonts w:ascii="宋体" w:hAnsi="宋体"/>
              </w:rPr>
            </w:pPr>
          </w:p>
        </w:tc>
      </w:tr>
      <w:tr w14:paraId="68DD0EE4">
        <w:tblPrEx>
          <w:tblW w:w="0" w:type="auto"/>
          <w:jc w:val="center"/>
          <w:tblLayout w:type="fixed"/>
          <w:tblCellMar>
            <w:top w:w="0" w:type="dxa"/>
            <w:left w:w="108" w:type="dxa"/>
            <w:bottom w:w="0" w:type="dxa"/>
            <w:right w:w="108" w:type="dxa"/>
          </w:tblCellMar>
        </w:tblPrEx>
        <w:trPr>
          <w:trHeight w:val="469"/>
          <w:jc w:val="center"/>
        </w:trPr>
        <w:tc>
          <w:tcPr>
            <w:tcW w:w="779" w:type="dxa"/>
            <w:tcBorders>
              <w:top w:val="single" w:sz="2" w:space="0" w:color="auto"/>
              <w:left w:val="single" w:sz="2" w:space="0" w:color="auto"/>
              <w:bottom w:val="single" w:sz="2" w:space="0" w:color="auto"/>
              <w:right w:val="single" w:sz="2" w:space="0" w:color="auto"/>
            </w:tcBorders>
            <w:vAlign w:val="center"/>
          </w:tcPr>
          <w:p w14:paraId="0B69567A">
            <w:pPr>
              <w:spacing w:line="360" w:lineRule="auto"/>
              <w:jc w:val="center"/>
              <w:rPr>
                <w:rFonts w:ascii="宋体" w:hAnsi="宋体"/>
              </w:rPr>
            </w:pPr>
            <w:r>
              <w:rPr>
                <w:rFonts w:ascii="宋体" w:hAnsi="宋体" w:hint="eastAsia"/>
              </w:rPr>
              <w:t>6</w:t>
            </w:r>
          </w:p>
        </w:tc>
        <w:tc>
          <w:tcPr>
            <w:tcW w:w="1720" w:type="dxa"/>
            <w:tcBorders>
              <w:top w:val="single" w:sz="2" w:space="0" w:color="auto"/>
              <w:left w:val="single" w:sz="2" w:space="0" w:color="auto"/>
              <w:bottom w:val="single" w:sz="2" w:space="0" w:color="auto"/>
              <w:right w:val="single" w:sz="2" w:space="0" w:color="auto"/>
            </w:tcBorders>
            <w:vAlign w:val="center"/>
          </w:tcPr>
          <w:p w14:paraId="708D6BB3">
            <w:pPr>
              <w:spacing w:line="360" w:lineRule="auto"/>
              <w:jc w:val="center"/>
              <w:rPr>
                <w:rFonts w:ascii="宋体" w:hAnsi="宋体"/>
              </w:rPr>
            </w:pPr>
            <w:r>
              <w:rPr>
                <w:rFonts w:ascii="宋体" w:hAnsi="宋体" w:hint="eastAsia"/>
              </w:rPr>
              <w:t>信誉</w:t>
            </w:r>
          </w:p>
        </w:tc>
        <w:tc>
          <w:tcPr>
            <w:tcW w:w="620" w:type="dxa"/>
            <w:tcBorders>
              <w:top w:val="single" w:sz="2" w:space="0" w:color="auto"/>
              <w:left w:val="single" w:sz="2" w:space="0" w:color="auto"/>
              <w:bottom w:val="single" w:sz="2" w:space="0" w:color="auto"/>
              <w:right w:val="single" w:sz="2" w:space="0" w:color="auto"/>
            </w:tcBorders>
            <w:vAlign w:val="center"/>
          </w:tcPr>
          <w:p w14:paraId="4F0D4856">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2433FDD2">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94B4FA1">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481D242A">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63EA0B75">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377CC84B">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084DD03D">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1D12E167">
            <w:pPr>
              <w:spacing w:line="360" w:lineRule="auto"/>
              <w:jc w:val="center"/>
              <w:rPr>
                <w:rFonts w:ascii="宋体" w:hAnsi="宋体"/>
              </w:rPr>
            </w:pPr>
          </w:p>
        </w:tc>
      </w:tr>
      <w:tr w14:paraId="4EECC860">
        <w:tblPrEx>
          <w:tblW w:w="0" w:type="auto"/>
          <w:jc w:val="center"/>
          <w:tblLayout w:type="fixed"/>
          <w:tblCellMar>
            <w:top w:w="0" w:type="dxa"/>
            <w:left w:w="108" w:type="dxa"/>
            <w:bottom w:w="0" w:type="dxa"/>
            <w:right w:w="108" w:type="dxa"/>
          </w:tblCellMar>
        </w:tblPrEx>
        <w:trPr>
          <w:trHeight w:val="469"/>
          <w:jc w:val="center"/>
        </w:trPr>
        <w:tc>
          <w:tcPr>
            <w:tcW w:w="779" w:type="dxa"/>
            <w:tcBorders>
              <w:top w:val="single" w:sz="2" w:space="0" w:color="auto"/>
              <w:left w:val="single" w:sz="2" w:space="0" w:color="auto"/>
              <w:bottom w:val="single" w:sz="2" w:space="0" w:color="auto"/>
              <w:right w:val="single" w:sz="2" w:space="0" w:color="auto"/>
            </w:tcBorders>
            <w:vAlign w:val="center"/>
          </w:tcPr>
          <w:p w14:paraId="2F27871B">
            <w:pPr>
              <w:spacing w:line="360" w:lineRule="auto"/>
              <w:jc w:val="center"/>
              <w:rPr>
                <w:rFonts w:ascii="宋体" w:hAnsi="宋体"/>
              </w:rPr>
            </w:pPr>
            <w:r>
              <w:rPr>
                <w:rFonts w:ascii="宋体" w:hAnsi="宋体" w:hint="eastAsia"/>
              </w:rPr>
              <w:t>7</w:t>
            </w:r>
          </w:p>
        </w:tc>
        <w:tc>
          <w:tcPr>
            <w:tcW w:w="1720" w:type="dxa"/>
            <w:tcBorders>
              <w:top w:val="single" w:sz="2" w:space="0" w:color="auto"/>
              <w:left w:val="single" w:sz="2" w:space="0" w:color="auto"/>
              <w:bottom w:val="single" w:sz="2" w:space="0" w:color="auto"/>
              <w:right w:val="single" w:sz="2" w:space="0" w:color="auto"/>
            </w:tcBorders>
            <w:vAlign w:val="center"/>
          </w:tcPr>
          <w:p w14:paraId="7ECD26A5">
            <w:pPr>
              <w:spacing w:line="360" w:lineRule="auto"/>
              <w:jc w:val="center"/>
              <w:rPr>
                <w:rFonts w:ascii="宋体" w:hAnsi="宋体"/>
              </w:rPr>
            </w:pPr>
            <w:r>
              <w:rPr>
                <w:rFonts w:ascii="宋体" w:hAnsi="宋体" w:hint="eastAsia"/>
              </w:rPr>
              <w:t>项目经理</w:t>
            </w:r>
          </w:p>
        </w:tc>
        <w:tc>
          <w:tcPr>
            <w:tcW w:w="620" w:type="dxa"/>
            <w:tcBorders>
              <w:top w:val="single" w:sz="2" w:space="0" w:color="auto"/>
              <w:left w:val="single" w:sz="2" w:space="0" w:color="auto"/>
              <w:bottom w:val="single" w:sz="2" w:space="0" w:color="auto"/>
              <w:right w:val="single" w:sz="2" w:space="0" w:color="auto"/>
            </w:tcBorders>
            <w:vAlign w:val="center"/>
          </w:tcPr>
          <w:p w14:paraId="1A04A541">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351661C0">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4D938C01">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31438C5">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04B5A3D9">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551954E6">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5FCC86E9">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3B0B8672">
            <w:pPr>
              <w:spacing w:line="360" w:lineRule="auto"/>
              <w:jc w:val="center"/>
              <w:rPr>
                <w:rFonts w:ascii="宋体" w:hAnsi="宋体"/>
              </w:rPr>
            </w:pPr>
          </w:p>
        </w:tc>
      </w:tr>
      <w:tr w14:paraId="315B77FD">
        <w:tblPrEx>
          <w:tblW w:w="0" w:type="auto"/>
          <w:jc w:val="center"/>
          <w:tblLayout w:type="fixed"/>
          <w:tblCellMar>
            <w:top w:w="0" w:type="dxa"/>
            <w:left w:w="108" w:type="dxa"/>
            <w:bottom w:w="0" w:type="dxa"/>
            <w:right w:w="108" w:type="dxa"/>
          </w:tblCellMar>
        </w:tblPrEx>
        <w:trPr>
          <w:trHeight w:val="469"/>
          <w:jc w:val="center"/>
        </w:trPr>
        <w:tc>
          <w:tcPr>
            <w:tcW w:w="779" w:type="dxa"/>
            <w:tcBorders>
              <w:top w:val="single" w:sz="2" w:space="0" w:color="auto"/>
              <w:left w:val="single" w:sz="2" w:space="0" w:color="auto"/>
              <w:bottom w:val="single" w:sz="2" w:space="0" w:color="auto"/>
              <w:right w:val="single" w:sz="2" w:space="0" w:color="auto"/>
            </w:tcBorders>
            <w:vAlign w:val="center"/>
          </w:tcPr>
          <w:p w14:paraId="10060868">
            <w:pPr>
              <w:spacing w:line="360" w:lineRule="auto"/>
              <w:jc w:val="center"/>
              <w:rPr>
                <w:rFonts w:ascii="宋体" w:hAnsi="宋体"/>
              </w:rPr>
            </w:pPr>
            <w:r>
              <w:rPr>
                <w:rFonts w:ascii="宋体" w:hAnsi="宋体" w:hint="eastAsia"/>
              </w:rPr>
              <w:t>8</w:t>
            </w:r>
          </w:p>
        </w:tc>
        <w:tc>
          <w:tcPr>
            <w:tcW w:w="1720" w:type="dxa"/>
            <w:tcBorders>
              <w:top w:val="single" w:sz="2" w:space="0" w:color="auto"/>
              <w:left w:val="single" w:sz="2" w:space="0" w:color="auto"/>
              <w:bottom w:val="single" w:sz="2" w:space="0" w:color="auto"/>
              <w:right w:val="single" w:sz="2" w:space="0" w:color="auto"/>
            </w:tcBorders>
            <w:vAlign w:val="center"/>
          </w:tcPr>
          <w:p w14:paraId="60AFBAB1">
            <w:pPr>
              <w:spacing w:line="360" w:lineRule="auto"/>
              <w:jc w:val="center"/>
              <w:rPr>
                <w:rFonts w:ascii="宋体" w:hAnsi="宋体"/>
              </w:rPr>
            </w:pPr>
            <w:r>
              <w:rPr>
                <w:rFonts w:ascii="宋体" w:hAnsi="宋体" w:hint="eastAsia"/>
              </w:rPr>
              <w:t>技术负责人</w:t>
            </w:r>
          </w:p>
        </w:tc>
        <w:tc>
          <w:tcPr>
            <w:tcW w:w="620" w:type="dxa"/>
            <w:tcBorders>
              <w:top w:val="single" w:sz="2" w:space="0" w:color="auto"/>
              <w:left w:val="single" w:sz="2" w:space="0" w:color="auto"/>
              <w:bottom w:val="single" w:sz="2" w:space="0" w:color="auto"/>
              <w:right w:val="single" w:sz="2" w:space="0" w:color="auto"/>
            </w:tcBorders>
            <w:vAlign w:val="center"/>
          </w:tcPr>
          <w:p w14:paraId="1D836A9A">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0A5D1B56">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0359B113">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6835CB76">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6A50C183">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BA787F3">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3B3A9F9F">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5D28200F">
            <w:pPr>
              <w:spacing w:line="360" w:lineRule="auto"/>
              <w:jc w:val="center"/>
              <w:rPr>
                <w:rFonts w:ascii="宋体" w:hAnsi="宋体"/>
              </w:rPr>
            </w:pPr>
          </w:p>
        </w:tc>
      </w:tr>
      <w:tr w14:paraId="0E42FE0F">
        <w:tblPrEx>
          <w:tblW w:w="0" w:type="auto"/>
          <w:jc w:val="center"/>
          <w:tblLayout w:type="fixed"/>
          <w:tblCellMar>
            <w:top w:w="0" w:type="dxa"/>
            <w:left w:w="108" w:type="dxa"/>
            <w:bottom w:w="0" w:type="dxa"/>
            <w:right w:w="108" w:type="dxa"/>
          </w:tblCellMar>
        </w:tblPrEx>
        <w:trPr>
          <w:trHeight w:val="469"/>
          <w:jc w:val="center"/>
        </w:trPr>
        <w:tc>
          <w:tcPr>
            <w:tcW w:w="779" w:type="dxa"/>
            <w:tcBorders>
              <w:top w:val="single" w:sz="2" w:space="0" w:color="auto"/>
              <w:left w:val="single" w:sz="2" w:space="0" w:color="auto"/>
              <w:bottom w:val="single" w:sz="2" w:space="0" w:color="auto"/>
              <w:right w:val="single" w:sz="2" w:space="0" w:color="auto"/>
            </w:tcBorders>
            <w:vAlign w:val="center"/>
          </w:tcPr>
          <w:p w14:paraId="2537352A">
            <w:pPr>
              <w:spacing w:line="360" w:lineRule="auto"/>
              <w:jc w:val="center"/>
              <w:rPr>
                <w:rFonts w:ascii="宋体" w:hAnsi="宋体"/>
              </w:rPr>
            </w:pPr>
            <w:r>
              <w:rPr>
                <w:rFonts w:ascii="宋体" w:hAnsi="宋体" w:hint="eastAsia"/>
              </w:rPr>
              <w:t>9</w:t>
            </w:r>
          </w:p>
        </w:tc>
        <w:tc>
          <w:tcPr>
            <w:tcW w:w="1720" w:type="dxa"/>
            <w:tcBorders>
              <w:top w:val="single" w:sz="2" w:space="0" w:color="auto"/>
              <w:left w:val="single" w:sz="2" w:space="0" w:color="auto"/>
              <w:bottom w:val="single" w:sz="2" w:space="0" w:color="auto"/>
              <w:right w:val="single" w:sz="2" w:space="0" w:color="auto"/>
            </w:tcBorders>
            <w:vAlign w:val="center"/>
          </w:tcPr>
          <w:p w14:paraId="12F4F24E">
            <w:pPr>
              <w:spacing w:line="360" w:lineRule="auto"/>
              <w:jc w:val="center"/>
              <w:rPr>
                <w:rFonts w:ascii="宋体" w:hAnsi="宋体"/>
              </w:rPr>
            </w:pPr>
            <w:r>
              <w:rPr>
                <w:rFonts w:ascii="宋体" w:hAnsi="宋体" w:hint="eastAsia"/>
              </w:rPr>
              <w:t>其他要求</w:t>
            </w:r>
          </w:p>
        </w:tc>
        <w:tc>
          <w:tcPr>
            <w:tcW w:w="620" w:type="dxa"/>
            <w:tcBorders>
              <w:top w:val="single" w:sz="2" w:space="0" w:color="auto"/>
              <w:left w:val="single" w:sz="2" w:space="0" w:color="auto"/>
              <w:bottom w:val="single" w:sz="2" w:space="0" w:color="auto"/>
              <w:right w:val="single" w:sz="2" w:space="0" w:color="auto"/>
            </w:tcBorders>
            <w:vAlign w:val="center"/>
          </w:tcPr>
          <w:p w14:paraId="070ABA97">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4D08EBD8">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D67115E">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15886412">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3A2AE55F">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3619524F">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A6821C5">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6B606F04">
            <w:pPr>
              <w:spacing w:line="360" w:lineRule="auto"/>
              <w:jc w:val="center"/>
              <w:rPr>
                <w:rFonts w:ascii="宋体" w:hAnsi="宋体"/>
              </w:rPr>
            </w:pPr>
          </w:p>
        </w:tc>
      </w:tr>
      <w:tr w14:paraId="798F4A53">
        <w:tblPrEx>
          <w:tblW w:w="0" w:type="auto"/>
          <w:jc w:val="center"/>
          <w:tblLayout w:type="fixed"/>
          <w:tblCellMar>
            <w:top w:w="0" w:type="dxa"/>
            <w:left w:w="108" w:type="dxa"/>
            <w:bottom w:w="0" w:type="dxa"/>
            <w:right w:w="108" w:type="dxa"/>
          </w:tblCellMar>
        </w:tblPrEx>
        <w:trPr>
          <w:trHeight w:val="955"/>
          <w:jc w:val="center"/>
        </w:trPr>
        <w:tc>
          <w:tcPr>
            <w:tcW w:w="779" w:type="dxa"/>
            <w:tcBorders>
              <w:top w:val="single" w:sz="2" w:space="0" w:color="auto"/>
              <w:left w:val="single" w:sz="2" w:space="0" w:color="auto"/>
              <w:bottom w:val="single" w:sz="2" w:space="0" w:color="auto"/>
              <w:right w:val="single" w:sz="2" w:space="0" w:color="auto"/>
            </w:tcBorders>
            <w:vAlign w:val="center"/>
          </w:tcPr>
          <w:p w14:paraId="25B0106C">
            <w:pPr>
              <w:spacing w:line="360" w:lineRule="auto"/>
              <w:jc w:val="center"/>
              <w:rPr>
                <w:rFonts w:ascii="宋体" w:hAnsi="宋体"/>
              </w:rPr>
            </w:pPr>
            <w:r>
              <w:rPr>
                <w:rFonts w:ascii="宋体" w:hAnsi="宋体" w:hint="eastAsia"/>
              </w:rPr>
              <w:t>10</w:t>
            </w:r>
          </w:p>
        </w:tc>
        <w:tc>
          <w:tcPr>
            <w:tcW w:w="1720" w:type="dxa"/>
            <w:tcBorders>
              <w:top w:val="single" w:sz="2" w:space="0" w:color="auto"/>
              <w:left w:val="single" w:sz="2" w:space="0" w:color="auto"/>
              <w:bottom w:val="single" w:sz="2" w:space="0" w:color="auto"/>
              <w:right w:val="single" w:sz="2" w:space="0" w:color="auto"/>
            </w:tcBorders>
            <w:vAlign w:val="center"/>
          </w:tcPr>
          <w:p w14:paraId="1B4A5BD6">
            <w:pPr>
              <w:spacing w:line="360" w:lineRule="auto"/>
              <w:jc w:val="center"/>
              <w:rPr>
                <w:rFonts w:ascii="宋体" w:hAnsi="宋体"/>
              </w:rPr>
            </w:pPr>
            <w:r>
              <w:rPr>
                <w:rFonts w:ascii="宋体" w:hAnsi="宋体" w:hint="eastAsia"/>
              </w:rPr>
              <w:t>联合体投标人</w:t>
            </w:r>
          </w:p>
        </w:tc>
        <w:tc>
          <w:tcPr>
            <w:tcW w:w="620" w:type="dxa"/>
            <w:tcBorders>
              <w:top w:val="single" w:sz="2" w:space="0" w:color="auto"/>
              <w:left w:val="single" w:sz="2" w:space="0" w:color="auto"/>
              <w:bottom w:val="single" w:sz="2" w:space="0" w:color="auto"/>
              <w:right w:val="single" w:sz="2" w:space="0" w:color="auto"/>
            </w:tcBorders>
            <w:vAlign w:val="center"/>
          </w:tcPr>
          <w:p w14:paraId="1494F991">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7A99B5EB">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48E017B9">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5A1FDD31">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6E598FB0">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AD01B23">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469A349F">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1DBC36BC">
            <w:pPr>
              <w:spacing w:line="360" w:lineRule="auto"/>
              <w:jc w:val="center"/>
              <w:rPr>
                <w:rFonts w:ascii="宋体" w:hAnsi="宋体"/>
              </w:rPr>
            </w:pPr>
          </w:p>
        </w:tc>
      </w:tr>
      <w:tr w14:paraId="0BADA686">
        <w:tblPrEx>
          <w:tblW w:w="0" w:type="auto"/>
          <w:jc w:val="center"/>
          <w:tblLayout w:type="fixed"/>
          <w:tblCellMar>
            <w:top w:w="0" w:type="dxa"/>
            <w:left w:w="108" w:type="dxa"/>
            <w:bottom w:w="0" w:type="dxa"/>
            <w:right w:w="108" w:type="dxa"/>
          </w:tblCellMar>
        </w:tblPrEx>
        <w:trPr>
          <w:trHeight w:val="691"/>
          <w:jc w:val="center"/>
        </w:trPr>
        <w:tc>
          <w:tcPr>
            <w:tcW w:w="779" w:type="dxa"/>
            <w:tcBorders>
              <w:top w:val="single" w:sz="2" w:space="0" w:color="auto"/>
              <w:left w:val="single" w:sz="2" w:space="0" w:color="auto"/>
              <w:bottom w:val="single" w:sz="2" w:space="0" w:color="auto"/>
              <w:right w:val="single" w:sz="2" w:space="0" w:color="auto"/>
            </w:tcBorders>
            <w:vAlign w:val="center"/>
          </w:tcPr>
          <w:p w14:paraId="45CDEC20">
            <w:pPr>
              <w:spacing w:line="360" w:lineRule="auto"/>
              <w:jc w:val="center"/>
              <w:rPr>
                <w:rFonts w:ascii="宋体" w:hAnsi="宋体"/>
              </w:rPr>
            </w:pPr>
            <w:r>
              <w:rPr>
                <w:rFonts w:ascii="宋体" w:hAnsi="宋体" w:hint="eastAsia"/>
              </w:rPr>
              <w:t>11</w:t>
            </w:r>
          </w:p>
        </w:tc>
        <w:tc>
          <w:tcPr>
            <w:tcW w:w="1720" w:type="dxa"/>
            <w:tcBorders>
              <w:top w:val="single" w:sz="2" w:space="0" w:color="auto"/>
              <w:left w:val="single" w:sz="2" w:space="0" w:color="auto"/>
              <w:bottom w:val="single" w:sz="2" w:space="0" w:color="auto"/>
              <w:right w:val="single" w:sz="2" w:space="0" w:color="auto"/>
            </w:tcBorders>
            <w:vAlign w:val="center"/>
          </w:tcPr>
          <w:p w14:paraId="19442E13">
            <w:pPr>
              <w:spacing w:line="360" w:lineRule="auto"/>
              <w:jc w:val="center"/>
              <w:rPr>
                <w:rFonts w:ascii="宋体" w:hAnsi="宋体"/>
              </w:rPr>
            </w:pPr>
            <w:r>
              <w:rPr>
                <w:rFonts w:ascii="宋体" w:hAnsi="宋体" w:hint="eastAsia"/>
              </w:rPr>
              <w:t>投标要求</w:t>
            </w:r>
          </w:p>
        </w:tc>
        <w:tc>
          <w:tcPr>
            <w:tcW w:w="620" w:type="dxa"/>
            <w:tcBorders>
              <w:top w:val="single" w:sz="2" w:space="0" w:color="auto"/>
              <w:left w:val="single" w:sz="2" w:space="0" w:color="auto"/>
              <w:bottom w:val="single" w:sz="2" w:space="0" w:color="auto"/>
              <w:right w:val="single" w:sz="2" w:space="0" w:color="auto"/>
            </w:tcBorders>
            <w:vAlign w:val="center"/>
          </w:tcPr>
          <w:p w14:paraId="056D56D4">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223C3E1B">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5B6BE5B6">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1C967CA6">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44026EAD">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2910317C">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4E9146BE">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17757624">
            <w:pPr>
              <w:spacing w:line="360" w:lineRule="auto"/>
              <w:jc w:val="center"/>
              <w:rPr>
                <w:rFonts w:ascii="宋体" w:hAnsi="宋体"/>
              </w:rPr>
            </w:pPr>
          </w:p>
        </w:tc>
      </w:tr>
      <w:tr w14:paraId="6EBAEF0C">
        <w:tblPrEx>
          <w:tblW w:w="0" w:type="auto"/>
          <w:jc w:val="center"/>
          <w:tblLayout w:type="fixed"/>
          <w:tblCellMar>
            <w:top w:w="0" w:type="dxa"/>
            <w:left w:w="108" w:type="dxa"/>
            <w:bottom w:w="0" w:type="dxa"/>
            <w:right w:w="108" w:type="dxa"/>
          </w:tblCellMar>
        </w:tblPrEx>
        <w:trPr>
          <w:trHeight w:val="469"/>
          <w:jc w:val="center"/>
        </w:trPr>
        <w:tc>
          <w:tcPr>
            <w:tcW w:w="779" w:type="dxa"/>
            <w:tcBorders>
              <w:top w:val="single" w:sz="2" w:space="0" w:color="auto"/>
              <w:left w:val="single" w:sz="2" w:space="0" w:color="auto"/>
              <w:bottom w:val="single" w:sz="2" w:space="0" w:color="auto"/>
              <w:right w:val="single" w:sz="2" w:space="0" w:color="auto"/>
            </w:tcBorders>
            <w:vAlign w:val="center"/>
          </w:tcPr>
          <w:p w14:paraId="3A83FF18">
            <w:pPr>
              <w:spacing w:line="360" w:lineRule="auto"/>
              <w:jc w:val="center"/>
              <w:rPr>
                <w:rFonts w:ascii="宋体" w:hAnsi="宋体"/>
              </w:rPr>
            </w:pPr>
            <w:r>
              <w:rPr>
                <w:rFonts w:ascii="宋体" w:hAnsi="宋体" w:hint="eastAsia"/>
              </w:rPr>
              <w:t>12</w:t>
            </w:r>
          </w:p>
        </w:tc>
        <w:tc>
          <w:tcPr>
            <w:tcW w:w="1720" w:type="dxa"/>
            <w:tcBorders>
              <w:top w:val="single" w:sz="2" w:space="0" w:color="auto"/>
              <w:left w:val="single" w:sz="2" w:space="0" w:color="auto"/>
              <w:bottom w:val="single" w:sz="2" w:space="0" w:color="auto"/>
              <w:right w:val="single" w:sz="2" w:space="0" w:color="auto"/>
            </w:tcBorders>
            <w:vAlign w:val="center"/>
          </w:tcPr>
          <w:p w14:paraId="4E1E859F">
            <w:pPr>
              <w:spacing w:line="360" w:lineRule="auto"/>
              <w:jc w:val="center"/>
              <w:rPr>
                <w:rFonts w:ascii="宋体" w:hAnsi="宋体"/>
              </w:rPr>
            </w:pPr>
            <w:r>
              <w:rPr>
                <w:rFonts w:ascii="宋体" w:hAnsi="宋体" w:hint="eastAsia"/>
              </w:rPr>
              <w:t>……</w:t>
            </w:r>
          </w:p>
        </w:tc>
        <w:tc>
          <w:tcPr>
            <w:tcW w:w="620" w:type="dxa"/>
            <w:tcBorders>
              <w:top w:val="single" w:sz="2" w:space="0" w:color="auto"/>
              <w:left w:val="single" w:sz="2" w:space="0" w:color="auto"/>
              <w:bottom w:val="single" w:sz="2" w:space="0" w:color="auto"/>
              <w:right w:val="single" w:sz="2" w:space="0" w:color="auto"/>
            </w:tcBorders>
            <w:vAlign w:val="center"/>
          </w:tcPr>
          <w:p w14:paraId="122827D3">
            <w:pPr>
              <w:spacing w:line="360" w:lineRule="auto"/>
              <w:jc w:val="center"/>
              <w:rPr>
                <w:rFonts w:ascii="宋体" w:hAnsi="宋体"/>
              </w:rPr>
            </w:pPr>
          </w:p>
        </w:tc>
        <w:tc>
          <w:tcPr>
            <w:tcW w:w="679" w:type="dxa"/>
            <w:tcBorders>
              <w:top w:val="single" w:sz="2" w:space="0" w:color="auto"/>
              <w:left w:val="single" w:sz="2" w:space="0" w:color="auto"/>
              <w:bottom w:val="single" w:sz="2" w:space="0" w:color="auto"/>
              <w:right w:val="single" w:sz="2" w:space="0" w:color="auto"/>
            </w:tcBorders>
            <w:vAlign w:val="center"/>
          </w:tcPr>
          <w:p w14:paraId="54CE221D">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49348A0C">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360F817D">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06490D0B">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69546CCF">
            <w:pPr>
              <w:spacing w:line="360" w:lineRule="auto"/>
              <w:jc w:val="center"/>
              <w:rPr>
                <w:rFonts w:ascii="宋体" w:hAnsi="宋体"/>
              </w:rPr>
            </w:pPr>
          </w:p>
        </w:tc>
        <w:tc>
          <w:tcPr>
            <w:tcW w:w="797" w:type="dxa"/>
            <w:tcBorders>
              <w:top w:val="single" w:sz="2" w:space="0" w:color="auto"/>
              <w:left w:val="single" w:sz="2" w:space="0" w:color="auto"/>
              <w:bottom w:val="single" w:sz="2" w:space="0" w:color="auto"/>
              <w:right w:val="single" w:sz="2" w:space="0" w:color="auto"/>
            </w:tcBorders>
            <w:vAlign w:val="center"/>
          </w:tcPr>
          <w:p w14:paraId="7EBC0CAF">
            <w:pPr>
              <w:spacing w:line="360" w:lineRule="auto"/>
              <w:jc w:val="center"/>
              <w:rPr>
                <w:rFonts w:ascii="宋体" w:hAnsi="宋体"/>
              </w:rPr>
            </w:pPr>
          </w:p>
        </w:tc>
        <w:tc>
          <w:tcPr>
            <w:tcW w:w="806" w:type="dxa"/>
            <w:tcBorders>
              <w:top w:val="single" w:sz="2" w:space="0" w:color="auto"/>
              <w:left w:val="single" w:sz="2" w:space="0" w:color="auto"/>
              <w:bottom w:val="single" w:sz="2" w:space="0" w:color="auto"/>
              <w:right w:val="single" w:sz="2" w:space="0" w:color="auto"/>
            </w:tcBorders>
            <w:vAlign w:val="center"/>
          </w:tcPr>
          <w:p w14:paraId="6009914E">
            <w:pPr>
              <w:spacing w:line="360" w:lineRule="auto"/>
              <w:jc w:val="center"/>
              <w:rPr>
                <w:rFonts w:ascii="宋体" w:hAnsi="宋体"/>
              </w:rPr>
            </w:pPr>
          </w:p>
        </w:tc>
      </w:tr>
    </w:tbl>
    <w:p w14:paraId="0862CCBE">
      <w:pPr>
        <w:spacing w:line="360" w:lineRule="auto"/>
        <w:rPr>
          <w:rFonts w:ascii="宋体" w:hAnsi="宋体"/>
          <w:kern w:val="2"/>
        </w:rPr>
      </w:pPr>
    </w:p>
    <w:p w14:paraId="136ED0AE">
      <w:pPr>
        <w:spacing w:line="360" w:lineRule="auto"/>
        <w:rPr>
          <w:rFonts w:ascii="宋体" w:hAnsi="宋体"/>
          <w:lang w:eastAsia="zh-CN"/>
        </w:rPr>
      </w:pPr>
      <w:r>
        <w:rPr>
          <w:rFonts w:ascii="宋体" w:hAnsi="宋体" w:hint="eastAsia"/>
          <w:lang w:eastAsia="zh-CN"/>
        </w:rPr>
        <w:t xml:space="preserve">评标委员会全体成员签名：                 </w:t>
      </w:r>
    </w:p>
    <w:p w14:paraId="1CB3B124">
      <w:pPr>
        <w:spacing w:line="360" w:lineRule="auto"/>
        <w:ind w:firstLine="4920" w:firstLineChars="2050"/>
        <w:rPr>
          <w:rFonts w:ascii="宋体" w:hAnsi="宋体"/>
          <w:lang w:eastAsia="zh-CN"/>
        </w:rPr>
      </w:pPr>
      <w:r>
        <w:rPr>
          <w:rFonts w:ascii="宋体" w:hAnsi="宋体" w:hint="eastAsia"/>
          <w:lang w:eastAsia="zh-CN"/>
        </w:rPr>
        <w:t xml:space="preserve">  </w:t>
      </w:r>
    </w:p>
    <w:p w14:paraId="7E4C4F52">
      <w:pPr>
        <w:spacing w:line="360" w:lineRule="auto"/>
        <w:ind w:firstLine="5160" w:firstLineChars="2150"/>
        <w:rPr>
          <w:rFonts w:ascii="宋体" w:hAnsi="宋体"/>
          <w:lang w:eastAsia="zh-CN"/>
        </w:rPr>
      </w:pPr>
      <w:r>
        <w:rPr>
          <w:rFonts w:ascii="宋体" w:hAnsi="宋体" w:hint="eastAsia"/>
          <w:lang w:eastAsia="zh-CN"/>
        </w:rPr>
        <w:t xml:space="preserve"> 日期：      年    月    日</w:t>
      </w:r>
    </w:p>
    <w:p w14:paraId="5ACFAB69">
      <w:pPr>
        <w:rPr>
          <w:rFonts w:ascii="宋体" w:hAnsi="宋体"/>
          <w:b/>
          <w:sz w:val="27"/>
          <w:szCs w:val="22"/>
          <w:lang w:eastAsia="zh-CN"/>
        </w:rPr>
      </w:pPr>
    </w:p>
    <w:p w14:paraId="5F91BC62">
      <w:pPr>
        <w:pStyle w:val="Heading2"/>
        <w:rPr>
          <w:rFonts w:ascii="宋体" w:hAnsi="宋体"/>
          <w:sz w:val="24"/>
          <w:szCs w:val="24"/>
        </w:rPr>
      </w:pPr>
      <w:r>
        <w:rPr>
          <w:rFonts w:ascii="宋体" w:hAnsi="宋体" w:hint="eastAsia"/>
          <w:sz w:val="24"/>
          <w:szCs w:val="24"/>
        </w:rPr>
        <w:t>附表A-4：响应性评审记录表</w:t>
      </w:r>
    </w:p>
    <w:p w14:paraId="7C107D28">
      <w:pPr>
        <w:rPr>
          <w:rFonts w:ascii="宋体" w:hAnsi="宋体"/>
          <w:b/>
          <w:lang w:eastAsia="zh-CN"/>
        </w:rPr>
      </w:pPr>
    </w:p>
    <w:p w14:paraId="76349E5D">
      <w:pPr>
        <w:spacing w:line="360" w:lineRule="auto"/>
        <w:jc w:val="center"/>
        <w:rPr>
          <w:rFonts w:ascii="宋体" w:hAnsi="宋体"/>
          <w:b/>
          <w:lang w:eastAsia="zh-CN"/>
        </w:rPr>
      </w:pPr>
      <w:r>
        <w:rPr>
          <w:rFonts w:ascii="宋体" w:hAnsi="宋体" w:hint="eastAsia"/>
          <w:b/>
          <w:lang w:eastAsia="zh-CN"/>
        </w:rPr>
        <w:t>响应性评审记录表</w:t>
      </w:r>
    </w:p>
    <w:p w14:paraId="51B62859">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635"/>
        <w:gridCol w:w="1700"/>
        <w:gridCol w:w="583"/>
        <w:gridCol w:w="634"/>
        <w:gridCol w:w="745"/>
        <w:gridCol w:w="745"/>
        <w:gridCol w:w="745"/>
        <w:gridCol w:w="745"/>
        <w:gridCol w:w="745"/>
        <w:gridCol w:w="745"/>
        <w:gridCol w:w="748"/>
        <w:gridCol w:w="6"/>
      </w:tblGrid>
      <w:tr w14:paraId="54225AFF">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496"/>
          <w:jc w:val="center"/>
        </w:trPr>
        <w:tc>
          <w:tcPr>
            <w:tcW w:w="635" w:type="dxa"/>
            <w:vMerge w:val="restart"/>
            <w:tcBorders>
              <w:top w:val="single" w:sz="2" w:space="0" w:color="auto"/>
              <w:left w:val="single" w:sz="2" w:space="0" w:color="auto"/>
              <w:bottom w:val="single" w:sz="2" w:space="0" w:color="auto"/>
              <w:right w:val="single" w:sz="2" w:space="0" w:color="auto"/>
            </w:tcBorders>
            <w:vAlign w:val="center"/>
          </w:tcPr>
          <w:p w14:paraId="136E17F4">
            <w:pPr>
              <w:spacing w:line="360" w:lineRule="auto"/>
              <w:jc w:val="center"/>
              <w:rPr>
                <w:rFonts w:ascii="宋体" w:hAnsi="宋体"/>
              </w:rPr>
            </w:pPr>
            <w:r>
              <w:rPr>
                <w:rFonts w:ascii="宋体" w:hAnsi="宋体" w:hint="eastAsia"/>
              </w:rPr>
              <w:t>序号</w:t>
            </w:r>
          </w:p>
        </w:tc>
        <w:tc>
          <w:tcPr>
            <w:tcW w:w="1700" w:type="dxa"/>
            <w:vMerge w:val="restart"/>
            <w:tcBorders>
              <w:top w:val="single" w:sz="2" w:space="0" w:color="auto"/>
              <w:left w:val="single" w:sz="2" w:space="0" w:color="auto"/>
              <w:bottom w:val="single" w:sz="2" w:space="0" w:color="auto"/>
              <w:right w:val="single" w:sz="2" w:space="0" w:color="auto"/>
            </w:tcBorders>
            <w:vAlign w:val="center"/>
          </w:tcPr>
          <w:p w14:paraId="580889E1">
            <w:pPr>
              <w:spacing w:line="360" w:lineRule="auto"/>
              <w:jc w:val="center"/>
              <w:rPr>
                <w:rFonts w:ascii="宋体" w:hAnsi="宋体"/>
              </w:rPr>
            </w:pPr>
            <w:r>
              <w:rPr>
                <w:rFonts w:ascii="宋体" w:hAnsi="宋体" w:hint="eastAsia"/>
              </w:rPr>
              <w:t>评审因素</w:t>
            </w:r>
          </w:p>
        </w:tc>
        <w:tc>
          <w:tcPr>
            <w:tcW w:w="6441" w:type="dxa"/>
            <w:gridSpan w:val="10"/>
            <w:tcBorders>
              <w:top w:val="single" w:sz="2" w:space="0" w:color="auto"/>
              <w:left w:val="single" w:sz="2" w:space="0" w:color="auto"/>
              <w:bottom w:val="single" w:sz="2" w:space="0" w:color="auto"/>
              <w:right w:val="single" w:sz="2" w:space="0" w:color="auto"/>
            </w:tcBorders>
            <w:vAlign w:val="center"/>
          </w:tcPr>
          <w:p w14:paraId="0A0A2BD5">
            <w:pPr>
              <w:spacing w:line="360" w:lineRule="auto"/>
              <w:jc w:val="center"/>
              <w:rPr>
                <w:rFonts w:ascii="宋体" w:hAnsi="宋体"/>
                <w:lang w:eastAsia="zh-CN"/>
              </w:rPr>
            </w:pPr>
            <w:r>
              <w:rPr>
                <w:rFonts w:ascii="宋体" w:hAnsi="宋体" w:hint="eastAsia"/>
                <w:lang w:eastAsia="zh-CN"/>
              </w:rPr>
              <w:t>投标人名称及评审意见</w:t>
            </w:r>
          </w:p>
        </w:tc>
      </w:tr>
      <w:tr w14:paraId="084E3759">
        <w:tblPrEx>
          <w:tblW w:w="0" w:type="auto"/>
          <w:jc w:val="center"/>
          <w:tblLayout w:type="fixed"/>
          <w:tblCellMar>
            <w:top w:w="0" w:type="dxa"/>
            <w:left w:w="108" w:type="dxa"/>
            <w:bottom w:w="0" w:type="dxa"/>
            <w:right w:w="108" w:type="dxa"/>
          </w:tblCellMar>
        </w:tblPrEx>
        <w:trPr>
          <w:gridAfter w:val="1"/>
          <w:wAfter w:w="6" w:type="dxa"/>
          <w:trHeight w:val="496"/>
          <w:jc w:val="center"/>
        </w:trPr>
        <w:tc>
          <w:tcPr>
            <w:tcW w:w="635" w:type="dxa"/>
            <w:vMerge/>
            <w:tcBorders>
              <w:top w:val="single" w:sz="2" w:space="0" w:color="auto"/>
              <w:left w:val="single" w:sz="2" w:space="0" w:color="auto"/>
              <w:bottom w:val="single" w:sz="2" w:space="0" w:color="auto"/>
              <w:right w:val="single" w:sz="2" w:space="0" w:color="auto"/>
            </w:tcBorders>
            <w:vAlign w:val="center"/>
          </w:tcPr>
          <w:p w14:paraId="378FA939">
            <w:pPr>
              <w:rPr>
                <w:rFonts w:ascii="宋体" w:eastAsia="宋体" w:hAnsi="宋体"/>
                <w:kern w:val="2"/>
                <w:lang w:eastAsia="zh-CN"/>
              </w:rPr>
            </w:pPr>
          </w:p>
        </w:tc>
        <w:tc>
          <w:tcPr>
            <w:tcW w:w="1700" w:type="dxa"/>
            <w:vMerge/>
            <w:tcBorders>
              <w:top w:val="single" w:sz="2" w:space="0" w:color="auto"/>
              <w:left w:val="single" w:sz="2" w:space="0" w:color="auto"/>
              <w:bottom w:val="single" w:sz="2" w:space="0" w:color="auto"/>
              <w:right w:val="single" w:sz="2" w:space="0" w:color="auto"/>
            </w:tcBorders>
            <w:vAlign w:val="center"/>
          </w:tcPr>
          <w:p w14:paraId="7891310B">
            <w:pPr>
              <w:rPr>
                <w:rFonts w:ascii="宋体" w:eastAsia="宋体" w:hAnsi="宋体"/>
                <w:kern w:val="2"/>
                <w:lang w:eastAsia="zh-CN"/>
              </w:rPr>
            </w:pPr>
          </w:p>
        </w:tc>
        <w:tc>
          <w:tcPr>
            <w:tcW w:w="583" w:type="dxa"/>
            <w:tcBorders>
              <w:top w:val="single" w:sz="2" w:space="0" w:color="auto"/>
              <w:left w:val="single" w:sz="2" w:space="0" w:color="auto"/>
              <w:bottom w:val="single" w:sz="2" w:space="0" w:color="auto"/>
              <w:right w:val="single" w:sz="2" w:space="0" w:color="auto"/>
            </w:tcBorders>
            <w:vAlign w:val="center"/>
          </w:tcPr>
          <w:p w14:paraId="5FC1F928">
            <w:pPr>
              <w:spacing w:line="360" w:lineRule="auto"/>
              <w:jc w:val="center"/>
              <w:rPr>
                <w:rFonts w:ascii="宋体" w:hAnsi="宋体"/>
                <w:lang w:eastAsia="zh-CN"/>
              </w:rPr>
            </w:pPr>
          </w:p>
        </w:tc>
        <w:tc>
          <w:tcPr>
            <w:tcW w:w="634" w:type="dxa"/>
            <w:tcBorders>
              <w:top w:val="single" w:sz="2" w:space="0" w:color="auto"/>
              <w:left w:val="single" w:sz="2" w:space="0" w:color="auto"/>
              <w:bottom w:val="single" w:sz="2" w:space="0" w:color="auto"/>
              <w:right w:val="single" w:sz="2" w:space="0" w:color="auto"/>
            </w:tcBorders>
            <w:vAlign w:val="center"/>
          </w:tcPr>
          <w:p w14:paraId="4A99C9EF">
            <w:pPr>
              <w:spacing w:line="360" w:lineRule="auto"/>
              <w:jc w:val="center"/>
              <w:rPr>
                <w:rFonts w:ascii="宋体" w:hAnsi="宋体"/>
                <w:lang w:eastAsia="zh-CN"/>
              </w:rPr>
            </w:pPr>
          </w:p>
        </w:tc>
        <w:tc>
          <w:tcPr>
            <w:tcW w:w="745" w:type="dxa"/>
            <w:tcBorders>
              <w:top w:val="single" w:sz="2" w:space="0" w:color="auto"/>
              <w:left w:val="single" w:sz="2" w:space="0" w:color="auto"/>
              <w:bottom w:val="single" w:sz="2" w:space="0" w:color="auto"/>
              <w:right w:val="single" w:sz="2" w:space="0" w:color="auto"/>
            </w:tcBorders>
            <w:vAlign w:val="center"/>
          </w:tcPr>
          <w:p w14:paraId="7747D0B4">
            <w:pPr>
              <w:spacing w:line="360" w:lineRule="auto"/>
              <w:jc w:val="center"/>
              <w:rPr>
                <w:rFonts w:ascii="宋体" w:hAnsi="宋体"/>
                <w:lang w:eastAsia="zh-CN"/>
              </w:rPr>
            </w:pPr>
          </w:p>
        </w:tc>
        <w:tc>
          <w:tcPr>
            <w:tcW w:w="745" w:type="dxa"/>
            <w:tcBorders>
              <w:top w:val="single" w:sz="2" w:space="0" w:color="auto"/>
              <w:left w:val="single" w:sz="2" w:space="0" w:color="auto"/>
              <w:bottom w:val="single" w:sz="2" w:space="0" w:color="auto"/>
              <w:right w:val="single" w:sz="2" w:space="0" w:color="auto"/>
            </w:tcBorders>
            <w:vAlign w:val="center"/>
          </w:tcPr>
          <w:p w14:paraId="436A350F">
            <w:pPr>
              <w:spacing w:line="360" w:lineRule="auto"/>
              <w:jc w:val="center"/>
              <w:rPr>
                <w:rFonts w:ascii="宋体" w:hAnsi="宋体"/>
                <w:lang w:eastAsia="zh-CN"/>
              </w:rPr>
            </w:pPr>
          </w:p>
        </w:tc>
        <w:tc>
          <w:tcPr>
            <w:tcW w:w="745" w:type="dxa"/>
            <w:tcBorders>
              <w:top w:val="single" w:sz="2" w:space="0" w:color="auto"/>
              <w:left w:val="single" w:sz="2" w:space="0" w:color="auto"/>
              <w:bottom w:val="single" w:sz="2" w:space="0" w:color="auto"/>
              <w:right w:val="single" w:sz="2" w:space="0" w:color="auto"/>
            </w:tcBorders>
            <w:vAlign w:val="center"/>
          </w:tcPr>
          <w:p w14:paraId="0FF4EF4A">
            <w:pPr>
              <w:spacing w:line="360" w:lineRule="auto"/>
              <w:jc w:val="center"/>
              <w:rPr>
                <w:rFonts w:ascii="宋体" w:hAnsi="宋体"/>
                <w:lang w:eastAsia="zh-CN"/>
              </w:rPr>
            </w:pPr>
          </w:p>
        </w:tc>
        <w:tc>
          <w:tcPr>
            <w:tcW w:w="745" w:type="dxa"/>
            <w:tcBorders>
              <w:top w:val="single" w:sz="2" w:space="0" w:color="auto"/>
              <w:left w:val="single" w:sz="2" w:space="0" w:color="auto"/>
              <w:bottom w:val="single" w:sz="2" w:space="0" w:color="auto"/>
              <w:right w:val="single" w:sz="2" w:space="0" w:color="auto"/>
            </w:tcBorders>
            <w:vAlign w:val="center"/>
          </w:tcPr>
          <w:p w14:paraId="08E28CDE">
            <w:pPr>
              <w:spacing w:line="360" w:lineRule="auto"/>
              <w:jc w:val="center"/>
              <w:rPr>
                <w:rFonts w:ascii="宋体" w:hAnsi="宋体"/>
                <w:lang w:eastAsia="zh-CN"/>
              </w:rPr>
            </w:pPr>
          </w:p>
        </w:tc>
        <w:tc>
          <w:tcPr>
            <w:tcW w:w="745" w:type="dxa"/>
            <w:tcBorders>
              <w:top w:val="single" w:sz="2" w:space="0" w:color="auto"/>
              <w:left w:val="single" w:sz="2" w:space="0" w:color="auto"/>
              <w:bottom w:val="single" w:sz="2" w:space="0" w:color="auto"/>
              <w:right w:val="single" w:sz="2" w:space="0" w:color="auto"/>
            </w:tcBorders>
            <w:vAlign w:val="center"/>
          </w:tcPr>
          <w:p w14:paraId="0C847B63">
            <w:pPr>
              <w:spacing w:line="360" w:lineRule="auto"/>
              <w:jc w:val="center"/>
              <w:rPr>
                <w:rFonts w:ascii="宋体" w:hAnsi="宋体"/>
                <w:lang w:eastAsia="zh-CN"/>
              </w:rPr>
            </w:pPr>
          </w:p>
        </w:tc>
        <w:tc>
          <w:tcPr>
            <w:tcW w:w="745" w:type="dxa"/>
            <w:tcBorders>
              <w:top w:val="single" w:sz="2" w:space="0" w:color="auto"/>
              <w:left w:val="single" w:sz="2" w:space="0" w:color="auto"/>
              <w:bottom w:val="single" w:sz="2" w:space="0" w:color="auto"/>
              <w:right w:val="single" w:sz="2" w:space="0" w:color="auto"/>
            </w:tcBorders>
            <w:vAlign w:val="center"/>
          </w:tcPr>
          <w:p w14:paraId="01AF9BE9">
            <w:pPr>
              <w:spacing w:line="360" w:lineRule="auto"/>
              <w:jc w:val="center"/>
              <w:rPr>
                <w:rFonts w:ascii="宋体" w:hAnsi="宋体"/>
                <w:lang w:eastAsia="zh-CN"/>
              </w:rPr>
            </w:pPr>
          </w:p>
        </w:tc>
        <w:tc>
          <w:tcPr>
            <w:tcW w:w="748" w:type="dxa"/>
            <w:tcBorders>
              <w:top w:val="single" w:sz="2" w:space="0" w:color="auto"/>
              <w:left w:val="single" w:sz="2" w:space="0" w:color="auto"/>
              <w:bottom w:val="single" w:sz="2" w:space="0" w:color="auto"/>
              <w:right w:val="single" w:sz="2" w:space="0" w:color="auto"/>
            </w:tcBorders>
            <w:vAlign w:val="center"/>
          </w:tcPr>
          <w:p w14:paraId="1D3617E7">
            <w:pPr>
              <w:spacing w:line="360" w:lineRule="auto"/>
              <w:jc w:val="center"/>
              <w:rPr>
                <w:rFonts w:ascii="宋体" w:hAnsi="宋体"/>
                <w:lang w:eastAsia="zh-CN"/>
              </w:rPr>
            </w:pPr>
          </w:p>
        </w:tc>
      </w:tr>
      <w:tr w14:paraId="141D1F95">
        <w:tblPrEx>
          <w:tblW w:w="0" w:type="auto"/>
          <w:jc w:val="center"/>
          <w:tblLayout w:type="fixed"/>
          <w:tblCellMar>
            <w:top w:w="0" w:type="dxa"/>
            <w:left w:w="108" w:type="dxa"/>
            <w:bottom w:w="0" w:type="dxa"/>
            <w:right w:w="108" w:type="dxa"/>
          </w:tblCellMar>
        </w:tblPrEx>
        <w:trPr>
          <w:gridAfter w:val="1"/>
          <w:wAfter w:w="6" w:type="dxa"/>
          <w:trHeight w:val="513"/>
          <w:jc w:val="center"/>
        </w:trPr>
        <w:tc>
          <w:tcPr>
            <w:tcW w:w="635" w:type="dxa"/>
            <w:tcBorders>
              <w:top w:val="single" w:sz="2" w:space="0" w:color="auto"/>
              <w:left w:val="single" w:sz="2" w:space="0" w:color="auto"/>
              <w:bottom w:val="single" w:sz="2" w:space="0" w:color="auto"/>
              <w:right w:val="single" w:sz="2" w:space="0" w:color="auto"/>
            </w:tcBorders>
            <w:vAlign w:val="center"/>
          </w:tcPr>
          <w:p w14:paraId="35663B54">
            <w:pPr>
              <w:spacing w:line="360" w:lineRule="auto"/>
              <w:jc w:val="center"/>
              <w:rPr>
                <w:rFonts w:ascii="宋体" w:hAnsi="宋体"/>
              </w:rPr>
            </w:pPr>
            <w:r>
              <w:rPr>
                <w:rFonts w:ascii="宋体" w:hAnsi="宋体" w:hint="eastAsia"/>
              </w:rPr>
              <w:t>1</w:t>
            </w:r>
          </w:p>
        </w:tc>
        <w:tc>
          <w:tcPr>
            <w:tcW w:w="1700" w:type="dxa"/>
            <w:tcBorders>
              <w:top w:val="single" w:sz="2" w:space="0" w:color="auto"/>
              <w:left w:val="single" w:sz="2" w:space="0" w:color="auto"/>
              <w:bottom w:val="single" w:sz="2" w:space="0" w:color="auto"/>
              <w:right w:val="single" w:sz="2" w:space="0" w:color="auto"/>
            </w:tcBorders>
            <w:vAlign w:val="center"/>
          </w:tcPr>
          <w:p w14:paraId="4C8C4DC8">
            <w:pPr>
              <w:spacing w:line="360" w:lineRule="auto"/>
              <w:jc w:val="center"/>
              <w:rPr>
                <w:rFonts w:ascii="宋体" w:hAnsi="宋体"/>
              </w:rPr>
            </w:pPr>
            <w:r>
              <w:rPr>
                <w:rFonts w:ascii="宋体" w:hAnsi="宋体" w:hint="eastAsia"/>
              </w:rPr>
              <w:t>投标内容</w:t>
            </w:r>
          </w:p>
        </w:tc>
        <w:tc>
          <w:tcPr>
            <w:tcW w:w="583" w:type="dxa"/>
            <w:tcBorders>
              <w:top w:val="single" w:sz="2" w:space="0" w:color="auto"/>
              <w:left w:val="single" w:sz="2" w:space="0" w:color="auto"/>
              <w:bottom w:val="single" w:sz="2" w:space="0" w:color="auto"/>
              <w:right w:val="single" w:sz="2" w:space="0" w:color="auto"/>
            </w:tcBorders>
            <w:vAlign w:val="center"/>
          </w:tcPr>
          <w:p w14:paraId="63BBC986">
            <w:pPr>
              <w:spacing w:line="360" w:lineRule="auto"/>
              <w:jc w:val="center"/>
              <w:rPr>
                <w:rFonts w:ascii="宋体" w:hAnsi="宋体"/>
              </w:rPr>
            </w:pPr>
          </w:p>
        </w:tc>
        <w:tc>
          <w:tcPr>
            <w:tcW w:w="634" w:type="dxa"/>
            <w:tcBorders>
              <w:top w:val="single" w:sz="2" w:space="0" w:color="auto"/>
              <w:left w:val="single" w:sz="2" w:space="0" w:color="auto"/>
              <w:bottom w:val="single" w:sz="2" w:space="0" w:color="auto"/>
              <w:right w:val="single" w:sz="2" w:space="0" w:color="auto"/>
            </w:tcBorders>
            <w:vAlign w:val="center"/>
          </w:tcPr>
          <w:p w14:paraId="55224054">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3369836C">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57EE3D5F">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2659B7A0">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3E124BCC">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36381556">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1A135956">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6CE91AAA">
            <w:pPr>
              <w:spacing w:line="360" w:lineRule="auto"/>
              <w:jc w:val="center"/>
              <w:rPr>
                <w:rFonts w:ascii="宋体" w:hAnsi="宋体"/>
              </w:rPr>
            </w:pPr>
          </w:p>
        </w:tc>
      </w:tr>
      <w:tr w14:paraId="2E017B5B">
        <w:tblPrEx>
          <w:tblW w:w="0" w:type="auto"/>
          <w:jc w:val="center"/>
          <w:tblLayout w:type="fixed"/>
          <w:tblCellMar>
            <w:top w:w="0" w:type="dxa"/>
            <w:left w:w="108" w:type="dxa"/>
            <w:bottom w:w="0" w:type="dxa"/>
            <w:right w:w="108" w:type="dxa"/>
          </w:tblCellMar>
        </w:tblPrEx>
        <w:trPr>
          <w:gridAfter w:val="1"/>
          <w:wAfter w:w="6" w:type="dxa"/>
          <w:trHeight w:val="496"/>
          <w:jc w:val="center"/>
        </w:trPr>
        <w:tc>
          <w:tcPr>
            <w:tcW w:w="635" w:type="dxa"/>
            <w:tcBorders>
              <w:top w:val="single" w:sz="2" w:space="0" w:color="auto"/>
              <w:left w:val="single" w:sz="2" w:space="0" w:color="auto"/>
              <w:bottom w:val="single" w:sz="2" w:space="0" w:color="auto"/>
              <w:right w:val="single" w:sz="2" w:space="0" w:color="auto"/>
            </w:tcBorders>
            <w:vAlign w:val="center"/>
          </w:tcPr>
          <w:p w14:paraId="01CC3262">
            <w:pPr>
              <w:spacing w:line="360" w:lineRule="auto"/>
              <w:jc w:val="center"/>
              <w:rPr>
                <w:rFonts w:ascii="宋体" w:hAnsi="宋体"/>
              </w:rPr>
            </w:pPr>
            <w:r>
              <w:rPr>
                <w:rFonts w:ascii="宋体" w:hAnsi="宋体" w:hint="eastAsia"/>
              </w:rPr>
              <w:t>2</w:t>
            </w:r>
          </w:p>
        </w:tc>
        <w:tc>
          <w:tcPr>
            <w:tcW w:w="1700" w:type="dxa"/>
            <w:tcBorders>
              <w:top w:val="single" w:sz="2" w:space="0" w:color="auto"/>
              <w:left w:val="single" w:sz="2" w:space="0" w:color="auto"/>
              <w:bottom w:val="single" w:sz="2" w:space="0" w:color="auto"/>
              <w:right w:val="single" w:sz="2" w:space="0" w:color="auto"/>
            </w:tcBorders>
            <w:vAlign w:val="center"/>
          </w:tcPr>
          <w:p w14:paraId="1967930E">
            <w:pPr>
              <w:spacing w:line="360" w:lineRule="auto"/>
              <w:jc w:val="center"/>
              <w:rPr>
                <w:rFonts w:ascii="宋体" w:hAnsi="宋体"/>
              </w:rPr>
            </w:pPr>
            <w:r>
              <w:rPr>
                <w:rFonts w:ascii="宋体" w:hAnsi="宋体" w:hint="eastAsia"/>
              </w:rPr>
              <w:t>工期</w:t>
            </w:r>
          </w:p>
        </w:tc>
        <w:tc>
          <w:tcPr>
            <w:tcW w:w="583" w:type="dxa"/>
            <w:tcBorders>
              <w:top w:val="single" w:sz="2" w:space="0" w:color="auto"/>
              <w:left w:val="single" w:sz="2" w:space="0" w:color="auto"/>
              <w:bottom w:val="single" w:sz="2" w:space="0" w:color="auto"/>
              <w:right w:val="single" w:sz="2" w:space="0" w:color="auto"/>
            </w:tcBorders>
            <w:vAlign w:val="center"/>
          </w:tcPr>
          <w:p w14:paraId="2CBA5246">
            <w:pPr>
              <w:spacing w:line="360" w:lineRule="auto"/>
              <w:jc w:val="center"/>
              <w:rPr>
                <w:rFonts w:ascii="宋体" w:hAnsi="宋体"/>
              </w:rPr>
            </w:pPr>
          </w:p>
        </w:tc>
        <w:tc>
          <w:tcPr>
            <w:tcW w:w="634" w:type="dxa"/>
            <w:tcBorders>
              <w:top w:val="single" w:sz="2" w:space="0" w:color="auto"/>
              <w:left w:val="single" w:sz="2" w:space="0" w:color="auto"/>
              <w:bottom w:val="single" w:sz="2" w:space="0" w:color="auto"/>
              <w:right w:val="single" w:sz="2" w:space="0" w:color="auto"/>
            </w:tcBorders>
            <w:vAlign w:val="center"/>
          </w:tcPr>
          <w:p w14:paraId="35FB8EBE">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11B8412B">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2CAF6F98">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B7C2C1A">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48FEBA1">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565FC235">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2C5E9D04">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6C9CD238">
            <w:pPr>
              <w:spacing w:line="360" w:lineRule="auto"/>
              <w:jc w:val="center"/>
              <w:rPr>
                <w:rFonts w:ascii="宋体" w:hAnsi="宋体"/>
              </w:rPr>
            </w:pPr>
          </w:p>
        </w:tc>
      </w:tr>
      <w:tr w14:paraId="3D3F7A6D">
        <w:tblPrEx>
          <w:tblW w:w="0" w:type="auto"/>
          <w:jc w:val="center"/>
          <w:tblLayout w:type="fixed"/>
          <w:tblCellMar>
            <w:top w:w="0" w:type="dxa"/>
            <w:left w:w="108" w:type="dxa"/>
            <w:bottom w:w="0" w:type="dxa"/>
            <w:right w:w="108" w:type="dxa"/>
          </w:tblCellMar>
        </w:tblPrEx>
        <w:trPr>
          <w:gridAfter w:val="1"/>
          <w:wAfter w:w="6" w:type="dxa"/>
          <w:trHeight w:val="496"/>
          <w:jc w:val="center"/>
        </w:trPr>
        <w:tc>
          <w:tcPr>
            <w:tcW w:w="635" w:type="dxa"/>
            <w:tcBorders>
              <w:top w:val="single" w:sz="2" w:space="0" w:color="auto"/>
              <w:left w:val="single" w:sz="2" w:space="0" w:color="auto"/>
              <w:bottom w:val="single" w:sz="2" w:space="0" w:color="auto"/>
              <w:right w:val="single" w:sz="2" w:space="0" w:color="auto"/>
            </w:tcBorders>
            <w:vAlign w:val="center"/>
          </w:tcPr>
          <w:p w14:paraId="15F7441D">
            <w:pPr>
              <w:spacing w:line="360" w:lineRule="auto"/>
              <w:jc w:val="center"/>
              <w:rPr>
                <w:rFonts w:ascii="宋体" w:hAnsi="宋体"/>
              </w:rPr>
            </w:pPr>
            <w:r>
              <w:rPr>
                <w:rFonts w:ascii="宋体" w:hAnsi="宋体" w:hint="eastAsia"/>
              </w:rPr>
              <w:t>3</w:t>
            </w:r>
          </w:p>
        </w:tc>
        <w:tc>
          <w:tcPr>
            <w:tcW w:w="1700" w:type="dxa"/>
            <w:tcBorders>
              <w:top w:val="single" w:sz="2" w:space="0" w:color="auto"/>
              <w:left w:val="single" w:sz="2" w:space="0" w:color="auto"/>
              <w:bottom w:val="single" w:sz="2" w:space="0" w:color="auto"/>
              <w:right w:val="single" w:sz="2" w:space="0" w:color="auto"/>
            </w:tcBorders>
            <w:vAlign w:val="center"/>
          </w:tcPr>
          <w:p w14:paraId="6E1150E7">
            <w:pPr>
              <w:spacing w:line="360" w:lineRule="auto"/>
              <w:jc w:val="center"/>
              <w:rPr>
                <w:rFonts w:ascii="宋体" w:hAnsi="宋体"/>
              </w:rPr>
            </w:pPr>
            <w:r>
              <w:rPr>
                <w:rFonts w:ascii="宋体" w:hAnsi="宋体" w:hint="eastAsia"/>
              </w:rPr>
              <w:t>工程质量</w:t>
            </w:r>
          </w:p>
        </w:tc>
        <w:tc>
          <w:tcPr>
            <w:tcW w:w="583" w:type="dxa"/>
            <w:tcBorders>
              <w:top w:val="single" w:sz="2" w:space="0" w:color="auto"/>
              <w:left w:val="single" w:sz="2" w:space="0" w:color="auto"/>
              <w:bottom w:val="single" w:sz="2" w:space="0" w:color="auto"/>
              <w:right w:val="single" w:sz="2" w:space="0" w:color="auto"/>
            </w:tcBorders>
            <w:vAlign w:val="center"/>
          </w:tcPr>
          <w:p w14:paraId="2CE759C8">
            <w:pPr>
              <w:spacing w:line="360" w:lineRule="auto"/>
              <w:jc w:val="center"/>
              <w:rPr>
                <w:rFonts w:ascii="宋体" w:hAnsi="宋体"/>
              </w:rPr>
            </w:pPr>
          </w:p>
        </w:tc>
        <w:tc>
          <w:tcPr>
            <w:tcW w:w="634" w:type="dxa"/>
            <w:tcBorders>
              <w:top w:val="single" w:sz="2" w:space="0" w:color="auto"/>
              <w:left w:val="single" w:sz="2" w:space="0" w:color="auto"/>
              <w:bottom w:val="single" w:sz="2" w:space="0" w:color="auto"/>
              <w:right w:val="single" w:sz="2" w:space="0" w:color="auto"/>
            </w:tcBorders>
            <w:vAlign w:val="center"/>
          </w:tcPr>
          <w:p w14:paraId="7C5E8C2C">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5441E7D5">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7CB4FDB6">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662171F">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65A6809D">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3F164526">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3A81AB43">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43FEC996">
            <w:pPr>
              <w:spacing w:line="360" w:lineRule="auto"/>
              <w:jc w:val="center"/>
              <w:rPr>
                <w:rFonts w:ascii="宋体" w:hAnsi="宋体"/>
              </w:rPr>
            </w:pPr>
          </w:p>
        </w:tc>
      </w:tr>
      <w:tr w14:paraId="40E0A0EF">
        <w:tblPrEx>
          <w:tblW w:w="0" w:type="auto"/>
          <w:jc w:val="center"/>
          <w:tblLayout w:type="fixed"/>
          <w:tblCellMar>
            <w:top w:w="0" w:type="dxa"/>
            <w:left w:w="108" w:type="dxa"/>
            <w:bottom w:w="0" w:type="dxa"/>
            <w:right w:w="108" w:type="dxa"/>
          </w:tblCellMar>
        </w:tblPrEx>
        <w:trPr>
          <w:gridAfter w:val="1"/>
          <w:wAfter w:w="6" w:type="dxa"/>
          <w:trHeight w:val="496"/>
          <w:jc w:val="center"/>
        </w:trPr>
        <w:tc>
          <w:tcPr>
            <w:tcW w:w="635" w:type="dxa"/>
            <w:tcBorders>
              <w:top w:val="single" w:sz="2" w:space="0" w:color="auto"/>
              <w:left w:val="single" w:sz="2" w:space="0" w:color="auto"/>
              <w:bottom w:val="single" w:sz="2" w:space="0" w:color="auto"/>
              <w:right w:val="single" w:sz="2" w:space="0" w:color="auto"/>
            </w:tcBorders>
            <w:vAlign w:val="center"/>
          </w:tcPr>
          <w:p w14:paraId="34357BDC">
            <w:pPr>
              <w:spacing w:line="360" w:lineRule="auto"/>
              <w:jc w:val="center"/>
              <w:rPr>
                <w:rFonts w:ascii="宋体" w:hAnsi="宋体"/>
              </w:rPr>
            </w:pPr>
            <w:r>
              <w:rPr>
                <w:rFonts w:ascii="宋体" w:hAnsi="宋体" w:hint="eastAsia"/>
              </w:rPr>
              <w:t>4</w:t>
            </w:r>
          </w:p>
        </w:tc>
        <w:tc>
          <w:tcPr>
            <w:tcW w:w="1700" w:type="dxa"/>
            <w:tcBorders>
              <w:top w:val="single" w:sz="2" w:space="0" w:color="auto"/>
              <w:left w:val="single" w:sz="2" w:space="0" w:color="auto"/>
              <w:bottom w:val="single" w:sz="2" w:space="0" w:color="auto"/>
              <w:right w:val="single" w:sz="2" w:space="0" w:color="auto"/>
            </w:tcBorders>
            <w:vAlign w:val="center"/>
          </w:tcPr>
          <w:p w14:paraId="3EA7F240">
            <w:pPr>
              <w:spacing w:line="360" w:lineRule="auto"/>
              <w:jc w:val="center"/>
              <w:rPr>
                <w:rFonts w:ascii="宋体" w:hAnsi="宋体"/>
              </w:rPr>
            </w:pPr>
            <w:r>
              <w:rPr>
                <w:rFonts w:ascii="宋体" w:hAnsi="宋体" w:hint="eastAsia"/>
              </w:rPr>
              <w:t>投标有效期</w:t>
            </w:r>
          </w:p>
        </w:tc>
        <w:tc>
          <w:tcPr>
            <w:tcW w:w="583" w:type="dxa"/>
            <w:tcBorders>
              <w:top w:val="single" w:sz="2" w:space="0" w:color="auto"/>
              <w:left w:val="single" w:sz="2" w:space="0" w:color="auto"/>
              <w:bottom w:val="single" w:sz="2" w:space="0" w:color="auto"/>
              <w:right w:val="single" w:sz="2" w:space="0" w:color="auto"/>
            </w:tcBorders>
            <w:vAlign w:val="center"/>
          </w:tcPr>
          <w:p w14:paraId="3EF59419">
            <w:pPr>
              <w:spacing w:line="360" w:lineRule="auto"/>
              <w:jc w:val="center"/>
              <w:rPr>
                <w:rFonts w:ascii="宋体" w:hAnsi="宋体"/>
              </w:rPr>
            </w:pPr>
          </w:p>
        </w:tc>
        <w:tc>
          <w:tcPr>
            <w:tcW w:w="634" w:type="dxa"/>
            <w:tcBorders>
              <w:top w:val="single" w:sz="2" w:space="0" w:color="auto"/>
              <w:left w:val="single" w:sz="2" w:space="0" w:color="auto"/>
              <w:bottom w:val="single" w:sz="2" w:space="0" w:color="auto"/>
              <w:right w:val="single" w:sz="2" w:space="0" w:color="auto"/>
            </w:tcBorders>
            <w:vAlign w:val="center"/>
          </w:tcPr>
          <w:p w14:paraId="7362F770">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631B9722">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7ACD2644">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7C0BB53B">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1508A30">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6FBF92C0">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0C8DAE41">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7D95BD96">
            <w:pPr>
              <w:spacing w:line="360" w:lineRule="auto"/>
              <w:jc w:val="center"/>
              <w:rPr>
                <w:rFonts w:ascii="宋体" w:hAnsi="宋体"/>
              </w:rPr>
            </w:pPr>
          </w:p>
        </w:tc>
      </w:tr>
      <w:tr w14:paraId="10B5E001">
        <w:tblPrEx>
          <w:tblW w:w="0" w:type="auto"/>
          <w:jc w:val="center"/>
          <w:tblLayout w:type="fixed"/>
          <w:tblCellMar>
            <w:top w:w="0" w:type="dxa"/>
            <w:left w:w="108" w:type="dxa"/>
            <w:bottom w:w="0" w:type="dxa"/>
            <w:right w:w="108" w:type="dxa"/>
          </w:tblCellMar>
        </w:tblPrEx>
        <w:trPr>
          <w:gridAfter w:val="1"/>
          <w:wAfter w:w="6" w:type="dxa"/>
          <w:trHeight w:val="496"/>
          <w:jc w:val="center"/>
        </w:trPr>
        <w:tc>
          <w:tcPr>
            <w:tcW w:w="635" w:type="dxa"/>
            <w:tcBorders>
              <w:top w:val="single" w:sz="2" w:space="0" w:color="auto"/>
              <w:left w:val="single" w:sz="2" w:space="0" w:color="auto"/>
              <w:bottom w:val="single" w:sz="2" w:space="0" w:color="auto"/>
              <w:right w:val="single" w:sz="2" w:space="0" w:color="auto"/>
            </w:tcBorders>
            <w:vAlign w:val="center"/>
          </w:tcPr>
          <w:p w14:paraId="027DCBC6">
            <w:pPr>
              <w:spacing w:line="360" w:lineRule="auto"/>
              <w:jc w:val="center"/>
              <w:rPr>
                <w:rFonts w:ascii="宋体" w:hAnsi="宋体"/>
              </w:rPr>
            </w:pPr>
            <w:r>
              <w:rPr>
                <w:rFonts w:ascii="宋体" w:hAnsi="宋体" w:hint="eastAsia"/>
              </w:rPr>
              <w:t>5</w:t>
            </w:r>
          </w:p>
        </w:tc>
        <w:tc>
          <w:tcPr>
            <w:tcW w:w="1700" w:type="dxa"/>
            <w:tcBorders>
              <w:top w:val="single" w:sz="2" w:space="0" w:color="auto"/>
              <w:left w:val="single" w:sz="2" w:space="0" w:color="auto"/>
              <w:bottom w:val="single" w:sz="2" w:space="0" w:color="auto"/>
              <w:right w:val="single" w:sz="2" w:space="0" w:color="auto"/>
            </w:tcBorders>
            <w:vAlign w:val="center"/>
          </w:tcPr>
          <w:p w14:paraId="3A1FC8B9">
            <w:pPr>
              <w:spacing w:line="360" w:lineRule="auto"/>
              <w:jc w:val="center"/>
              <w:rPr>
                <w:rFonts w:ascii="宋体" w:hAnsi="宋体"/>
              </w:rPr>
            </w:pPr>
            <w:r>
              <w:rPr>
                <w:rFonts w:ascii="宋体" w:hAnsi="宋体" w:hint="eastAsia"/>
              </w:rPr>
              <w:t>投标保证金</w:t>
            </w:r>
          </w:p>
        </w:tc>
        <w:tc>
          <w:tcPr>
            <w:tcW w:w="583" w:type="dxa"/>
            <w:tcBorders>
              <w:top w:val="single" w:sz="2" w:space="0" w:color="auto"/>
              <w:left w:val="single" w:sz="2" w:space="0" w:color="auto"/>
              <w:bottom w:val="single" w:sz="2" w:space="0" w:color="auto"/>
              <w:right w:val="single" w:sz="2" w:space="0" w:color="auto"/>
            </w:tcBorders>
            <w:vAlign w:val="center"/>
          </w:tcPr>
          <w:p w14:paraId="2B1F26F3">
            <w:pPr>
              <w:spacing w:line="360" w:lineRule="auto"/>
              <w:jc w:val="center"/>
              <w:rPr>
                <w:rFonts w:ascii="宋体" w:hAnsi="宋体"/>
              </w:rPr>
            </w:pPr>
          </w:p>
        </w:tc>
        <w:tc>
          <w:tcPr>
            <w:tcW w:w="634" w:type="dxa"/>
            <w:tcBorders>
              <w:top w:val="single" w:sz="2" w:space="0" w:color="auto"/>
              <w:left w:val="single" w:sz="2" w:space="0" w:color="auto"/>
              <w:bottom w:val="single" w:sz="2" w:space="0" w:color="auto"/>
              <w:right w:val="single" w:sz="2" w:space="0" w:color="auto"/>
            </w:tcBorders>
            <w:vAlign w:val="center"/>
          </w:tcPr>
          <w:p w14:paraId="082B7BCA">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2CD7F246">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073B2162">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4CD965F">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6B73AA54">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3D5B58EB">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28682853">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7B49F43D">
            <w:pPr>
              <w:spacing w:line="360" w:lineRule="auto"/>
              <w:jc w:val="center"/>
              <w:rPr>
                <w:rFonts w:ascii="宋体" w:hAnsi="宋体"/>
              </w:rPr>
            </w:pPr>
          </w:p>
        </w:tc>
      </w:tr>
      <w:tr w14:paraId="2814BD05">
        <w:tblPrEx>
          <w:tblW w:w="0" w:type="auto"/>
          <w:jc w:val="center"/>
          <w:tblLayout w:type="fixed"/>
          <w:tblCellMar>
            <w:top w:w="0" w:type="dxa"/>
            <w:left w:w="108" w:type="dxa"/>
            <w:bottom w:w="0" w:type="dxa"/>
            <w:right w:w="108" w:type="dxa"/>
          </w:tblCellMar>
        </w:tblPrEx>
        <w:trPr>
          <w:gridAfter w:val="1"/>
          <w:wAfter w:w="6" w:type="dxa"/>
          <w:trHeight w:val="513"/>
          <w:jc w:val="center"/>
        </w:trPr>
        <w:tc>
          <w:tcPr>
            <w:tcW w:w="635" w:type="dxa"/>
            <w:tcBorders>
              <w:top w:val="single" w:sz="2" w:space="0" w:color="auto"/>
              <w:left w:val="single" w:sz="2" w:space="0" w:color="auto"/>
              <w:bottom w:val="single" w:sz="2" w:space="0" w:color="auto"/>
              <w:right w:val="single" w:sz="2" w:space="0" w:color="auto"/>
            </w:tcBorders>
            <w:vAlign w:val="center"/>
          </w:tcPr>
          <w:p w14:paraId="77E18151">
            <w:pPr>
              <w:spacing w:line="360" w:lineRule="auto"/>
              <w:jc w:val="center"/>
              <w:rPr>
                <w:rFonts w:ascii="宋体" w:hAnsi="宋体"/>
              </w:rPr>
            </w:pPr>
            <w:r>
              <w:rPr>
                <w:rFonts w:ascii="宋体" w:hAnsi="宋体" w:hint="eastAsia"/>
              </w:rPr>
              <w:t>6</w:t>
            </w:r>
          </w:p>
        </w:tc>
        <w:tc>
          <w:tcPr>
            <w:tcW w:w="1700" w:type="dxa"/>
            <w:tcBorders>
              <w:top w:val="single" w:sz="2" w:space="0" w:color="auto"/>
              <w:left w:val="single" w:sz="2" w:space="0" w:color="auto"/>
              <w:bottom w:val="single" w:sz="2" w:space="0" w:color="auto"/>
              <w:right w:val="single" w:sz="2" w:space="0" w:color="auto"/>
            </w:tcBorders>
            <w:vAlign w:val="center"/>
          </w:tcPr>
          <w:p w14:paraId="66350792">
            <w:pPr>
              <w:spacing w:line="360" w:lineRule="auto"/>
              <w:jc w:val="center"/>
              <w:rPr>
                <w:rFonts w:ascii="宋体" w:hAnsi="宋体"/>
              </w:rPr>
            </w:pPr>
            <w:r>
              <w:rPr>
                <w:rFonts w:ascii="宋体" w:hAnsi="宋体" w:hint="eastAsia"/>
              </w:rPr>
              <w:t>权利义务</w:t>
            </w:r>
          </w:p>
        </w:tc>
        <w:tc>
          <w:tcPr>
            <w:tcW w:w="583" w:type="dxa"/>
            <w:tcBorders>
              <w:top w:val="single" w:sz="2" w:space="0" w:color="auto"/>
              <w:left w:val="single" w:sz="2" w:space="0" w:color="auto"/>
              <w:bottom w:val="single" w:sz="2" w:space="0" w:color="auto"/>
              <w:right w:val="single" w:sz="2" w:space="0" w:color="auto"/>
            </w:tcBorders>
            <w:vAlign w:val="center"/>
          </w:tcPr>
          <w:p w14:paraId="04B27772">
            <w:pPr>
              <w:spacing w:line="360" w:lineRule="auto"/>
              <w:jc w:val="center"/>
              <w:rPr>
                <w:rFonts w:ascii="宋体" w:hAnsi="宋体"/>
              </w:rPr>
            </w:pPr>
          </w:p>
        </w:tc>
        <w:tc>
          <w:tcPr>
            <w:tcW w:w="634" w:type="dxa"/>
            <w:tcBorders>
              <w:top w:val="single" w:sz="2" w:space="0" w:color="auto"/>
              <w:left w:val="single" w:sz="2" w:space="0" w:color="auto"/>
              <w:bottom w:val="single" w:sz="2" w:space="0" w:color="auto"/>
              <w:right w:val="single" w:sz="2" w:space="0" w:color="auto"/>
            </w:tcBorders>
            <w:vAlign w:val="center"/>
          </w:tcPr>
          <w:p w14:paraId="6A36FE22">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13B0B4BD">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57544373">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7EE1BD53">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064347CF">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56C7D2A7">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16640616">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7C9CB96A">
            <w:pPr>
              <w:spacing w:line="360" w:lineRule="auto"/>
              <w:jc w:val="center"/>
              <w:rPr>
                <w:rFonts w:ascii="宋体" w:hAnsi="宋体"/>
              </w:rPr>
            </w:pPr>
          </w:p>
        </w:tc>
      </w:tr>
      <w:tr w14:paraId="08B35FC4">
        <w:tblPrEx>
          <w:tblW w:w="0" w:type="auto"/>
          <w:jc w:val="center"/>
          <w:tblLayout w:type="fixed"/>
          <w:tblCellMar>
            <w:top w:w="0" w:type="dxa"/>
            <w:left w:w="108" w:type="dxa"/>
            <w:bottom w:w="0" w:type="dxa"/>
            <w:right w:w="108" w:type="dxa"/>
          </w:tblCellMar>
        </w:tblPrEx>
        <w:trPr>
          <w:gridAfter w:val="1"/>
          <w:wAfter w:w="6" w:type="dxa"/>
          <w:trHeight w:val="993"/>
          <w:jc w:val="center"/>
        </w:trPr>
        <w:tc>
          <w:tcPr>
            <w:tcW w:w="635" w:type="dxa"/>
            <w:tcBorders>
              <w:top w:val="single" w:sz="2" w:space="0" w:color="auto"/>
              <w:left w:val="single" w:sz="2" w:space="0" w:color="auto"/>
              <w:bottom w:val="single" w:sz="2" w:space="0" w:color="auto"/>
              <w:right w:val="single" w:sz="2" w:space="0" w:color="auto"/>
            </w:tcBorders>
            <w:vAlign w:val="center"/>
          </w:tcPr>
          <w:p w14:paraId="1E30BE82">
            <w:pPr>
              <w:spacing w:line="360" w:lineRule="auto"/>
              <w:jc w:val="center"/>
              <w:rPr>
                <w:rFonts w:ascii="宋体" w:hAnsi="宋体"/>
              </w:rPr>
            </w:pPr>
            <w:r>
              <w:rPr>
                <w:rFonts w:ascii="宋体" w:hAnsi="宋体" w:hint="eastAsia"/>
              </w:rPr>
              <w:t>7</w:t>
            </w:r>
          </w:p>
        </w:tc>
        <w:tc>
          <w:tcPr>
            <w:tcW w:w="1700" w:type="dxa"/>
            <w:tcBorders>
              <w:top w:val="single" w:sz="2" w:space="0" w:color="auto"/>
              <w:left w:val="single" w:sz="2" w:space="0" w:color="auto"/>
              <w:bottom w:val="single" w:sz="2" w:space="0" w:color="auto"/>
              <w:right w:val="single" w:sz="2" w:space="0" w:color="auto"/>
            </w:tcBorders>
            <w:vAlign w:val="center"/>
          </w:tcPr>
          <w:p w14:paraId="1E2D56E1">
            <w:pPr>
              <w:spacing w:line="360" w:lineRule="auto"/>
              <w:jc w:val="center"/>
              <w:rPr>
                <w:rFonts w:ascii="宋体" w:hAnsi="宋体"/>
              </w:rPr>
            </w:pPr>
            <w:r>
              <w:rPr>
                <w:rFonts w:ascii="宋体" w:hAnsi="宋体" w:hint="eastAsia"/>
              </w:rPr>
              <w:t>已标价</w:t>
            </w:r>
          </w:p>
          <w:p w14:paraId="7DA89CC9">
            <w:pPr>
              <w:spacing w:line="360" w:lineRule="auto"/>
              <w:jc w:val="center"/>
              <w:rPr>
                <w:rFonts w:ascii="宋体" w:hAnsi="宋体"/>
              </w:rPr>
            </w:pPr>
            <w:r>
              <w:rPr>
                <w:rFonts w:ascii="宋体" w:hAnsi="宋体" w:hint="eastAsia"/>
              </w:rPr>
              <w:t>工程量清单</w:t>
            </w:r>
          </w:p>
        </w:tc>
        <w:tc>
          <w:tcPr>
            <w:tcW w:w="583" w:type="dxa"/>
            <w:tcBorders>
              <w:top w:val="single" w:sz="2" w:space="0" w:color="auto"/>
              <w:left w:val="single" w:sz="2" w:space="0" w:color="auto"/>
              <w:bottom w:val="single" w:sz="2" w:space="0" w:color="auto"/>
              <w:right w:val="single" w:sz="2" w:space="0" w:color="auto"/>
            </w:tcBorders>
            <w:vAlign w:val="center"/>
          </w:tcPr>
          <w:p w14:paraId="52615E8D">
            <w:pPr>
              <w:spacing w:line="360" w:lineRule="auto"/>
              <w:jc w:val="center"/>
              <w:rPr>
                <w:rFonts w:ascii="宋体" w:hAnsi="宋体"/>
              </w:rPr>
            </w:pPr>
          </w:p>
        </w:tc>
        <w:tc>
          <w:tcPr>
            <w:tcW w:w="634" w:type="dxa"/>
            <w:tcBorders>
              <w:top w:val="single" w:sz="2" w:space="0" w:color="auto"/>
              <w:left w:val="single" w:sz="2" w:space="0" w:color="auto"/>
              <w:bottom w:val="single" w:sz="2" w:space="0" w:color="auto"/>
              <w:right w:val="single" w:sz="2" w:space="0" w:color="auto"/>
            </w:tcBorders>
            <w:vAlign w:val="center"/>
          </w:tcPr>
          <w:p w14:paraId="71CDCA20">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0CD74393">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1624081">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26D2842F">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B37E11D">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392B52FB">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5F53440">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1383F469">
            <w:pPr>
              <w:spacing w:line="360" w:lineRule="auto"/>
              <w:jc w:val="center"/>
              <w:rPr>
                <w:rFonts w:ascii="宋体" w:hAnsi="宋体"/>
              </w:rPr>
            </w:pPr>
          </w:p>
        </w:tc>
      </w:tr>
      <w:tr w14:paraId="0C8E9249">
        <w:tblPrEx>
          <w:tblW w:w="0" w:type="auto"/>
          <w:jc w:val="center"/>
          <w:tblLayout w:type="fixed"/>
          <w:tblCellMar>
            <w:top w:w="0" w:type="dxa"/>
            <w:left w:w="108" w:type="dxa"/>
            <w:bottom w:w="0" w:type="dxa"/>
            <w:right w:w="108" w:type="dxa"/>
          </w:tblCellMar>
        </w:tblPrEx>
        <w:trPr>
          <w:gridAfter w:val="1"/>
          <w:wAfter w:w="6" w:type="dxa"/>
          <w:trHeight w:val="993"/>
          <w:jc w:val="center"/>
        </w:trPr>
        <w:tc>
          <w:tcPr>
            <w:tcW w:w="635" w:type="dxa"/>
            <w:tcBorders>
              <w:top w:val="single" w:sz="2" w:space="0" w:color="auto"/>
              <w:left w:val="single" w:sz="2" w:space="0" w:color="auto"/>
              <w:bottom w:val="single" w:sz="2" w:space="0" w:color="auto"/>
              <w:right w:val="single" w:sz="2" w:space="0" w:color="auto"/>
            </w:tcBorders>
            <w:vAlign w:val="center"/>
          </w:tcPr>
          <w:p w14:paraId="357380A2">
            <w:pPr>
              <w:spacing w:line="360" w:lineRule="auto"/>
              <w:jc w:val="center"/>
              <w:rPr>
                <w:rFonts w:ascii="宋体" w:hAnsi="宋体"/>
              </w:rPr>
            </w:pPr>
            <w:r>
              <w:rPr>
                <w:rFonts w:ascii="宋体" w:hAnsi="宋体" w:hint="eastAsia"/>
              </w:rPr>
              <w:t>8</w:t>
            </w:r>
          </w:p>
        </w:tc>
        <w:tc>
          <w:tcPr>
            <w:tcW w:w="1700" w:type="dxa"/>
            <w:tcBorders>
              <w:top w:val="single" w:sz="2" w:space="0" w:color="auto"/>
              <w:left w:val="single" w:sz="2" w:space="0" w:color="auto"/>
              <w:bottom w:val="single" w:sz="2" w:space="0" w:color="auto"/>
              <w:right w:val="single" w:sz="2" w:space="0" w:color="auto"/>
            </w:tcBorders>
            <w:vAlign w:val="center"/>
          </w:tcPr>
          <w:p w14:paraId="718E95DA">
            <w:pPr>
              <w:spacing w:line="360" w:lineRule="auto"/>
              <w:jc w:val="center"/>
              <w:rPr>
                <w:rFonts w:ascii="宋体" w:hAnsi="宋体"/>
              </w:rPr>
            </w:pPr>
            <w:r>
              <w:rPr>
                <w:rFonts w:ascii="宋体" w:hAnsi="宋体" w:hint="eastAsia"/>
              </w:rPr>
              <w:t>技术标准</w:t>
            </w:r>
          </w:p>
          <w:p w14:paraId="1306CFDB">
            <w:pPr>
              <w:spacing w:line="360" w:lineRule="auto"/>
              <w:jc w:val="center"/>
              <w:rPr>
                <w:rFonts w:ascii="宋体" w:hAnsi="宋体"/>
              </w:rPr>
            </w:pPr>
            <w:r>
              <w:rPr>
                <w:rFonts w:ascii="宋体" w:hAnsi="宋体" w:hint="eastAsia"/>
              </w:rPr>
              <w:t>和要求</w:t>
            </w:r>
          </w:p>
        </w:tc>
        <w:tc>
          <w:tcPr>
            <w:tcW w:w="583" w:type="dxa"/>
            <w:tcBorders>
              <w:top w:val="single" w:sz="2" w:space="0" w:color="auto"/>
              <w:left w:val="single" w:sz="2" w:space="0" w:color="auto"/>
              <w:bottom w:val="single" w:sz="2" w:space="0" w:color="auto"/>
              <w:right w:val="single" w:sz="2" w:space="0" w:color="auto"/>
            </w:tcBorders>
            <w:vAlign w:val="center"/>
          </w:tcPr>
          <w:p w14:paraId="3D179019">
            <w:pPr>
              <w:spacing w:line="360" w:lineRule="auto"/>
              <w:jc w:val="center"/>
              <w:rPr>
                <w:rFonts w:ascii="宋体" w:hAnsi="宋体"/>
              </w:rPr>
            </w:pPr>
          </w:p>
        </w:tc>
        <w:tc>
          <w:tcPr>
            <w:tcW w:w="634" w:type="dxa"/>
            <w:tcBorders>
              <w:top w:val="single" w:sz="2" w:space="0" w:color="auto"/>
              <w:left w:val="single" w:sz="2" w:space="0" w:color="auto"/>
              <w:bottom w:val="single" w:sz="2" w:space="0" w:color="auto"/>
              <w:right w:val="single" w:sz="2" w:space="0" w:color="auto"/>
            </w:tcBorders>
            <w:vAlign w:val="center"/>
          </w:tcPr>
          <w:p w14:paraId="56EB116A">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630337BB">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08662F3D">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2C1E006">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1FF72AB">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715BCF4">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37D81935">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0DD73A1B">
            <w:pPr>
              <w:spacing w:line="360" w:lineRule="auto"/>
              <w:jc w:val="center"/>
              <w:rPr>
                <w:rFonts w:ascii="宋体" w:hAnsi="宋体"/>
              </w:rPr>
            </w:pPr>
          </w:p>
        </w:tc>
      </w:tr>
      <w:tr w14:paraId="07AE5F4B">
        <w:tblPrEx>
          <w:tblW w:w="0" w:type="auto"/>
          <w:jc w:val="center"/>
          <w:tblLayout w:type="fixed"/>
          <w:tblCellMar>
            <w:top w:w="0" w:type="dxa"/>
            <w:left w:w="108" w:type="dxa"/>
            <w:bottom w:w="0" w:type="dxa"/>
            <w:right w:w="108" w:type="dxa"/>
          </w:tblCellMar>
        </w:tblPrEx>
        <w:trPr>
          <w:gridAfter w:val="1"/>
          <w:wAfter w:w="6" w:type="dxa"/>
          <w:trHeight w:val="993"/>
          <w:jc w:val="center"/>
        </w:trPr>
        <w:tc>
          <w:tcPr>
            <w:tcW w:w="635" w:type="dxa"/>
            <w:tcBorders>
              <w:top w:val="single" w:sz="2" w:space="0" w:color="auto"/>
              <w:left w:val="single" w:sz="2" w:space="0" w:color="auto"/>
              <w:bottom w:val="single" w:sz="2" w:space="0" w:color="auto"/>
              <w:right w:val="single" w:sz="2" w:space="0" w:color="auto"/>
            </w:tcBorders>
            <w:vAlign w:val="center"/>
          </w:tcPr>
          <w:p w14:paraId="13AC05FB">
            <w:pPr>
              <w:spacing w:line="360" w:lineRule="auto"/>
              <w:jc w:val="center"/>
              <w:rPr>
                <w:rFonts w:ascii="宋体" w:hAnsi="宋体"/>
              </w:rPr>
            </w:pPr>
            <w:r>
              <w:rPr>
                <w:rFonts w:ascii="宋体" w:hAnsi="宋体" w:hint="eastAsia"/>
              </w:rPr>
              <w:t>9</w:t>
            </w:r>
          </w:p>
        </w:tc>
        <w:tc>
          <w:tcPr>
            <w:tcW w:w="1700" w:type="dxa"/>
            <w:tcBorders>
              <w:top w:val="single" w:sz="2" w:space="0" w:color="auto"/>
              <w:left w:val="single" w:sz="2" w:space="0" w:color="auto"/>
              <w:bottom w:val="single" w:sz="2" w:space="0" w:color="auto"/>
              <w:right w:val="single" w:sz="2" w:space="0" w:color="auto"/>
            </w:tcBorders>
            <w:vAlign w:val="center"/>
          </w:tcPr>
          <w:p w14:paraId="155F548B">
            <w:pPr>
              <w:spacing w:line="360" w:lineRule="auto"/>
              <w:jc w:val="center"/>
              <w:rPr>
                <w:rFonts w:ascii="宋体" w:hAnsi="宋体"/>
              </w:rPr>
            </w:pPr>
            <w:r>
              <w:rPr>
                <w:rFonts w:ascii="宋体" w:hAnsi="宋体" w:hint="eastAsia"/>
              </w:rPr>
              <w:t>分包计划</w:t>
            </w:r>
          </w:p>
        </w:tc>
        <w:tc>
          <w:tcPr>
            <w:tcW w:w="583" w:type="dxa"/>
            <w:tcBorders>
              <w:top w:val="single" w:sz="2" w:space="0" w:color="auto"/>
              <w:left w:val="single" w:sz="2" w:space="0" w:color="auto"/>
              <w:bottom w:val="single" w:sz="2" w:space="0" w:color="auto"/>
              <w:right w:val="single" w:sz="2" w:space="0" w:color="auto"/>
            </w:tcBorders>
            <w:vAlign w:val="center"/>
          </w:tcPr>
          <w:p w14:paraId="4C5E1504">
            <w:pPr>
              <w:spacing w:line="360" w:lineRule="auto"/>
              <w:jc w:val="center"/>
              <w:rPr>
                <w:rFonts w:ascii="宋体" w:hAnsi="宋体"/>
              </w:rPr>
            </w:pPr>
          </w:p>
        </w:tc>
        <w:tc>
          <w:tcPr>
            <w:tcW w:w="634" w:type="dxa"/>
            <w:tcBorders>
              <w:top w:val="single" w:sz="2" w:space="0" w:color="auto"/>
              <w:left w:val="single" w:sz="2" w:space="0" w:color="auto"/>
              <w:bottom w:val="single" w:sz="2" w:space="0" w:color="auto"/>
              <w:right w:val="single" w:sz="2" w:space="0" w:color="auto"/>
            </w:tcBorders>
            <w:vAlign w:val="center"/>
          </w:tcPr>
          <w:p w14:paraId="3CE1B533">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6251698A">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1DD1BBEE">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7E13CFB0">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7A799D7F">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6E70C1A2">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C9FEF01">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1871BD93">
            <w:pPr>
              <w:spacing w:line="360" w:lineRule="auto"/>
              <w:jc w:val="center"/>
              <w:rPr>
                <w:rFonts w:ascii="宋体" w:hAnsi="宋体"/>
              </w:rPr>
            </w:pPr>
          </w:p>
        </w:tc>
      </w:tr>
      <w:tr w14:paraId="20448027">
        <w:tblPrEx>
          <w:tblW w:w="0" w:type="auto"/>
          <w:jc w:val="center"/>
          <w:tblLayout w:type="fixed"/>
          <w:tblCellMar>
            <w:top w:w="0" w:type="dxa"/>
            <w:left w:w="108" w:type="dxa"/>
            <w:bottom w:w="0" w:type="dxa"/>
            <w:right w:w="108" w:type="dxa"/>
          </w:tblCellMar>
        </w:tblPrEx>
        <w:trPr>
          <w:gridAfter w:val="1"/>
          <w:wAfter w:w="6" w:type="dxa"/>
          <w:trHeight w:val="513"/>
          <w:jc w:val="center"/>
        </w:trPr>
        <w:tc>
          <w:tcPr>
            <w:tcW w:w="635" w:type="dxa"/>
            <w:tcBorders>
              <w:top w:val="single" w:sz="2" w:space="0" w:color="auto"/>
              <w:left w:val="single" w:sz="2" w:space="0" w:color="auto"/>
              <w:bottom w:val="single" w:sz="2" w:space="0" w:color="auto"/>
              <w:right w:val="single" w:sz="2" w:space="0" w:color="auto"/>
            </w:tcBorders>
            <w:vAlign w:val="center"/>
          </w:tcPr>
          <w:p w14:paraId="65C2ABD3">
            <w:pPr>
              <w:spacing w:line="360" w:lineRule="auto"/>
              <w:jc w:val="center"/>
              <w:rPr>
                <w:rFonts w:ascii="宋体" w:hAnsi="宋体"/>
              </w:rPr>
            </w:pPr>
            <w:r>
              <w:rPr>
                <w:rFonts w:ascii="宋体" w:hAnsi="宋体" w:hint="eastAsia"/>
              </w:rPr>
              <w:t>10</w:t>
            </w:r>
          </w:p>
        </w:tc>
        <w:tc>
          <w:tcPr>
            <w:tcW w:w="1700" w:type="dxa"/>
            <w:tcBorders>
              <w:top w:val="single" w:sz="2" w:space="0" w:color="auto"/>
              <w:left w:val="single" w:sz="2" w:space="0" w:color="auto"/>
              <w:bottom w:val="single" w:sz="2" w:space="0" w:color="auto"/>
              <w:right w:val="single" w:sz="2" w:space="0" w:color="auto"/>
            </w:tcBorders>
            <w:vAlign w:val="center"/>
          </w:tcPr>
          <w:p w14:paraId="3D117B85">
            <w:pPr>
              <w:spacing w:line="360" w:lineRule="auto"/>
              <w:jc w:val="center"/>
              <w:rPr>
                <w:rFonts w:ascii="宋体" w:hAnsi="宋体"/>
              </w:rPr>
            </w:pPr>
            <w:r>
              <w:rPr>
                <w:rFonts w:ascii="宋体" w:hAnsi="宋体" w:hint="eastAsia"/>
              </w:rPr>
              <w:t>最高限价</w:t>
            </w:r>
          </w:p>
        </w:tc>
        <w:tc>
          <w:tcPr>
            <w:tcW w:w="583" w:type="dxa"/>
            <w:tcBorders>
              <w:top w:val="single" w:sz="2" w:space="0" w:color="auto"/>
              <w:left w:val="single" w:sz="2" w:space="0" w:color="auto"/>
              <w:bottom w:val="single" w:sz="2" w:space="0" w:color="auto"/>
              <w:right w:val="single" w:sz="2" w:space="0" w:color="auto"/>
            </w:tcBorders>
            <w:vAlign w:val="center"/>
          </w:tcPr>
          <w:p w14:paraId="5060DA58">
            <w:pPr>
              <w:spacing w:line="360" w:lineRule="auto"/>
              <w:jc w:val="center"/>
              <w:rPr>
                <w:rFonts w:ascii="宋体" w:hAnsi="宋体"/>
              </w:rPr>
            </w:pPr>
          </w:p>
        </w:tc>
        <w:tc>
          <w:tcPr>
            <w:tcW w:w="634" w:type="dxa"/>
            <w:tcBorders>
              <w:top w:val="single" w:sz="2" w:space="0" w:color="auto"/>
              <w:left w:val="single" w:sz="2" w:space="0" w:color="auto"/>
              <w:bottom w:val="single" w:sz="2" w:space="0" w:color="auto"/>
              <w:right w:val="single" w:sz="2" w:space="0" w:color="auto"/>
            </w:tcBorders>
            <w:vAlign w:val="center"/>
          </w:tcPr>
          <w:p w14:paraId="0F5D7BF3">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679476C4">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166C4600">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1FD47104">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06BB544A">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6C195B4D">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3E945E45">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54FD4850">
            <w:pPr>
              <w:spacing w:line="360" w:lineRule="auto"/>
              <w:jc w:val="center"/>
              <w:rPr>
                <w:rFonts w:ascii="宋体" w:hAnsi="宋体"/>
              </w:rPr>
            </w:pPr>
          </w:p>
        </w:tc>
      </w:tr>
      <w:tr w14:paraId="294476F8">
        <w:tblPrEx>
          <w:tblW w:w="0" w:type="auto"/>
          <w:jc w:val="center"/>
          <w:tblLayout w:type="fixed"/>
          <w:tblCellMar>
            <w:top w:w="0" w:type="dxa"/>
            <w:left w:w="108" w:type="dxa"/>
            <w:bottom w:w="0" w:type="dxa"/>
            <w:right w:w="108" w:type="dxa"/>
          </w:tblCellMar>
        </w:tblPrEx>
        <w:trPr>
          <w:gridAfter w:val="1"/>
          <w:wAfter w:w="6" w:type="dxa"/>
          <w:trHeight w:val="496"/>
          <w:jc w:val="center"/>
        </w:trPr>
        <w:tc>
          <w:tcPr>
            <w:tcW w:w="635" w:type="dxa"/>
            <w:tcBorders>
              <w:top w:val="single" w:sz="2" w:space="0" w:color="auto"/>
              <w:left w:val="single" w:sz="2" w:space="0" w:color="auto"/>
              <w:bottom w:val="single" w:sz="2" w:space="0" w:color="auto"/>
              <w:right w:val="single" w:sz="2" w:space="0" w:color="auto"/>
            </w:tcBorders>
            <w:vAlign w:val="center"/>
          </w:tcPr>
          <w:p w14:paraId="4C91ECD6">
            <w:pPr>
              <w:spacing w:line="360" w:lineRule="auto"/>
              <w:jc w:val="center"/>
              <w:rPr>
                <w:rFonts w:ascii="宋体" w:hAnsi="宋体"/>
              </w:rPr>
            </w:pPr>
            <w:r>
              <w:rPr>
                <w:rFonts w:ascii="宋体" w:hAnsi="宋体" w:hint="eastAsia"/>
              </w:rPr>
              <w:t>11</w:t>
            </w:r>
          </w:p>
        </w:tc>
        <w:tc>
          <w:tcPr>
            <w:tcW w:w="1700" w:type="dxa"/>
            <w:tcBorders>
              <w:top w:val="single" w:sz="2" w:space="0" w:color="auto"/>
              <w:left w:val="single" w:sz="2" w:space="0" w:color="auto"/>
              <w:bottom w:val="single" w:sz="2" w:space="0" w:color="auto"/>
              <w:right w:val="single" w:sz="2" w:space="0" w:color="auto"/>
            </w:tcBorders>
            <w:vAlign w:val="center"/>
          </w:tcPr>
          <w:p w14:paraId="1669D8BA">
            <w:pPr>
              <w:spacing w:line="360" w:lineRule="auto"/>
              <w:jc w:val="center"/>
              <w:rPr>
                <w:rFonts w:ascii="宋体" w:hAnsi="宋体"/>
              </w:rPr>
            </w:pPr>
            <w:r>
              <w:rPr>
                <w:rFonts w:ascii="宋体" w:hAnsi="宋体" w:hint="eastAsia"/>
              </w:rPr>
              <w:t>……</w:t>
            </w:r>
          </w:p>
        </w:tc>
        <w:tc>
          <w:tcPr>
            <w:tcW w:w="583" w:type="dxa"/>
            <w:tcBorders>
              <w:top w:val="single" w:sz="2" w:space="0" w:color="auto"/>
              <w:left w:val="single" w:sz="2" w:space="0" w:color="auto"/>
              <w:bottom w:val="single" w:sz="2" w:space="0" w:color="auto"/>
              <w:right w:val="single" w:sz="2" w:space="0" w:color="auto"/>
            </w:tcBorders>
            <w:vAlign w:val="center"/>
          </w:tcPr>
          <w:p w14:paraId="78C2E4CE">
            <w:pPr>
              <w:spacing w:line="360" w:lineRule="auto"/>
              <w:jc w:val="center"/>
              <w:rPr>
                <w:rFonts w:ascii="宋体" w:hAnsi="宋体"/>
              </w:rPr>
            </w:pPr>
          </w:p>
        </w:tc>
        <w:tc>
          <w:tcPr>
            <w:tcW w:w="634" w:type="dxa"/>
            <w:tcBorders>
              <w:top w:val="single" w:sz="2" w:space="0" w:color="auto"/>
              <w:left w:val="single" w:sz="2" w:space="0" w:color="auto"/>
              <w:bottom w:val="single" w:sz="2" w:space="0" w:color="auto"/>
              <w:right w:val="single" w:sz="2" w:space="0" w:color="auto"/>
            </w:tcBorders>
            <w:vAlign w:val="center"/>
          </w:tcPr>
          <w:p w14:paraId="470F4A37">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61FDB8C8">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4D4E28E7">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793C0BC9">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276ABC38">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3938F445">
            <w:pPr>
              <w:spacing w:line="360" w:lineRule="auto"/>
              <w:jc w:val="center"/>
              <w:rPr>
                <w:rFonts w:ascii="宋体" w:hAnsi="宋体"/>
              </w:rPr>
            </w:pPr>
          </w:p>
        </w:tc>
        <w:tc>
          <w:tcPr>
            <w:tcW w:w="745" w:type="dxa"/>
            <w:tcBorders>
              <w:top w:val="single" w:sz="2" w:space="0" w:color="auto"/>
              <w:left w:val="single" w:sz="2" w:space="0" w:color="auto"/>
              <w:bottom w:val="single" w:sz="2" w:space="0" w:color="auto"/>
              <w:right w:val="single" w:sz="2" w:space="0" w:color="auto"/>
            </w:tcBorders>
            <w:vAlign w:val="center"/>
          </w:tcPr>
          <w:p w14:paraId="05608A7B">
            <w:pPr>
              <w:spacing w:line="360" w:lineRule="auto"/>
              <w:jc w:val="center"/>
              <w:rPr>
                <w:rFonts w:ascii="宋体" w:hAnsi="宋体"/>
              </w:rPr>
            </w:pPr>
          </w:p>
        </w:tc>
        <w:tc>
          <w:tcPr>
            <w:tcW w:w="748" w:type="dxa"/>
            <w:tcBorders>
              <w:top w:val="single" w:sz="2" w:space="0" w:color="auto"/>
              <w:left w:val="single" w:sz="2" w:space="0" w:color="auto"/>
              <w:bottom w:val="single" w:sz="2" w:space="0" w:color="auto"/>
              <w:right w:val="single" w:sz="2" w:space="0" w:color="auto"/>
            </w:tcBorders>
            <w:vAlign w:val="center"/>
          </w:tcPr>
          <w:p w14:paraId="7E34DA5F">
            <w:pPr>
              <w:spacing w:line="360" w:lineRule="auto"/>
              <w:jc w:val="center"/>
              <w:rPr>
                <w:rFonts w:ascii="宋体" w:hAnsi="宋体"/>
              </w:rPr>
            </w:pPr>
          </w:p>
        </w:tc>
      </w:tr>
    </w:tbl>
    <w:p w14:paraId="72B094FA">
      <w:pPr>
        <w:spacing w:line="360" w:lineRule="auto"/>
        <w:rPr>
          <w:rFonts w:ascii="宋体" w:hAnsi="宋体"/>
          <w:kern w:val="2"/>
        </w:rPr>
      </w:pPr>
    </w:p>
    <w:p w14:paraId="44F3AA05">
      <w:pPr>
        <w:spacing w:line="360" w:lineRule="auto"/>
        <w:rPr>
          <w:rFonts w:ascii="宋体" w:hAnsi="宋体"/>
          <w:lang w:eastAsia="zh-CN"/>
        </w:rPr>
      </w:pPr>
      <w:r>
        <w:rPr>
          <w:rFonts w:ascii="宋体" w:hAnsi="宋体" w:hint="eastAsia"/>
          <w:lang w:eastAsia="zh-CN"/>
        </w:rPr>
        <w:t xml:space="preserve">评标委员会全体成员签名：                  </w:t>
      </w:r>
    </w:p>
    <w:p w14:paraId="385BF1A6">
      <w:pPr>
        <w:spacing w:line="360" w:lineRule="auto"/>
        <w:ind w:firstLine="3240" w:firstLineChars="1350"/>
        <w:rPr>
          <w:rFonts w:ascii="宋体" w:hAnsi="宋体"/>
          <w:lang w:eastAsia="zh-CN"/>
        </w:rPr>
      </w:pPr>
    </w:p>
    <w:p w14:paraId="4581620B">
      <w:pPr>
        <w:spacing w:line="360" w:lineRule="auto"/>
        <w:ind w:firstLine="5280" w:firstLineChars="2200"/>
        <w:rPr>
          <w:rFonts w:ascii="宋体" w:hAnsi="宋体"/>
          <w:lang w:eastAsia="zh-CN"/>
        </w:rPr>
      </w:pPr>
      <w:r>
        <w:rPr>
          <w:rFonts w:ascii="宋体" w:hAnsi="宋体" w:hint="eastAsia"/>
          <w:lang w:eastAsia="zh-CN"/>
        </w:rPr>
        <w:t>日期：      年    月    日</w:t>
      </w:r>
    </w:p>
    <w:p w14:paraId="5651DE2A">
      <w:pPr>
        <w:rPr>
          <w:rFonts w:ascii="宋体" w:hAnsi="宋体"/>
          <w:sz w:val="27"/>
          <w:szCs w:val="22"/>
          <w:lang w:eastAsia="zh-CN"/>
        </w:rPr>
      </w:pPr>
    </w:p>
    <w:p w14:paraId="1F0A7E64">
      <w:pPr>
        <w:rPr>
          <w:rFonts w:ascii="宋体" w:hAnsi="宋体"/>
          <w:sz w:val="27"/>
          <w:lang w:eastAsia="zh-CN"/>
        </w:rPr>
      </w:pPr>
    </w:p>
    <w:p w14:paraId="031048E5">
      <w:pPr>
        <w:rPr>
          <w:rFonts w:ascii="宋体" w:hAnsi="宋体"/>
          <w:sz w:val="27"/>
          <w:lang w:eastAsia="zh-CN"/>
        </w:rPr>
      </w:pPr>
      <w:r>
        <w:rPr>
          <w:rFonts w:ascii="宋体" w:hAnsi="宋体" w:hint="eastAsia"/>
          <w:sz w:val="27"/>
          <w:lang w:eastAsia="zh-CN"/>
        </w:rPr>
        <w:br w:type="page"/>
      </w:r>
    </w:p>
    <w:p w14:paraId="018E9222">
      <w:pPr>
        <w:rPr>
          <w:rFonts w:ascii="宋体" w:hAnsi="宋体"/>
          <w:sz w:val="27"/>
          <w:lang w:eastAsia="zh-CN"/>
        </w:rPr>
      </w:pPr>
    </w:p>
    <w:p w14:paraId="28CE5596">
      <w:pPr>
        <w:pStyle w:val="Heading2"/>
        <w:rPr>
          <w:rFonts w:ascii="宋体" w:hAnsi="宋体"/>
          <w:sz w:val="24"/>
          <w:szCs w:val="24"/>
        </w:rPr>
      </w:pPr>
      <w:r>
        <w:rPr>
          <w:rFonts w:ascii="宋体" w:hAnsi="宋体" w:hint="eastAsia"/>
          <w:sz w:val="24"/>
          <w:szCs w:val="24"/>
        </w:rPr>
        <w:t>附表A-5：施工组织设计评审记录表</w:t>
      </w:r>
    </w:p>
    <w:p w14:paraId="4148F689">
      <w:pPr>
        <w:rPr>
          <w:rFonts w:ascii="宋体" w:hAnsi="宋体"/>
          <w:b/>
          <w:sz w:val="27"/>
          <w:szCs w:val="22"/>
          <w:lang w:eastAsia="zh-CN"/>
        </w:rPr>
      </w:pPr>
    </w:p>
    <w:p w14:paraId="19EE11D1">
      <w:pPr>
        <w:spacing w:line="360" w:lineRule="auto"/>
        <w:jc w:val="center"/>
        <w:rPr>
          <w:rFonts w:ascii="宋体" w:hAnsi="宋体"/>
          <w:b/>
          <w:lang w:eastAsia="zh-CN"/>
        </w:rPr>
      </w:pPr>
      <w:r>
        <w:rPr>
          <w:rFonts w:ascii="宋体" w:hAnsi="宋体" w:hint="eastAsia"/>
          <w:b/>
          <w:lang w:eastAsia="zh-CN"/>
        </w:rPr>
        <w:t>施工组织设计评审记录表</w:t>
      </w:r>
    </w:p>
    <w:p w14:paraId="45D42AB2">
      <w:pPr>
        <w:spacing w:line="360" w:lineRule="auto"/>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614"/>
        <w:gridCol w:w="1643"/>
        <w:gridCol w:w="1004"/>
        <w:gridCol w:w="567"/>
        <w:gridCol w:w="551"/>
        <w:gridCol w:w="691"/>
        <w:gridCol w:w="691"/>
        <w:gridCol w:w="691"/>
        <w:gridCol w:w="691"/>
        <w:gridCol w:w="691"/>
        <w:gridCol w:w="688"/>
      </w:tblGrid>
      <w:tr w14:paraId="1330F16F">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c>
          <w:tcPr>
            <w:tcW w:w="614" w:type="dxa"/>
            <w:vMerge w:val="restart"/>
            <w:tcBorders>
              <w:top w:val="single" w:sz="2" w:space="0" w:color="auto"/>
              <w:left w:val="single" w:sz="2" w:space="0" w:color="auto"/>
              <w:bottom w:val="single" w:sz="2" w:space="0" w:color="auto"/>
              <w:right w:val="single" w:sz="2" w:space="0" w:color="auto"/>
            </w:tcBorders>
            <w:vAlign w:val="center"/>
          </w:tcPr>
          <w:p w14:paraId="33BBACA1">
            <w:pPr>
              <w:spacing w:line="360" w:lineRule="auto"/>
              <w:jc w:val="center"/>
              <w:rPr>
                <w:rFonts w:ascii="宋体" w:hAnsi="宋体"/>
              </w:rPr>
            </w:pPr>
            <w:r>
              <w:rPr>
                <w:rFonts w:ascii="宋体" w:hAnsi="宋体" w:hint="eastAsia"/>
              </w:rPr>
              <w:t>序号</w:t>
            </w:r>
          </w:p>
        </w:tc>
        <w:tc>
          <w:tcPr>
            <w:tcW w:w="1643" w:type="dxa"/>
            <w:vMerge w:val="restart"/>
            <w:tcBorders>
              <w:top w:val="single" w:sz="2" w:space="0" w:color="auto"/>
              <w:left w:val="single" w:sz="2" w:space="0" w:color="auto"/>
              <w:bottom w:val="single" w:sz="2" w:space="0" w:color="auto"/>
              <w:right w:val="single" w:sz="2" w:space="0" w:color="auto"/>
            </w:tcBorders>
            <w:vAlign w:val="center"/>
          </w:tcPr>
          <w:p w14:paraId="001BCCE2">
            <w:pPr>
              <w:spacing w:line="360" w:lineRule="auto"/>
              <w:jc w:val="center"/>
              <w:rPr>
                <w:rFonts w:ascii="宋体" w:hAnsi="宋体"/>
              </w:rPr>
            </w:pPr>
            <w:r>
              <w:rPr>
                <w:rFonts w:ascii="宋体" w:hAnsi="宋体" w:hint="eastAsia"/>
              </w:rPr>
              <w:t>评分项目</w:t>
            </w:r>
          </w:p>
        </w:tc>
        <w:tc>
          <w:tcPr>
            <w:tcW w:w="1004" w:type="dxa"/>
            <w:vMerge w:val="restart"/>
            <w:tcBorders>
              <w:top w:val="single" w:sz="2" w:space="0" w:color="auto"/>
              <w:left w:val="single" w:sz="2" w:space="0" w:color="auto"/>
              <w:bottom w:val="single" w:sz="2" w:space="0" w:color="auto"/>
              <w:right w:val="single" w:sz="2" w:space="0" w:color="auto"/>
            </w:tcBorders>
            <w:vAlign w:val="center"/>
          </w:tcPr>
          <w:p w14:paraId="469B7A33">
            <w:pPr>
              <w:spacing w:line="360" w:lineRule="auto"/>
              <w:jc w:val="center"/>
              <w:rPr>
                <w:rFonts w:ascii="宋体" w:hAnsi="宋体"/>
              </w:rPr>
            </w:pPr>
            <w:r>
              <w:rPr>
                <w:rFonts w:ascii="宋体" w:hAnsi="宋体" w:hint="eastAsia"/>
              </w:rPr>
              <w:t>标准分</w:t>
            </w:r>
          </w:p>
        </w:tc>
        <w:tc>
          <w:tcPr>
            <w:tcW w:w="5261" w:type="dxa"/>
            <w:gridSpan w:val="8"/>
            <w:tcBorders>
              <w:top w:val="single" w:sz="2" w:space="0" w:color="auto"/>
              <w:left w:val="single" w:sz="2" w:space="0" w:color="auto"/>
              <w:bottom w:val="single" w:sz="2" w:space="0" w:color="auto"/>
              <w:right w:val="single" w:sz="2" w:space="0" w:color="auto"/>
            </w:tcBorders>
            <w:vAlign w:val="center"/>
          </w:tcPr>
          <w:p w14:paraId="76FFCA0A">
            <w:pPr>
              <w:spacing w:line="360" w:lineRule="auto"/>
              <w:jc w:val="center"/>
              <w:rPr>
                <w:rFonts w:ascii="宋体" w:hAnsi="宋体"/>
              </w:rPr>
            </w:pPr>
            <w:r>
              <w:rPr>
                <w:rFonts w:ascii="宋体" w:hAnsi="宋体" w:hint="eastAsia"/>
              </w:rPr>
              <w:t>投标人名称代码</w:t>
            </w:r>
          </w:p>
        </w:tc>
      </w:tr>
      <w:tr w14:paraId="35FB92F4">
        <w:tblPrEx>
          <w:tblW w:w="0" w:type="auto"/>
          <w:tblInd w:w="0" w:type="dxa"/>
          <w:tblLayout w:type="fixed"/>
          <w:tblCellMar>
            <w:top w:w="0" w:type="dxa"/>
            <w:left w:w="108" w:type="dxa"/>
            <w:bottom w:w="0" w:type="dxa"/>
            <w:right w:w="108" w:type="dxa"/>
          </w:tblCellMar>
        </w:tblPrEx>
        <w:tc>
          <w:tcPr>
            <w:tcW w:w="614" w:type="dxa"/>
            <w:vMerge/>
            <w:tcBorders>
              <w:top w:val="single" w:sz="2" w:space="0" w:color="auto"/>
              <w:left w:val="single" w:sz="2" w:space="0" w:color="auto"/>
              <w:bottom w:val="single" w:sz="2" w:space="0" w:color="auto"/>
              <w:right w:val="single" w:sz="2" w:space="0" w:color="auto"/>
            </w:tcBorders>
            <w:vAlign w:val="center"/>
          </w:tcPr>
          <w:p w14:paraId="484671AE">
            <w:pPr>
              <w:rPr>
                <w:rFonts w:ascii="宋体" w:eastAsia="宋体" w:hAnsi="宋体"/>
                <w:kern w:val="2"/>
              </w:rPr>
            </w:pPr>
          </w:p>
        </w:tc>
        <w:tc>
          <w:tcPr>
            <w:tcW w:w="1643" w:type="dxa"/>
            <w:vMerge/>
            <w:tcBorders>
              <w:top w:val="single" w:sz="2" w:space="0" w:color="auto"/>
              <w:left w:val="single" w:sz="2" w:space="0" w:color="auto"/>
              <w:bottom w:val="single" w:sz="2" w:space="0" w:color="auto"/>
              <w:right w:val="single" w:sz="2" w:space="0" w:color="auto"/>
            </w:tcBorders>
            <w:vAlign w:val="center"/>
          </w:tcPr>
          <w:p w14:paraId="72C4947C">
            <w:pPr>
              <w:rPr>
                <w:rFonts w:ascii="宋体" w:eastAsia="宋体" w:hAnsi="宋体"/>
                <w:kern w:val="2"/>
              </w:rPr>
            </w:pPr>
          </w:p>
        </w:tc>
        <w:tc>
          <w:tcPr>
            <w:tcW w:w="1004" w:type="dxa"/>
            <w:vMerge/>
            <w:tcBorders>
              <w:top w:val="single" w:sz="2" w:space="0" w:color="auto"/>
              <w:left w:val="single" w:sz="2" w:space="0" w:color="auto"/>
              <w:bottom w:val="single" w:sz="2" w:space="0" w:color="auto"/>
              <w:right w:val="single" w:sz="2" w:space="0" w:color="auto"/>
            </w:tcBorders>
            <w:vAlign w:val="center"/>
          </w:tcPr>
          <w:p w14:paraId="7391FFE8">
            <w:pPr>
              <w:rPr>
                <w:rFonts w:ascii="宋体" w:eastAsia="宋体" w:hAnsi="宋体"/>
                <w:kern w:val="2"/>
              </w:rPr>
            </w:pPr>
          </w:p>
        </w:tc>
        <w:tc>
          <w:tcPr>
            <w:tcW w:w="567" w:type="dxa"/>
            <w:tcBorders>
              <w:top w:val="single" w:sz="2" w:space="0" w:color="auto"/>
              <w:left w:val="single" w:sz="2" w:space="0" w:color="auto"/>
              <w:bottom w:val="single" w:sz="2" w:space="0" w:color="auto"/>
              <w:right w:val="single" w:sz="2" w:space="0" w:color="auto"/>
            </w:tcBorders>
            <w:vAlign w:val="center"/>
          </w:tcPr>
          <w:p w14:paraId="10CD9CD2">
            <w:pPr>
              <w:spacing w:line="360" w:lineRule="auto"/>
              <w:jc w:val="center"/>
              <w:rPr>
                <w:rFonts w:ascii="宋体" w:hAnsi="宋体"/>
              </w:rPr>
            </w:pPr>
          </w:p>
        </w:tc>
        <w:tc>
          <w:tcPr>
            <w:tcW w:w="551" w:type="dxa"/>
            <w:tcBorders>
              <w:top w:val="single" w:sz="2" w:space="0" w:color="auto"/>
              <w:left w:val="single" w:sz="2" w:space="0" w:color="auto"/>
              <w:bottom w:val="single" w:sz="2" w:space="0" w:color="auto"/>
              <w:right w:val="single" w:sz="2" w:space="0" w:color="auto"/>
            </w:tcBorders>
            <w:vAlign w:val="center"/>
          </w:tcPr>
          <w:p w14:paraId="1E925E31">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3CAA7326">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4805F58">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E2FF79B">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586D0236">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5CB6077D">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24682A06">
            <w:pPr>
              <w:spacing w:line="360" w:lineRule="auto"/>
              <w:jc w:val="center"/>
              <w:rPr>
                <w:rFonts w:ascii="宋体" w:hAnsi="宋体"/>
              </w:rPr>
            </w:pPr>
          </w:p>
        </w:tc>
      </w:tr>
      <w:tr w14:paraId="47E93695">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7E6FB14D">
            <w:pPr>
              <w:spacing w:line="360" w:lineRule="auto"/>
              <w:jc w:val="center"/>
              <w:rPr>
                <w:rFonts w:ascii="宋体" w:hAnsi="宋体"/>
              </w:rPr>
            </w:pPr>
            <w:r>
              <w:rPr>
                <w:rFonts w:ascii="宋体" w:hAnsi="宋体" w:hint="eastAsia"/>
              </w:rPr>
              <w:t>1</w:t>
            </w:r>
          </w:p>
        </w:tc>
        <w:tc>
          <w:tcPr>
            <w:tcW w:w="1643" w:type="dxa"/>
            <w:tcBorders>
              <w:top w:val="single" w:sz="2" w:space="0" w:color="auto"/>
              <w:left w:val="single" w:sz="2" w:space="0" w:color="auto"/>
              <w:bottom w:val="single" w:sz="2" w:space="0" w:color="auto"/>
              <w:right w:val="single" w:sz="2" w:space="0" w:color="auto"/>
            </w:tcBorders>
            <w:vAlign w:val="center"/>
          </w:tcPr>
          <w:p w14:paraId="25B24279">
            <w:pPr>
              <w:spacing w:line="360" w:lineRule="auto"/>
              <w:jc w:val="center"/>
              <w:rPr>
                <w:rFonts w:ascii="宋体" w:hAnsi="宋体"/>
              </w:rPr>
            </w:pPr>
            <w:r>
              <w:rPr>
                <w:rFonts w:ascii="宋体" w:hAnsi="宋体" w:hint="eastAsia"/>
              </w:rPr>
              <w:t>施工方案与技术措施</w:t>
            </w:r>
          </w:p>
        </w:tc>
        <w:tc>
          <w:tcPr>
            <w:tcW w:w="1004" w:type="dxa"/>
            <w:tcBorders>
              <w:top w:val="single" w:sz="2" w:space="0" w:color="auto"/>
              <w:left w:val="single" w:sz="2" w:space="0" w:color="auto"/>
              <w:bottom w:val="single" w:sz="2" w:space="0" w:color="auto"/>
              <w:right w:val="single" w:sz="2" w:space="0" w:color="auto"/>
            </w:tcBorders>
            <w:vAlign w:val="center"/>
          </w:tcPr>
          <w:p w14:paraId="140D572B">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454513E2">
            <w:pPr>
              <w:spacing w:line="360" w:lineRule="auto"/>
              <w:jc w:val="center"/>
              <w:rPr>
                <w:rFonts w:ascii="宋体" w:hAnsi="宋体"/>
              </w:rPr>
            </w:pPr>
          </w:p>
        </w:tc>
        <w:tc>
          <w:tcPr>
            <w:tcW w:w="551" w:type="dxa"/>
            <w:tcBorders>
              <w:top w:val="single" w:sz="2" w:space="0" w:color="auto"/>
              <w:left w:val="single" w:sz="2" w:space="0" w:color="auto"/>
              <w:bottom w:val="single" w:sz="2" w:space="0" w:color="auto"/>
              <w:right w:val="single" w:sz="2" w:space="0" w:color="auto"/>
            </w:tcBorders>
            <w:vAlign w:val="center"/>
          </w:tcPr>
          <w:p w14:paraId="03EABAAE">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7042E6C1">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70D58235">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A0969A3">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B0B2468">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64DACB3">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4260E750">
            <w:pPr>
              <w:spacing w:line="360" w:lineRule="auto"/>
              <w:jc w:val="center"/>
              <w:rPr>
                <w:rFonts w:ascii="宋体" w:hAnsi="宋体"/>
              </w:rPr>
            </w:pPr>
          </w:p>
        </w:tc>
      </w:tr>
      <w:tr w14:paraId="0ED1AE86">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03DBF4E7">
            <w:pPr>
              <w:spacing w:line="360" w:lineRule="auto"/>
              <w:jc w:val="center"/>
              <w:rPr>
                <w:rFonts w:ascii="宋体" w:hAnsi="宋体"/>
              </w:rPr>
            </w:pPr>
            <w:r>
              <w:rPr>
                <w:rFonts w:ascii="宋体" w:hAnsi="宋体" w:hint="eastAsia"/>
              </w:rPr>
              <w:t>2</w:t>
            </w:r>
          </w:p>
        </w:tc>
        <w:tc>
          <w:tcPr>
            <w:tcW w:w="1643" w:type="dxa"/>
            <w:tcBorders>
              <w:top w:val="single" w:sz="2" w:space="0" w:color="auto"/>
              <w:left w:val="single" w:sz="2" w:space="0" w:color="auto"/>
              <w:bottom w:val="single" w:sz="2" w:space="0" w:color="auto"/>
              <w:right w:val="single" w:sz="2" w:space="0" w:color="auto"/>
            </w:tcBorders>
            <w:vAlign w:val="center"/>
          </w:tcPr>
          <w:p w14:paraId="07894E09">
            <w:pPr>
              <w:spacing w:line="360" w:lineRule="auto"/>
              <w:jc w:val="center"/>
              <w:rPr>
                <w:rFonts w:ascii="宋体" w:hAnsi="宋体"/>
              </w:rPr>
            </w:pPr>
            <w:r>
              <w:rPr>
                <w:rFonts w:ascii="宋体" w:hAnsi="宋体" w:hint="eastAsia"/>
              </w:rPr>
              <w:t>质量管理体系与措施</w:t>
            </w:r>
          </w:p>
        </w:tc>
        <w:tc>
          <w:tcPr>
            <w:tcW w:w="1004" w:type="dxa"/>
            <w:tcBorders>
              <w:top w:val="single" w:sz="2" w:space="0" w:color="auto"/>
              <w:left w:val="single" w:sz="2" w:space="0" w:color="auto"/>
              <w:bottom w:val="single" w:sz="2" w:space="0" w:color="auto"/>
              <w:right w:val="single" w:sz="2" w:space="0" w:color="auto"/>
            </w:tcBorders>
            <w:vAlign w:val="center"/>
          </w:tcPr>
          <w:p w14:paraId="305F7C48">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019E712C">
            <w:pPr>
              <w:spacing w:line="360" w:lineRule="auto"/>
              <w:jc w:val="center"/>
              <w:rPr>
                <w:rFonts w:ascii="宋体" w:hAnsi="宋体"/>
              </w:rPr>
            </w:pPr>
          </w:p>
        </w:tc>
        <w:tc>
          <w:tcPr>
            <w:tcW w:w="551" w:type="dxa"/>
            <w:tcBorders>
              <w:top w:val="single" w:sz="2" w:space="0" w:color="auto"/>
              <w:left w:val="single" w:sz="2" w:space="0" w:color="auto"/>
              <w:bottom w:val="single" w:sz="2" w:space="0" w:color="auto"/>
              <w:right w:val="single" w:sz="2" w:space="0" w:color="auto"/>
            </w:tcBorders>
            <w:vAlign w:val="center"/>
          </w:tcPr>
          <w:p w14:paraId="6D63F5DE">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F5D8150">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D5540A8">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772EBA8A">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88F5817">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80C073C">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5ADAAC60">
            <w:pPr>
              <w:spacing w:line="360" w:lineRule="auto"/>
              <w:jc w:val="center"/>
              <w:rPr>
                <w:rFonts w:ascii="宋体" w:hAnsi="宋体"/>
              </w:rPr>
            </w:pPr>
          </w:p>
        </w:tc>
      </w:tr>
      <w:tr w14:paraId="650126BB">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66C740DD">
            <w:pPr>
              <w:spacing w:line="360" w:lineRule="auto"/>
              <w:jc w:val="center"/>
              <w:rPr>
                <w:rFonts w:ascii="宋体" w:hAnsi="宋体"/>
              </w:rPr>
            </w:pPr>
            <w:r>
              <w:rPr>
                <w:rFonts w:ascii="宋体" w:hAnsi="宋体" w:hint="eastAsia"/>
              </w:rPr>
              <w:t>3</w:t>
            </w:r>
          </w:p>
        </w:tc>
        <w:tc>
          <w:tcPr>
            <w:tcW w:w="1643" w:type="dxa"/>
            <w:tcBorders>
              <w:top w:val="single" w:sz="2" w:space="0" w:color="auto"/>
              <w:left w:val="single" w:sz="2" w:space="0" w:color="auto"/>
              <w:bottom w:val="single" w:sz="2" w:space="0" w:color="auto"/>
              <w:right w:val="single" w:sz="2" w:space="0" w:color="auto"/>
            </w:tcBorders>
            <w:vAlign w:val="center"/>
          </w:tcPr>
          <w:p w14:paraId="5190DE24">
            <w:pPr>
              <w:spacing w:line="360" w:lineRule="auto"/>
              <w:jc w:val="center"/>
              <w:rPr>
                <w:rFonts w:ascii="宋体" w:hAnsi="宋体"/>
              </w:rPr>
            </w:pPr>
            <w:r>
              <w:rPr>
                <w:rFonts w:ascii="宋体" w:hAnsi="宋体" w:hint="eastAsia"/>
              </w:rPr>
              <w:t>安全管理体系与措施</w:t>
            </w:r>
          </w:p>
        </w:tc>
        <w:tc>
          <w:tcPr>
            <w:tcW w:w="1004" w:type="dxa"/>
            <w:tcBorders>
              <w:top w:val="single" w:sz="2" w:space="0" w:color="auto"/>
              <w:left w:val="single" w:sz="2" w:space="0" w:color="auto"/>
              <w:bottom w:val="single" w:sz="2" w:space="0" w:color="auto"/>
              <w:right w:val="single" w:sz="2" w:space="0" w:color="auto"/>
            </w:tcBorders>
            <w:vAlign w:val="center"/>
          </w:tcPr>
          <w:p w14:paraId="0A30389B">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469064F6">
            <w:pPr>
              <w:spacing w:line="360" w:lineRule="auto"/>
              <w:jc w:val="center"/>
              <w:rPr>
                <w:rFonts w:ascii="宋体" w:hAnsi="宋体"/>
              </w:rPr>
            </w:pPr>
          </w:p>
        </w:tc>
        <w:tc>
          <w:tcPr>
            <w:tcW w:w="551" w:type="dxa"/>
            <w:tcBorders>
              <w:top w:val="single" w:sz="2" w:space="0" w:color="auto"/>
              <w:left w:val="single" w:sz="2" w:space="0" w:color="auto"/>
              <w:bottom w:val="single" w:sz="2" w:space="0" w:color="auto"/>
              <w:right w:val="single" w:sz="2" w:space="0" w:color="auto"/>
            </w:tcBorders>
            <w:vAlign w:val="center"/>
          </w:tcPr>
          <w:p w14:paraId="150D6450">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D84D074">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28EC8E79">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5386881A">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59D262B">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74365EB5">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76DD8A54">
            <w:pPr>
              <w:spacing w:line="360" w:lineRule="auto"/>
              <w:jc w:val="center"/>
              <w:rPr>
                <w:rFonts w:ascii="宋体" w:hAnsi="宋体"/>
              </w:rPr>
            </w:pPr>
          </w:p>
        </w:tc>
      </w:tr>
      <w:tr w14:paraId="4B2F1D1C">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7B0F2128">
            <w:pPr>
              <w:spacing w:line="360" w:lineRule="auto"/>
              <w:jc w:val="center"/>
              <w:rPr>
                <w:rFonts w:ascii="宋体" w:hAnsi="宋体"/>
              </w:rPr>
            </w:pPr>
            <w:r>
              <w:rPr>
                <w:rFonts w:ascii="宋体" w:hAnsi="宋体" w:hint="eastAsia"/>
              </w:rPr>
              <w:t>4</w:t>
            </w:r>
          </w:p>
        </w:tc>
        <w:tc>
          <w:tcPr>
            <w:tcW w:w="1643" w:type="dxa"/>
            <w:tcBorders>
              <w:top w:val="single" w:sz="2" w:space="0" w:color="auto"/>
              <w:left w:val="single" w:sz="2" w:space="0" w:color="auto"/>
              <w:bottom w:val="single" w:sz="2" w:space="0" w:color="auto"/>
              <w:right w:val="single" w:sz="2" w:space="0" w:color="auto"/>
            </w:tcBorders>
            <w:vAlign w:val="center"/>
          </w:tcPr>
          <w:p w14:paraId="65DD45AD">
            <w:pPr>
              <w:spacing w:line="360" w:lineRule="auto"/>
              <w:jc w:val="center"/>
              <w:rPr>
                <w:rFonts w:ascii="宋体" w:hAnsi="宋体"/>
                <w:lang w:eastAsia="zh-CN"/>
              </w:rPr>
            </w:pPr>
            <w:r>
              <w:rPr>
                <w:rFonts w:ascii="宋体" w:hAnsi="宋体" w:hint="eastAsia"/>
                <w:lang w:eastAsia="zh-CN"/>
              </w:rPr>
              <w:t>环境保护管理体系与措施</w:t>
            </w:r>
          </w:p>
        </w:tc>
        <w:tc>
          <w:tcPr>
            <w:tcW w:w="1004" w:type="dxa"/>
            <w:tcBorders>
              <w:top w:val="single" w:sz="2" w:space="0" w:color="auto"/>
              <w:left w:val="single" w:sz="2" w:space="0" w:color="auto"/>
              <w:bottom w:val="single" w:sz="2" w:space="0" w:color="auto"/>
              <w:right w:val="single" w:sz="2" w:space="0" w:color="auto"/>
            </w:tcBorders>
            <w:vAlign w:val="center"/>
          </w:tcPr>
          <w:p w14:paraId="6E59D06E">
            <w:pPr>
              <w:spacing w:line="360" w:lineRule="auto"/>
              <w:jc w:val="center"/>
              <w:rPr>
                <w:rFonts w:ascii="宋体" w:hAnsi="宋体"/>
                <w:lang w:eastAsia="zh-CN"/>
              </w:rPr>
            </w:pPr>
          </w:p>
        </w:tc>
        <w:tc>
          <w:tcPr>
            <w:tcW w:w="567" w:type="dxa"/>
            <w:tcBorders>
              <w:top w:val="single" w:sz="2" w:space="0" w:color="auto"/>
              <w:left w:val="single" w:sz="2" w:space="0" w:color="auto"/>
              <w:bottom w:val="single" w:sz="2" w:space="0" w:color="auto"/>
              <w:right w:val="single" w:sz="2" w:space="0" w:color="auto"/>
            </w:tcBorders>
            <w:vAlign w:val="center"/>
          </w:tcPr>
          <w:p w14:paraId="73B73FE1">
            <w:pPr>
              <w:spacing w:line="360" w:lineRule="auto"/>
              <w:jc w:val="center"/>
              <w:rPr>
                <w:rFonts w:ascii="宋体" w:hAnsi="宋体"/>
                <w:lang w:eastAsia="zh-CN"/>
              </w:rPr>
            </w:pPr>
          </w:p>
        </w:tc>
        <w:tc>
          <w:tcPr>
            <w:tcW w:w="551" w:type="dxa"/>
            <w:tcBorders>
              <w:top w:val="single" w:sz="2" w:space="0" w:color="auto"/>
              <w:left w:val="single" w:sz="2" w:space="0" w:color="auto"/>
              <w:bottom w:val="single" w:sz="2" w:space="0" w:color="auto"/>
              <w:right w:val="single" w:sz="2" w:space="0" w:color="auto"/>
            </w:tcBorders>
            <w:vAlign w:val="center"/>
          </w:tcPr>
          <w:p w14:paraId="6AD323AF">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3EE2E5F1">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446A6F8C">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62B3AC21">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4D079682">
            <w:pPr>
              <w:spacing w:line="360" w:lineRule="auto"/>
              <w:jc w:val="center"/>
              <w:rPr>
                <w:rFonts w:ascii="宋体" w:hAnsi="宋体"/>
                <w:lang w:eastAsia="zh-CN"/>
              </w:rPr>
            </w:pPr>
          </w:p>
        </w:tc>
        <w:tc>
          <w:tcPr>
            <w:tcW w:w="691" w:type="dxa"/>
            <w:tcBorders>
              <w:top w:val="single" w:sz="2" w:space="0" w:color="auto"/>
              <w:left w:val="single" w:sz="2" w:space="0" w:color="auto"/>
              <w:bottom w:val="single" w:sz="2" w:space="0" w:color="auto"/>
              <w:right w:val="single" w:sz="2" w:space="0" w:color="auto"/>
            </w:tcBorders>
            <w:vAlign w:val="center"/>
          </w:tcPr>
          <w:p w14:paraId="7E4ECABD">
            <w:pPr>
              <w:spacing w:line="360" w:lineRule="auto"/>
              <w:jc w:val="center"/>
              <w:rPr>
                <w:rFonts w:ascii="宋体" w:hAnsi="宋体"/>
                <w:lang w:eastAsia="zh-CN"/>
              </w:rPr>
            </w:pPr>
          </w:p>
        </w:tc>
        <w:tc>
          <w:tcPr>
            <w:tcW w:w="688" w:type="dxa"/>
            <w:tcBorders>
              <w:top w:val="single" w:sz="2" w:space="0" w:color="auto"/>
              <w:left w:val="single" w:sz="2" w:space="0" w:color="auto"/>
              <w:bottom w:val="single" w:sz="2" w:space="0" w:color="auto"/>
              <w:right w:val="single" w:sz="2" w:space="0" w:color="auto"/>
            </w:tcBorders>
            <w:vAlign w:val="center"/>
          </w:tcPr>
          <w:p w14:paraId="53CCB337">
            <w:pPr>
              <w:spacing w:line="360" w:lineRule="auto"/>
              <w:jc w:val="center"/>
              <w:rPr>
                <w:rFonts w:ascii="宋体" w:hAnsi="宋体"/>
                <w:lang w:eastAsia="zh-CN"/>
              </w:rPr>
            </w:pPr>
          </w:p>
        </w:tc>
      </w:tr>
      <w:tr w14:paraId="64652073">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0268FD0E">
            <w:pPr>
              <w:spacing w:line="360" w:lineRule="auto"/>
              <w:jc w:val="center"/>
              <w:rPr>
                <w:rFonts w:ascii="宋体" w:hAnsi="宋体"/>
              </w:rPr>
            </w:pPr>
            <w:r>
              <w:rPr>
                <w:rFonts w:ascii="宋体" w:hAnsi="宋体" w:hint="eastAsia"/>
              </w:rPr>
              <w:t>5</w:t>
            </w:r>
          </w:p>
        </w:tc>
        <w:tc>
          <w:tcPr>
            <w:tcW w:w="1643" w:type="dxa"/>
            <w:tcBorders>
              <w:top w:val="single" w:sz="2" w:space="0" w:color="auto"/>
              <w:left w:val="single" w:sz="2" w:space="0" w:color="auto"/>
              <w:bottom w:val="single" w:sz="2" w:space="0" w:color="auto"/>
              <w:right w:val="single" w:sz="2" w:space="0" w:color="auto"/>
            </w:tcBorders>
            <w:vAlign w:val="center"/>
          </w:tcPr>
          <w:p w14:paraId="47EEBA91">
            <w:pPr>
              <w:spacing w:line="360" w:lineRule="auto"/>
              <w:jc w:val="center"/>
              <w:rPr>
                <w:rFonts w:ascii="宋体" w:hAnsi="宋体"/>
              </w:rPr>
            </w:pPr>
            <w:r>
              <w:rPr>
                <w:rFonts w:ascii="宋体" w:hAnsi="宋体" w:hint="eastAsia"/>
              </w:rPr>
              <w:t>工程进度计划与措施</w:t>
            </w:r>
          </w:p>
        </w:tc>
        <w:tc>
          <w:tcPr>
            <w:tcW w:w="1004" w:type="dxa"/>
            <w:tcBorders>
              <w:top w:val="single" w:sz="2" w:space="0" w:color="auto"/>
              <w:left w:val="single" w:sz="2" w:space="0" w:color="auto"/>
              <w:bottom w:val="single" w:sz="2" w:space="0" w:color="auto"/>
              <w:right w:val="single" w:sz="2" w:space="0" w:color="auto"/>
            </w:tcBorders>
            <w:vAlign w:val="center"/>
          </w:tcPr>
          <w:p w14:paraId="08900BAB">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7775E1F2">
            <w:pPr>
              <w:spacing w:line="360" w:lineRule="auto"/>
              <w:jc w:val="center"/>
              <w:rPr>
                <w:rFonts w:ascii="宋体" w:hAnsi="宋体"/>
              </w:rPr>
            </w:pPr>
          </w:p>
        </w:tc>
        <w:tc>
          <w:tcPr>
            <w:tcW w:w="551" w:type="dxa"/>
            <w:tcBorders>
              <w:top w:val="single" w:sz="2" w:space="0" w:color="auto"/>
              <w:left w:val="single" w:sz="2" w:space="0" w:color="auto"/>
              <w:bottom w:val="single" w:sz="2" w:space="0" w:color="auto"/>
              <w:right w:val="single" w:sz="2" w:space="0" w:color="auto"/>
            </w:tcBorders>
            <w:vAlign w:val="center"/>
          </w:tcPr>
          <w:p w14:paraId="020510B4">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752A4314">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A9F2135">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D77339F">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54AB91E7">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77291A29">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12E55C68">
            <w:pPr>
              <w:spacing w:line="360" w:lineRule="auto"/>
              <w:jc w:val="center"/>
              <w:rPr>
                <w:rFonts w:ascii="宋体" w:hAnsi="宋体"/>
              </w:rPr>
            </w:pPr>
          </w:p>
        </w:tc>
      </w:tr>
      <w:tr w14:paraId="78AE8E21">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25BC8526">
            <w:pPr>
              <w:spacing w:line="360" w:lineRule="auto"/>
              <w:jc w:val="center"/>
              <w:rPr>
                <w:rFonts w:ascii="宋体" w:hAnsi="宋体"/>
              </w:rPr>
            </w:pPr>
            <w:r>
              <w:rPr>
                <w:rFonts w:ascii="宋体" w:hAnsi="宋体" w:hint="eastAsia"/>
              </w:rPr>
              <w:t>6</w:t>
            </w:r>
          </w:p>
        </w:tc>
        <w:tc>
          <w:tcPr>
            <w:tcW w:w="1643" w:type="dxa"/>
            <w:tcBorders>
              <w:top w:val="single" w:sz="2" w:space="0" w:color="auto"/>
              <w:left w:val="single" w:sz="2" w:space="0" w:color="auto"/>
              <w:bottom w:val="single" w:sz="2" w:space="0" w:color="auto"/>
              <w:right w:val="single" w:sz="2" w:space="0" w:color="auto"/>
            </w:tcBorders>
            <w:vAlign w:val="center"/>
          </w:tcPr>
          <w:p w14:paraId="2F28E208">
            <w:pPr>
              <w:spacing w:line="360" w:lineRule="auto"/>
              <w:jc w:val="center"/>
              <w:rPr>
                <w:rFonts w:ascii="宋体" w:hAnsi="宋体"/>
              </w:rPr>
            </w:pPr>
            <w:r>
              <w:rPr>
                <w:rFonts w:ascii="宋体" w:hAnsi="宋体" w:hint="eastAsia"/>
              </w:rPr>
              <w:t>资源配备</w:t>
            </w:r>
          </w:p>
          <w:p w14:paraId="061C5E33">
            <w:pPr>
              <w:spacing w:line="360" w:lineRule="auto"/>
              <w:jc w:val="center"/>
              <w:rPr>
                <w:rFonts w:ascii="宋体" w:hAnsi="宋体"/>
              </w:rPr>
            </w:pPr>
            <w:r>
              <w:rPr>
                <w:rFonts w:ascii="宋体" w:hAnsi="宋体" w:hint="eastAsia"/>
              </w:rPr>
              <w:t>计划</w:t>
            </w:r>
          </w:p>
        </w:tc>
        <w:tc>
          <w:tcPr>
            <w:tcW w:w="1004" w:type="dxa"/>
            <w:tcBorders>
              <w:top w:val="single" w:sz="2" w:space="0" w:color="auto"/>
              <w:left w:val="single" w:sz="2" w:space="0" w:color="auto"/>
              <w:bottom w:val="single" w:sz="2" w:space="0" w:color="auto"/>
              <w:right w:val="single" w:sz="2" w:space="0" w:color="auto"/>
            </w:tcBorders>
            <w:vAlign w:val="center"/>
          </w:tcPr>
          <w:p w14:paraId="22331298">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445D2111">
            <w:pPr>
              <w:spacing w:line="360" w:lineRule="auto"/>
              <w:jc w:val="center"/>
              <w:rPr>
                <w:rFonts w:ascii="宋体" w:hAnsi="宋体"/>
              </w:rPr>
            </w:pPr>
          </w:p>
        </w:tc>
        <w:tc>
          <w:tcPr>
            <w:tcW w:w="551" w:type="dxa"/>
            <w:tcBorders>
              <w:top w:val="single" w:sz="2" w:space="0" w:color="auto"/>
              <w:left w:val="single" w:sz="2" w:space="0" w:color="auto"/>
              <w:bottom w:val="single" w:sz="2" w:space="0" w:color="auto"/>
              <w:right w:val="single" w:sz="2" w:space="0" w:color="auto"/>
            </w:tcBorders>
            <w:vAlign w:val="center"/>
          </w:tcPr>
          <w:p w14:paraId="7AD2A065">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A0DF37F">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D6F4059">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BFD415C">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01FDD8E">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7983D525">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5019035B">
            <w:pPr>
              <w:spacing w:line="360" w:lineRule="auto"/>
              <w:jc w:val="center"/>
              <w:rPr>
                <w:rFonts w:ascii="宋体" w:hAnsi="宋体"/>
              </w:rPr>
            </w:pPr>
          </w:p>
        </w:tc>
      </w:tr>
      <w:tr w14:paraId="14225826">
        <w:tblPrEx>
          <w:tblW w:w="0" w:type="auto"/>
          <w:tblInd w:w="0" w:type="dxa"/>
          <w:tblLayout w:type="fixed"/>
          <w:tblCellMar>
            <w:top w:w="0" w:type="dxa"/>
            <w:left w:w="108" w:type="dxa"/>
            <w:bottom w:w="0" w:type="dxa"/>
            <w:right w:w="108" w:type="dxa"/>
          </w:tblCellMar>
        </w:tblPrEx>
        <w:tc>
          <w:tcPr>
            <w:tcW w:w="614" w:type="dxa"/>
            <w:tcBorders>
              <w:top w:val="single" w:sz="2" w:space="0" w:color="auto"/>
              <w:left w:val="single" w:sz="2" w:space="0" w:color="auto"/>
              <w:bottom w:val="single" w:sz="2" w:space="0" w:color="auto"/>
              <w:right w:val="single" w:sz="2" w:space="0" w:color="auto"/>
            </w:tcBorders>
            <w:vAlign w:val="center"/>
          </w:tcPr>
          <w:p w14:paraId="6AD9883C">
            <w:pPr>
              <w:spacing w:line="360" w:lineRule="auto"/>
              <w:jc w:val="center"/>
              <w:rPr>
                <w:rFonts w:ascii="宋体" w:hAnsi="宋体"/>
              </w:rPr>
            </w:pPr>
            <w:r>
              <w:rPr>
                <w:rFonts w:ascii="宋体" w:hAnsi="宋体" w:hint="eastAsia"/>
              </w:rPr>
              <w:t>7</w:t>
            </w:r>
          </w:p>
        </w:tc>
        <w:tc>
          <w:tcPr>
            <w:tcW w:w="1643" w:type="dxa"/>
            <w:tcBorders>
              <w:top w:val="single" w:sz="2" w:space="0" w:color="auto"/>
              <w:left w:val="single" w:sz="2" w:space="0" w:color="auto"/>
              <w:bottom w:val="single" w:sz="2" w:space="0" w:color="auto"/>
              <w:right w:val="single" w:sz="2" w:space="0" w:color="auto"/>
            </w:tcBorders>
            <w:vAlign w:val="center"/>
          </w:tcPr>
          <w:p w14:paraId="33EFE9ED">
            <w:pPr>
              <w:spacing w:line="360" w:lineRule="auto"/>
              <w:jc w:val="center"/>
              <w:rPr>
                <w:rFonts w:ascii="宋体" w:hAnsi="宋体"/>
              </w:rPr>
            </w:pPr>
            <w:r>
              <w:rPr>
                <w:rFonts w:ascii="宋体" w:hAnsi="宋体" w:hint="eastAsia"/>
              </w:rPr>
              <w:t>……</w:t>
            </w:r>
          </w:p>
        </w:tc>
        <w:tc>
          <w:tcPr>
            <w:tcW w:w="1004" w:type="dxa"/>
            <w:tcBorders>
              <w:top w:val="single" w:sz="2" w:space="0" w:color="auto"/>
              <w:left w:val="single" w:sz="2" w:space="0" w:color="auto"/>
              <w:bottom w:val="single" w:sz="2" w:space="0" w:color="auto"/>
              <w:right w:val="single" w:sz="2" w:space="0" w:color="auto"/>
            </w:tcBorders>
            <w:vAlign w:val="center"/>
          </w:tcPr>
          <w:p w14:paraId="21BFAB23">
            <w:pPr>
              <w:spacing w:line="360" w:lineRule="auto"/>
              <w:jc w:val="center"/>
              <w:rPr>
                <w:rFonts w:ascii="宋体" w:hAnsi="宋体"/>
              </w:rPr>
            </w:pPr>
          </w:p>
        </w:tc>
        <w:tc>
          <w:tcPr>
            <w:tcW w:w="567" w:type="dxa"/>
            <w:tcBorders>
              <w:top w:val="single" w:sz="2" w:space="0" w:color="auto"/>
              <w:left w:val="single" w:sz="2" w:space="0" w:color="auto"/>
              <w:bottom w:val="single" w:sz="2" w:space="0" w:color="auto"/>
              <w:right w:val="single" w:sz="2" w:space="0" w:color="auto"/>
            </w:tcBorders>
            <w:vAlign w:val="center"/>
          </w:tcPr>
          <w:p w14:paraId="788307EA">
            <w:pPr>
              <w:spacing w:line="360" w:lineRule="auto"/>
              <w:jc w:val="center"/>
              <w:rPr>
                <w:rFonts w:ascii="宋体" w:hAnsi="宋体"/>
              </w:rPr>
            </w:pPr>
          </w:p>
        </w:tc>
        <w:tc>
          <w:tcPr>
            <w:tcW w:w="551" w:type="dxa"/>
            <w:tcBorders>
              <w:top w:val="single" w:sz="2" w:space="0" w:color="auto"/>
              <w:left w:val="single" w:sz="2" w:space="0" w:color="auto"/>
              <w:bottom w:val="single" w:sz="2" w:space="0" w:color="auto"/>
              <w:right w:val="single" w:sz="2" w:space="0" w:color="auto"/>
            </w:tcBorders>
            <w:vAlign w:val="center"/>
          </w:tcPr>
          <w:p w14:paraId="3AC12043">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470BB42B">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179F626E">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1A9D33C">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6A78AC65">
            <w:pPr>
              <w:spacing w:line="360" w:lineRule="auto"/>
              <w:jc w:val="center"/>
              <w:rPr>
                <w:rFonts w:ascii="宋体" w:hAnsi="宋体"/>
              </w:rPr>
            </w:pPr>
          </w:p>
        </w:tc>
        <w:tc>
          <w:tcPr>
            <w:tcW w:w="691" w:type="dxa"/>
            <w:tcBorders>
              <w:top w:val="single" w:sz="2" w:space="0" w:color="auto"/>
              <w:left w:val="single" w:sz="2" w:space="0" w:color="auto"/>
              <w:bottom w:val="single" w:sz="2" w:space="0" w:color="auto"/>
              <w:right w:val="single" w:sz="2" w:space="0" w:color="auto"/>
            </w:tcBorders>
            <w:vAlign w:val="center"/>
          </w:tcPr>
          <w:p w14:paraId="0FCF571D">
            <w:pPr>
              <w:spacing w:line="360" w:lineRule="auto"/>
              <w:jc w:val="center"/>
              <w:rPr>
                <w:rFonts w:ascii="宋体" w:hAnsi="宋体"/>
              </w:rPr>
            </w:pPr>
          </w:p>
        </w:tc>
        <w:tc>
          <w:tcPr>
            <w:tcW w:w="688" w:type="dxa"/>
            <w:tcBorders>
              <w:top w:val="single" w:sz="2" w:space="0" w:color="auto"/>
              <w:left w:val="single" w:sz="2" w:space="0" w:color="auto"/>
              <w:bottom w:val="single" w:sz="2" w:space="0" w:color="auto"/>
              <w:right w:val="single" w:sz="2" w:space="0" w:color="auto"/>
            </w:tcBorders>
            <w:vAlign w:val="center"/>
          </w:tcPr>
          <w:p w14:paraId="2DEDC6C3">
            <w:pPr>
              <w:spacing w:line="360" w:lineRule="auto"/>
              <w:jc w:val="center"/>
              <w:rPr>
                <w:rFonts w:ascii="宋体" w:hAnsi="宋体"/>
              </w:rPr>
            </w:pPr>
          </w:p>
        </w:tc>
      </w:tr>
    </w:tbl>
    <w:p w14:paraId="7E538901">
      <w:pPr>
        <w:spacing w:line="360" w:lineRule="auto"/>
        <w:rPr>
          <w:rFonts w:ascii="宋体" w:hAnsi="宋体"/>
          <w:kern w:val="2"/>
        </w:rPr>
      </w:pPr>
    </w:p>
    <w:p w14:paraId="45FBCA54">
      <w:pPr>
        <w:spacing w:line="360" w:lineRule="auto"/>
        <w:rPr>
          <w:rFonts w:ascii="宋体" w:hAnsi="宋体"/>
          <w:lang w:eastAsia="zh-CN"/>
        </w:rPr>
      </w:pPr>
      <w:r>
        <w:rPr>
          <w:rFonts w:ascii="宋体" w:hAnsi="宋体" w:hint="eastAsia"/>
          <w:lang w:eastAsia="zh-CN"/>
        </w:rPr>
        <w:t xml:space="preserve">评标委员会成员签名：                    </w:t>
      </w:r>
    </w:p>
    <w:p w14:paraId="648B0CCE">
      <w:pPr>
        <w:spacing w:line="360" w:lineRule="auto"/>
        <w:jc w:val="right"/>
        <w:rPr>
          <w:rFonts w:ascii="宋体" w:hAnsi="宋体"/>
          <w:lang w:eastAsia="zh-CN"/>
        </w:rPr>
      </w:pPr>
      <w:r>
        <w:rPr>
          <w:rFonts w:ascii="宋体" w:hAnsi="宋体" w:hint="eastAsia"/>
          <w:lang w:eastAsia="zh-CN"/>
        </w:rPr>
        <w:t xml:space="preserve"> 日期：   　　 年    月　  日</w:t>
      </w:r>
    </w:p>
    <w:p w14:paraId="37BA9CD6">
      <w:pPr>
        <w:spacing w:line="36" w:lineRule="auto"/>
        <w:rPr>
          <w:rFonts w:ascii="宋体" w:hAnsi="宋体"/>
          <w:b/>
          <w:sz w:val="27"/>
          <w:szCs w:val="22"/>
          <w:lang w:eastAsia="zh-CN"/>
        </w:rPr>
      </w:pPr>
    </w:p>
    <w:p w14:paraId="279B7150">
      <w:pPr>
        <w:rPr>
          <w:rFonts w:ascii="宋体" w:hAnsi="宋体"/>
          <w:b/>
          <w:sz w:val="27"/>
          <w:lang w:eastAsia="zh-CN"/>
        </w:rPr>
      </w:pPr>
      <w:r>
        <w:rPr>
          <w:rFonts w:ascii="宋体" w:hAnsi="宋体" w:hint="eastAsia"/>
          <w:b/>
          <w:sz w:val="27"/>
          <w:lang w:eastAsia="zh-CN"/>
        </w:rPr>
        <w:br w:type="page"/>
      </w:r>
    </w:p>
    <w:p w14:paraId="3918F30C">
      <w:pPr>
        <w:spacing w:line="36" w:lineRule="auto"/>
        <w:rPr>
          <w:rFonts w:ascii="宋体" w:hAnsi="宋体"/>
          <w:b/>
          <w:sz w:val="27"/>
          <w:lang w:eastAsia="zh-CN"/>
        </w:rPr>
      </w:pPr>
    </w:p>
    <w:p w14:paraId="30CDF634">
      <w:pPr>
        <w:pStyle w:val="Heading2"/>
        <w:rPr>
          <w:rFonts w:ascii="宋体" w:hAnsi="宋体"/>
          <w:sz w:val="24"/>
          <w:szCs w:val="24"/>
        </w:rPr>
      </w:pPr>
      <w:r>
        <w:rPr>
          <w:rFonts w:ascii="宋体" w:hAnsi="宋体" w:hint="eastAsia"/>
          <w:sz w:val="24"/>
          <w:szCs w:val="24"/>
        </w:rPr>
        <w:t>附表A-6：评标价折算评审记录表</w:t>
      </w:r>
    </w:p>
    <w:p w14:paraId="50CC0BAF">
      <w:pPr>
        <w:spacing w:line="36" w:lineRule="auto"/>
        <w:rPr>
          <w:rFonts w:ascii="宋体" w:hAnsi="宋体"/>
          <w:b/>
          <w:sz w:val="27"/>
          <w:szCs w:val="22"/>
          <w:lang w:eastAsia="zh-CN"/>
        </w:rPr>
      </w:pPr>
    </w:p>
    <w:p w14:paraId="2360A3C6">
      <w:pPr>
        <w:spacing w:line="36" w:lineRule="auto"/>
        <w:jc w:val="center"/>
        <w:rPr>
          <w:rFonts w:ascii="宋体" w:hAnsi="宋体"/>
          <w:b/>
          <w:lang w:eastAsia="zh-CN"/>
        </w:rPr>
      </w:pPr>
      <w:r>
        <w:rPr>
          <w:rFonts w:ascii="宋体" w:hAnsi="宋体" w:hint="eastAsia"/>
          <w:b/>
          <w:lang w:eastAsia="zh-CN"/>
        </w:rPr>
        <w:t>评标价折算评审记录表</w:t>
      </w:r>
    </w:p>
    <w:p w14:paraId="30FE6A79">
      <w:pPr>
        <w:spacing w:line="36" w:lineRule="auto"/>
        <w:jc w:val="center"/>
        <w:rPr>
          <w:rFonts w:ascii="宋体" w:hAnsi="宋体"/>
          <w:b/>
          <w:sz w:val="31"/>
          <w:szCs w:val="22"/>
          <w:lang w:eastAsia="zh-CN"/>
        </w:rPr>
      </w:pPr>
    </w:p>
    <w:p w14:paraId="540D5D49">
      <w:pPr>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806"/>
        <w:gridCol w:w="1899"/>
        <w:gridCol w:w="858"/>
        <w:gridCol w:w="891"/>
        <w:gridCol w:w="890"/>
        <w:gridCol w:w="891"/>
        <w:gridCol w:w="740"/>
        <w:gridCol w:w="630"/>
        <w:gridCol w:w="707"/>
        <w:gridCol w:w="561"/>
      </w:tblGrid>
      <w:tr w14:paraId="162F1251">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477"/>
          <w:jc w:val="center"/>
        </w:trPr>
        <w:tc>
          <w:tcPr>
            <w:tcW w:w="806" w:type="dxa"/>
            <w:vMerge w:val="restart"/>
            <w:tcBorders>
              <w:top w:val="single" w:sz="2" w:space="0" w:color="auto"/>
              <w:left w:val="single" w:sz="2" w:space="0" w:color="auto"/>
              <w:bottom w:val="single" w:sz="2" w:space="0" w:color="auto"/>
              <w:right w:val="single" w:sz="2" w:space="0" w:color="auto"/>
            </w:tcBorders>
            <w:vAlign w:val="center"/>
          </w:tcPr>
          <w:p w14:paraId="7EF5239E">
            <w:r>
              <w:rPr>
                <w:rFonts w:hint="eastAsia"/>
              </w:rPr>
              <w:t>序号</w:t>
            </w:r>
          </w:p>
        </w:tc>
        <w:tc>
          <w:tcPr>
            <w:tcW w:w="1899" w:type="dxa"/>
            <w:vMerge w:val="restart"/>
            <w:tcBorders>
              <w:top w:val="single" w:sz="2" w:space="0" w:color="auto"/>
              <w:left w:val="single" w:sz="2" w:space="0" w:color="auto"/>
              <w:bottom w:val="single" w:sz="2" w:space="0" w:color="auto"/>
              <w:right w:val="single" w:sz="2" w:space="0" w:color="auto"/>
            </w:tcBorders>
            <w:vAlign w:val="center"/>
          </w:tcPr>
          <w:p w14:paraId="425BB42D">
            <w:r>
              <w:rPr>
                <w:rFonts w:hint="eastAsia"/>
              </w:rPr>
              <w:t>量化因素</w:t>
            </w:r>
          </w:p>
        </w:tc>
        <w:tc>
          <w:tcPr>
            <w:tcW w:w="6168" w:type="dxa"/>
            <w:gridSpan w:val="8"/>
            <w:tcBorders>
              <w:top w:val="single" w:sz="2" w:space="0" w:color="auto"/>
              <w:left w:val="single" w:sz="2" w:space="0" w:color="auto"/>
              <w:bottom w:val="single" w:sz="2" w:space="0" w:color="auto"/>
              <w:right w:val="single" w:sz="2" w:space="0" w:color="auto"/>
            </w:tcBorders>
            <w:vAlign w:val="center"/>
          </w:tcPr>
          <w:p w14:paraId="4E055239">
            <w:pPr>
              <w:rPr>
                <w:lang w:eastAsia="zh-CN"/>
              </w:rPr>
            </w:pPr>
            <w:r>
              <w:rPr>
                <w:rFonts w:hint="eastAsia"/>
                <w:lang w:eastAsia="zh-CN"/>
              </w:rPr>
              <w:t>投标人名称及折算价格</w:t>
            </w:r>
          </w:p>
        </w:tc>
      </w:tr>
      <w:tr w14:paraId="33E9D8B0">
        <w:tblPrEx>
          <w:tblW w:w="0" w:type="auto"/>
          <w:jc w:val="center"/>
          <w:tblLayout w:type="fixed"/>
          <w:tblCellMar>
            <w:top w:w="0" w:type="dxa"/>
            <w:left w:w="108" w:type="dxa"/>
            <w:bottom w:w="0" w:type="dxa"/>
            <w:right w:w="108" w:type="dxa"/>
          </w:tblCellMar>
        </w:tblPrEx>
        <w:trPr>
          <w:trHeight w:val="477"/>
          <w:jc w:val="center"/>
        </w:trPr>
        <w:tc>
          <w:tcPr>
            <w:tcW w:w="2705" w:type="dxa"/>
            <w:vMerge/>
            <w:tcBorders>
              <w:top w:val="single" w:sz="2" w:space="0" w:color="auto"/>
              <w:left w:val="single" w:sz="2" w:space="0" w:color="auto"/>
              <w:bottom w:val="single" w:sz="2" w:space="0" w:color="auto"/>
              <w:right w:val="single" w:sz="2" w:space="0" w:color="auto"/>
            </w:tcBorders>
            <w:vAlign w:val="center"/>
          </w:tcPr>
          <w:p w14:paraId="12AA3B47">
            <w:pPr>
              <w:rPr>
                <w:rFonts w:eastAsia="宋体"/>
                <w:kern w:val="2"/>
                <w:lang w:eastAsia="zh-CN"/>
              </w:rPr>
            </w:pPr>
          </w:p>
        </w:tc>
        <w:tc>
          <w:tcPr>
            <w:tcW w:w="1899" w:type="dxa"/>
            <w:vMerge/>
            <w:tcBorders>
              <w:top w:val="single" w:sz="2" w:space="0" w:color="auto"/>
              <w:left w:val="single" w:sz="2" w:space="0" w:color="auto"/>
              <w:bottom w:val="single" w:sz="2" w:space="0" w:color="auto"/>
              <w:right w:val="single" w:sz="2" w:space="0" w:color="auto"/>
            </w:tcBorders>
            <w:vAlign w:val="center"/>
          </w:tcPr>
          <w:p w14:paraId="5486499F">
            <w:pPr>
              <w:rPr>
                <w:rFonts w:eastAsia="宋体"/>
                <w:kern w:val="2"/>
                <w:lang w:eastAsia="zh-CN"/>
              </w:rPr>
            </w:pPr>
          </w:p>
        </w:tc>
        <w:tc>
          <w:tcPr>
            <w:tcW w:w="858" w:type="dxa"/>
            <w:tcBorders>
              <w:top w:val="single" w:sz="2" w:space="0" w:color="auto"/>
              <w:left w:val="single" w:sz="2" w:space="0" w:color="auto"/>
              <w:bottom w:val="single" w:sz="2" w:space="0" w:color="auto"/>
              <w:right w:val="single" w:sz="2" w:space="0" w:color="auto"/>
            </w:tcBorders>
            <w:vAlign w:val="center"/>
          </w:tcPr>
          <w:p w14:paraId="7DD64199">
            <w:pPr>
              <w:rPr>
                <w:lang w:eastAsia="zh-CN"/>
              </w:rPr>
            </w:pPr>
          </w:p>
        </w:tc>
        <w:tc>
          <w:tcPr>
            <w:tcW w:w="891" w:type="dxa"/>
            <w:tcBorders>
              <w:top w:val="single" w:sz="2" w:space="0" w:color="auto"/>
              <w:left w:val="single" w:sz="2" w:space="0" w:color="auto"/>
              <w:bottom w:val="single" w:sz="2" w:space="0" w:color="auto"/>
              <w:right w:val="single" w:sz="2" w:space="0" w:color="auto"/>
            </w:tcBorders>
            <w:vAlign w:val="center"/>
          </w:tcPr>
          <w:p w14:paraId="0D1A96A5">
            <w:pPr>
              <w:rPr>
                <w:lang w:eastAsia="zh-CN"/>
              </w:rPr>
            </w:pPr>
          </w:p>
        </w:tc>
        <w:tc>
          <w:tcPr>
            <w:tcW w:w="890" w:type="dxa"/>
            <w:tcBorders>
              <w:top w:val="single" w:sz="2" w:space="0" w:color="auto"/>
              <w:left w:val="single" w:sz="2" w:space="0" w:color="auto"/>
              <w:bottom w:val="single" w:sz="2" w:space="0" w:color="auto"/>
              <w:right w:val="single" w:sz="2" w:space="0" w:color="auto"/>
            </w:tcBorders>
            <w:vAlign w:val="center"/>
          </w:tcPr>
          <w:p w14:paraId="3159C834">
            <w:pPr>
              <w:rPr>
                <w:lang w:eastAsia="zh-CN"/>
              </w:rPr>
            </w:pPr>
          </w:p>
        </w:tc>
        <w:tc>
          <w:tcPr>
            <w:tcW w:w="891" w:type="dxa"/>
            <w:tcBorders>
              <w:top w:val="single" w:sz="2" w:space="0" w:color="auto"/>
              <w:left w:val="single" w:sz="2" w:space="0" w:color="auto"/>
              <w:bottom w:val="single" w:sz="2" w:space="0" w:color="auto"/>
              <w:right w:val="single" w:sz="2" w:space="0" w:color="auto"/>
            </w:tcBorders>
            <w:vAlign w:val="center"/>
          </w:tcPr>
          <w:p w14:paraId="007FFD69">
            <w:pPr>
              <w:rPr>
                <w:lang w:eastAsia="zh-CN"/>
              </w:rPr>
            </w:pPr>
          </w:p>
        </w:tc>
        <w:tc>
          <w:tcPr>
            <w:tcW w:w="740" w:type="dxa"/>
            <w:tcBorders>
              <w:top w:val="single" w:sz="2" w:space="0" w:color="auto"/>
              <w:left w:val="single" w:sz="2" w:space="0" w:color="auto"/>
              <w:bottom w:val="single" w:sz="2" w:space="0" w:color="auto"/>
              <w:right w:val="single" w:sz="2" w:space="0" w:color="auto"/>
            </w:tcBorders>
            <w:vAlign w:val="center"/>
          </w:tcPr>
          <w:p w14:paraId="577B547B">
            <w:pPr>
              <w:rPr>
                <w:lang w:eastAsia="zh-CN"/>
              </w:rPr>
            </w:pPr>
          </w:p>
        </w:tc>
        <w:tc>
          <w:tcPr>
            <w:tcW w:w="630" w:type="dxa"/>
            <w:tcBorders>
              <w:top w:val="single" w:sz="2" w:space="0" w:color="auto"/>
              <w:left w:val="single" w:sz="2" w:space="0" w:color="auto"/>
              <w:bottom w:val="single" w:sz="2" w:space="0" w:color="auto"/>
              <w:right w:val="single" w:sz="2" w:space="0" w:color="auto"/>
            </w:tcBorders>
            <w:vAlign w:val="center"/>
          </w:tcPr>
          <w:p w14:paraId="6B1E917F">
            <w:pPr>
              <w:rPr>
                <w:lang w:eastAsia="zh-CN"/>
              </w:rPr>
            </w:pPr>
          </w:p>
        </w:tc>
        <w:tc>
          <w:tcPr>
            <w:tcW w:w="707" w:type="dxa"/>
            <w:tcBorders>
              <w:top w:val="single" w:sz="2" w:space="0" w:color="auto"/>
              <w:left w:val="single" w:sz="2" w:space="0" w:color="auto"/>
              <w:bottom w:val="single" w:sz="2" w:space="0" w:color="auto"/>
              <w:right w:val="single" w:sz="2" w:space="0" w:color="auto"/>
            </w:tcBorders>
            <w:vAlign w:val="center"/>
          </w:tcPr>
          <w:p w14:paraId="7B458AAA">
            <w:pPr>
              <w:rPr>
                <w:lang w:eastAsia="zh-CN"/>
              </w:rPr>
            </w:pPr>
          </w:p>
        </w:tc>
        <w:tc>
          <w:tcPr>
            <w:tcW w:w="561" w:type="dxa"/>
            <w:tcBorders>
              <w:top w:val="single" w:sz="2" w:space="0" w:color="auto"/>
              <w:left w:val="single" w:sz="2" w:space="0" w:color="auto"/>
              <w:bottom w:val="single" w:sz="2" w:space="0" w:color="auto"/>
              <w:right w:val="single" w:sz="2" w:space="0" w:color="auto"/>
            </w:tcBorders>
            <w:vAlign w:val="center"/>
          </w:tcPr>
          <w:p w14:paraId="4DBFAB4C">
            <w:pPr>
              <w:rPr>
                <w:lang w:eastAsia="zh-CN"/>
              </w:rPr>
            </w:pPr>
          </w:p>
        </w:tc>
      </w:tr>
      <w:tr w14:paraId="475C7D8E">
        <w:tblPrEx>
          <w:tblW w:w="0" w:type="auto"/>
          <w:jc w:val="center"/>
          <w:tblLayout w:type="fixed"/>
          <w:tblCellMar>
            <w:top w:w="0" w:type="dxa"/>
            <w:left w:w="108" w:type="dxa"/>
            <w:bottom w:w="0" w:type="dxa"/>
            <w:right w:w="108" w:type="dxa"/>
          </w:tblCellMar>
        </w:tblPrEx>
        <w:trPr>
          <w:trHeight w:val="932"/>
          <w:jc w:val="center"/>
        </w:trPr>
        <w:tc>
          <w:tcPr>
            <w:tcW w:w="806" w:type="dxa"/>
            <w:tcBorders>
              <w:top w:val="single" w:sz="2" w:space="0" w:color="auto"/>
              <w:left w:val="single" w:sz="2" w:space="0" w:color="auto"/>
              <w:bottom w:val="single" w:sz="2" w:space="0" w:color="auto"/>
              <w:right w:val="single" w:sz="2" w:space="0" w:color="auto"/>
            </w:tcBorders>
            <w:vAlign w:val="center"/>
          </w:tcPr>
          <w:p w14:paraId="46D8DD41">
            <w:r>
              <w:rPr>
                <w:rFonts w:hint="eastAsia"/>
              </w:rPr>
              <w:t>1</w:t>
            </w:r>
          </w:p>
        </w:tc>
        <w:tc>
          <w:tcPr>
            <w:tcW w:w="1899" w:type="dxa"/>
            <w:tcBorders>
              <w:top w:val="single" w:sz="2" w:space="0" w:color="auto"/>
              <w:left w:val="single" w:sz="2" w:space="0" w:color="auto"/>
              <w:bottom w:val="single" w:sz="2" w:space="0" w:color="auto"/>
              <w:right w:val="single" w:sz="2" w:space="0" w:color="auto"/>
            </w:tcBorders>
            <w:vAlign w:val="center"/>
          </w:tcPr>
          <w:p w14:paraId="795EFB29">
            <w:r>
              <w:rPr>
                <w:rFonts w:hint="eastAsia"/>
              </w:rPr>
              <w:t>单价遗漏</w:t>
            </w:r>
          </w:p>
        </w:tc>
        <w:tc>
          <w:tcPr>
            <w:tcW w:w="858" w:type="dxa"/>
            <w:tcBorders>
              <w:top w:val="single" w:sz="2" w:space="0" w:color="auto"/>
              <w:left w:val="single" w:sz="2" w:space="0" w:color="auto"/>
              <w:bottom w:val="single" w:sz="2" w:space="0" w:color="auto"/>
              <w:right w:val="single" w:sz="2" w:space="0" w:color="auto"/>
            </w:tcBorders>
            <w:vAlign w:val="center"/>
          </w:tcPr>
          <w:p w14:paraId="4099CA1B"/>
        </w:tc>
        <w:tc>
          <w:tcPr>
            <w:tcW w:w="891" w:type="dxa"/>
            <w:tcBorders>
              <w:top w:val="single" w:sz="2" w:space="0" w:color="auto"/>
              <w:left w:val="single" w:sz="2" w:space="0" w:color="auto"/>
              <w:bottom w:val="single" w:sz="2" w:space="0" w:color="auto"/>
              <w:right w:val="single" w:sz="2" w:space="0" w:color="auto"/>
            </w:tcBorders>
            <w:vAlign w:val="center"/>
          </w:tcPr>
          <w:p w14:paraId="39A6D8AB"/>
        </w:tc>
        <w:tc>
          <w:tcPr>
            <w:tcW w:w="890" w:type="dxa"/>
            <w:tcBorders>
              <w:top w:val="single" w:sz="2" w:space="0" w:color="auto"/>
              <w:left w:val="single" w:sz="2" w:space="0" w:color="auto"/>
              <w:bottom w:val="single" w:sz="2" w:space="0" w:color="auto"/>
              <w:right w:val="single" w:sz="2" w:space="0" w:color="auto"/>
            </w:tcBorders>
            <w:vAlign w:val="center"/>
          </w:tcPr>
          <w:p w14:paraId="19BC89D0"/>
        </w:tc>
        <w:tc>
          <w:tcPr>
            <w:tcW w:w="891" w:type="dxa"/>
            <w:tcBorders>
              <w:top w:val="single" w:sz="2" w:space="0" w:color="auto"/>
              <w:left w:val="single" w:sz="2" w:space="0" w:color="auto"/>
              <w:bottom w:val="single" w:sz="2" w:space="0" w:color="auto"/>
              <w:right w:val="single" w:sz="2" w:space="0" w:color="auto"/>
            </w:tcBorders>
            <w:vAlign w:val="center"/>
          </w:tcPr>
          <w:p w14:paraId="743EF09D"/>
        </w:tc>
        <w:tc>
          <w:tcPr>
            <w:tcW w:w="740" w:type="dxa"/>
            <w:tcBorders>
              <w:top w:val="single" w:sz="2" w:space="0" w:color="auto"/>
              <w:left w:val="single" w:sz="2" w:space="0" w:color="auto"/>
              <w:bottom w:val="single" w:sz="2" w:space="0" w:color="auto"/>
              <w:right w:val="single" w:sz="2" w:space="0" w:color="auto"/>
            </w:tcBorders>
            <w:vAlign w:val="center"/>
          </w:tcPr>
          <w:p w14:paraId="3B1B3CD4"/>
        </w:tc>
        <w:tc>
          <w:tcPr>
            <w:tcW w:w="630" w:type="dxa"/>
            <w:tcBorders>
              <w:top w:val="single" w:sz="2" w:space="0" w:color="auto"/>
              <w:left w:val="single" w:sz="2" w:space="0" w:color="auto"/>
              <w:bottom w:val="single" w:sz="2" w:space="0" w:color="auto"/>
              <w:right w:val="single" w:sz="2" w:space="0" w:color="auto"/>
            </w:tcBorders>
            <w:vAlign w:val="center"/>
          </w:tcPr>
          <w:p w14:paraId="066C01B7"/>
        </w:tc>
        <w:tc>
          <w:tcPr>
            <w:tcW w:w="707" w:type="dxa"/>
            <w:tcBorders>
              <w:top w:val="single" w:sz="2" w:space="0" w:color="auto"/>
              <w:left w:val="single" w:sz="2" w:space="0" w:color="auto"/>
              <w:bottom w:val="single" w:sz="2" w:space="0" w:color="auto"/>
              <w:right w:val="single" w:sz="2" w:space="0" w:color="auto"/>
            </w:tcBorders>
            <w:vAlign w:val="center"/>
          </w:tcPr>
          <w:p w14:paraId="0D002092"/>
        </w:tc>
        <w:tc>
          <w:tcPr>
            <w:tcW w:w="561" w:type="dxa"/>
            <w:tcBorders>
              <w:top w:val="single" w:sz="2" w:space="0" w:color="auto"/>
              <w:left w:val="single" w:sz="2" w:space="0" w:color="auto"/>
              <w:bottom w:val="single" w:sz="2" w:space="0" w:color="auto"/>
              <w:right w:val="single" w:sz="2" w:space="0" w:color="auto"/>
            </w:tcBorders>
            <w:vAlign w:val="center"/>
          </w:tcPr>
          <w:p w14:paraId="1A87D5C1"/>
        </w:tc>
      </w:tr>
      <w:tr w14:paraId="72A2C5E4">
        <w:tblPrEx>
          <w:tblW w:w="0" w:type="auto"/>
          <w:jc w:val="center"/>
          <w:tblLayout w:type="fixed"/>
          <w:tblCellMar>
            <w:top w:w="0" w:type="dxa"/>
            <w:left w:w="108" w:type="dxa"/>
            <w:bottom w:w="0" w:type="dxa"/>
            <w:right w:w="108" w:type="dxa"/>
          </w:tblCellMar>
        </w:tblPrEx>
        <w:trPr>
          <w:trHeight w:val="477"/>
          <w:jc w:val="center"/>
        </w:trPr>
        <w:tc>
          <w:tcPr>
            <w:tcW w:w="806" w:type="dxa"/>
            <w:tcBorders>
              <w:top w:val="single" w:sz="2" w:space="0" w:color="auto"/>
              <w:left w:val="single" w:sz="2" w:space="0" w:color="auto"/>
              <w:bottom w:val="single" w:sz="2" w:space="0" w:color="auto"/>
              <w:right w:val="single" w:sz="2" w:space="0" w:color="auto"/>
            </w:tcBorders>
            <w:vAlign w:val="center"/>
          </w:tcPr>
          <w:p w14:paraId="7678D160">
            <w:r>
              <w:rPr>
                <w:rFonts w:hint="eastAsia"/>
              </w:rPr>
              <w:t>2</w:t>
            </w:r>
          </w:p>
        </w:tc>
        <w:tc>
          <w:tcPr>
            <w:tcW w:w="1899" w:type="dxa"/>
            <w:tcBorders>
              <w:top w:val="single" w:sz="2" w:space="0" w:color="auto"/>
              <w:left w:val="single" w:sz="2" w:space="0" w:color="auto"/>
              <w:bottom w:val="single" w:sz="2" w:space="0" w:color="auto"/>
              <w:right w:val="single" w:sz="2" w:space="0" w:color="auto"/>
            </w:tcBorders>
            <w:vAlign w:val="center"/>
          </w:tcPr>
          <w:p w14:paraId="6E58A9D9">
            <w:r>
              <w:rPr>
                <w:rFonts w:hint="eastAsia"/>
              </w:rPr>
              <w:t>付款条件</w:t>
            </w:r>
          </w:p>
        </w:tc>
        <w:tc>
          <w:tcPr>
            <w:tcW w:w="858" w:type="dxa"/>
            <w:tcBorders>
              <w:top w:val="single" w:sz="2" w:space="0" w:color="auto"/>
              <w:left w:val="single" w:sz="2" w:space="0" w:color="auto"/>
              <w:bottom w:val="single" w:sz="2" w:space="0" w:color="auto"/>
              <w:right w:val="single" w:sz="2" w:space="0" w:color="auto"/>
            </w:tcBorders>
            <w:vAlign w:val="center"/>
          </w:tcPr>
          <w:p w14:paraId="060D388F"/>
        </w:tc>
        <w:tc>
          <w:tcPr>
            <w:tcW w:w="891" w:type="dxa"/>
            <w:tcBorders>
              <w:top w:val="single" w:sz="2" w:space="0" w:color="auto"/>
              <w:left w:val="single" w:sz="2" w:space="0" w:color="auto"/>
              <w:bottom w:val="single" w:sz="2" w:space="0" w:color="auto"/>
              <w:right w:val="single" w:sz="2" w:space="0" w:color="auto"/>
            </w:tcBorders>
            <w:vAlign w:val="center"/>
          </w:tcPr>
          <w:p w14:paraId="6EA65410"/>
        </w:tc>
        <w:tc>
          <w:tcPr>
            <w:tcW w:w="890" w:type="dxa"/>
            <w:tcBorders>
              <w:top w:val="single" w:sz="2" w:space="0" w:color="auto"/>
              <w:left w:val="single" w:sz="2" w:space="0" w:color="auto"/>
              <w:bottom w:val="single" w:sz="2" w:space="0" w:color="auto"/>
              <w:right w:val="single" w:sz="2" w:space="0" w:color="auto"/>
            </w:tcBorders>
            <w:vAlign w:val="center"/>
          </w:tcPr>
          <w:p w14:paraId="336805F7"/>
        </w:tc>
        <w:tc>
          <w:tcPr>
            <w:tcW w:w="891" w:type="dxa"/>
            <w:tcBorders>
              <w:top w:val="single" w:sz="2" w:space="0" w:color="auto"/>
              <w:left w:val="single" w:sz="2" w:space="0" w:color="auto"/>
              <w:bottom w:val="single" w:sz="2" w:space="0" w:color="auto"/>
              <w:right w:val="single" w:sz="2" w:space="0" w:color="auto"/>
            </w:tcBorders>
            <w:vAlign w:val="center"/>
          </w:tcPr>
          <w:p w14:paraId="34B19904"/>
        </w:tc>
        <w:tc>
          <w:tcPr>
            <w:tcW w:w="740" w:type="dxa"/>
            <w:tcBorders>
              <w:top w:val="single" w:sz="2" w:space="0" w:color="auto"/>
              <w:left w:val="single" w:sz="2" w:space="0" w:color="auto"/>
              <w:bottom w:val="single" w:sz="2" w:space="0" w:color="auto"/>
              <w:right w:val="single" w:sz="2" w:space="0" w:color="auto"/>
            </w:tcBorders>
            <w:vAlign w:val="center"/>
          </w:tcPr>
          <w:p w14:paraId="67024205"/>
        </w:tc>
        <w:tc>
          <w:tcPr>
            <w:tcW w:w="630" w:type="dxa"/>
            <w:tcBorders>
              <w:top w:val="single" w:sz="2" w:space="0" w:color="auto"/>
              <w:left w:val="single" w:sz="2" w:space="0" w:color="auto"/>
              <w:bottom w:val="single" w:sz="2" w:space="0" w:color="auto"/>
              <w:right w:val="single" w:sz="2" w:space="0" w:color="auto"/>
            </w:tcBorders>
            <w:vAlign w:val="center"/>
          </w:tcPr>
          <w:p w14:paraId="6D573404"/>
        </w:tc>
        <w:tc>
          <w:tcPr>
            <w:tcW w:w="707" w:type="dxa"/>
            <w:tcBorders>
              <w:top w:val="single" w:sz="2" w:space="0" w:color="auto"/>
              <w:left w:val="single" w:sz="2" w:space="0" w:color="auto"/>
              <w:bottom w:val="single" w:sz="2" w:space="0" w:color="auto"/>
              <w:right w:val="single" w:sz="2" w:space="0" w:color="auto"/>
            </w:tcBorders>
            <w:vAlign w:val="center"/>
          </w:tcPr>
          <w:p w14:paraId="5FAE6D17"/>
        </w:tc>
        <w:tc>
          <w:tcPr>
            <w:tcW w:w="561" w:type="dxa"/>
            <w:tcBorders>
              <w:top w:val="single" w:sz="2" w:space="0" w:color="auto"/>
              <w:left w:val="single" w:sz="2" w:space="0" w:color="auto"/>
              <w:bottom w:val="single" w:sz="2" w:space="0" w:color="auto"/>
              <w:right w:val="single" w:sz="2" w:space="0" w:color="auto"/>
            </w:tcBorders>
            <w:vAlign w:val="center"/>
          </w:tcPr>
          <w:p w14:paraId="296AFA42"/>
        </w:tc>
      </w:tr>
      <w:tr w14:paraId="5EEF278F">
        <w:tblPrEx>
          <w:tblW w:w="0" w:type="auto"/>
          <w:jc w:val="center"/>
          <w:tblLayout w:type="fixed"/>
          <w:tblCellMar>
            <w:top w:w="0" w:type="dxa"/>
            <w:left w:w="108" w:type="dxa"/>
            <w:bottom w:w="0" w:type="dxa"/>
            <w:right w:w="108" w:type="dxa"/>
          </w:tblCellMar>
        </w:tblPrEx>
        <w:trPr>
          <w:trHeight w:val="477"/>
          <w:jc w:val="center"/>
        </w:trPr>
        <w:tc>
          <w:tcPr>
            <w:tcW w:w="806" w:type="dxa"/>
            <w:tcBorders>
              <w:top w:val="single" w:sz="2" w:space="0" w:color="auto"/>
              <w:left w:val="single" w:sz="2" w:space="0" w:color="auto"/>
              <w:bottom w:val="single" w:sz="2" w:space="0" w:color="auto"/>
              <w:right w:val="single" w:sz="2" w:space="0" w:color="auto"/>
            </w:tcBorders>
            <w:vAlign w:val="center"/>
          </w:tcPr>
          <w:p w14:paraId="2102968D">
            <w:r>
              <w:rPr>
                <w:rFonts w:hint="eastAsia"/>
              </w:rPr>
              <w:t>3</w:t>
            </w:r>
          </w:p>
        </w:tc>
        <w:tc>
          <w:tcPr>
            <w:tcW w:w="1899" w:type="dxa"/>
            <w:tcBorders>
              <w:top w:val="single" w:sz="2" w:space="0" w:color="auto"/>
              <w:left w:val="single" w:sz="2" w:space="0" w:color="auto"/>
              <w:bottom w:val="single" w:sz="2" w:space="0" w:color="auto"/>
              <w:right w:val="single" w:sz="2" w:space="0" w:color="auto"/>
            </w:tcBorders>
            <w:vAlign w:val="center"/>
          </w:tcPr>
          <w:p w14:paraId="05F8FE57">
            <w:r>
              <w:rPr>
                <w:rFonts w:hint="eastAsia"/>
              </w:rPr>
              <w:t>不平衡报价</w:t>
            </w:r>
          </w:p>
        </w:tc>
        <w:tc>
          <w:tcPr>
            <w:tcW w:w="858" w:type="dxa"/>
            <w:tcBorders>
              <w:top w:val="single" w:sz="2" w:space="0" w:color="auto"/>
              <w:left w:val="single" w:sz="2" w:space="0" w:color="auto"/>
              <w:bottom w:val="single" w:sz="2" w:space="0" w:color="auto"/>
              <w:right w:val="single" w:sz="2" w:space="0" w:color="auto"/>
            </w:tcBorders>
            <w:vAlign w:val="center"/>
          </w:tcPr>
          <w:p w14:paraId="23C5A492"/>
        </w:tc>
        <w:tc>
          <w:tcPr>
            <w:tcW w:w="891" w:type="dxa"/>
            <w:tcBorders>
              <w:top w:val="single" w:sz="2" w:space="0" w:color="auto"/>
              <w:left w:val="single" w:sz="2" w:space="0" w:color="auto"/>
              <w:bottom w:val="single" w:sz="2" w:space="0" w:color="auto"/>
              <w:right w:val="single" w:sz="2" w:space="0" w:color="auto"/>
            </w:tcBorders>
            <w:vAlign w:val="center"/>
          </w:tcPr>
          <w:p w14:paraId="76B89C0B"/>
        </w:tc>
        <w:tc>
          <w:tcPr>
            <w:tcW w:w="890" w:type="dxa"/>
            <w:tcBorders>
              <w:top w:val="single" w:sz="2" w:space="0" w:color="auto"/>
              <w:left w:val="single" w:sz="2" w:space="0" w:color="auto"/>
              <w:bottom w:val="single" w:sz="2" w:space="0" w:color="auto"/>
              <w:right w:val="single" w:sz="2" w:space="0" w:color="auto"/>
            </w:tcBorders>
            <w:vAlign w:val="center"/>
          </w:tcPr>
          <w:p w14:paraId="3A9B1B1E"/>
        </w:tc>
        <w:tc>
          <w:tcPr>
            <w:tcW w:w="891" w:type="dxa"/>
            <w:tcBorders>
              <w:top w:val="single" w:sz="2" w:space="0" w:color="auto"/>
              <w:left w:val="single" w:sz="2" w:space="0" w:color="auto"/>
              <w:bottom w:val="single" w:sz="2" w:space="0" w:color="auto"/>
              <w:right w:val="single" w:sz="2" w:space="0" w:color="auto"/>
            </w:tcBorders>
            <w:vAlign w:val="center"/>
          </w:tcPr>
          <w:p w14:paraId="3ACE8183"/>
        </w:tc>
        <w:tc>
          <w:tcPr>
            <w:tcW w:w="740" w:type="dxa"/>
            <w:tcBorders>
              <w:top w:val="single" w:sz="2" w:space="0" w:color="auto"/>
              <w:left w:val="single" w:sz="2" w:space="0" w:color="auto"/>
              <w:bottom w:val="single" w:sz="2" w:space="0" w:color="auto"/>
              <w:right w:val="single" w:sz="2" w:space="0" w:color="auto"/>
            </w:tcBorders>
            <w:vAlign w:val="center"/>
          </w:tcPr>
          <w:p w14:paraId="64F0A85E"/>
        </w:tc>
        <w:tc>
          <w:tcPr>
            <w:tcW w:w="630" w:type="dxa"/>
            <w:tcBorders>
              <w:top w:val="single" w:sz="2" w:space="0" w:color="auto"/>
              <w:left w:val="single" w:sz="2" w:space="0" w:color="auto"/>
              <w:bottom w:val="single" w:sz="2" w:space="0" w:color="auto"/>
              <w:right w:val="single" w:sz="2" w:space="0" w:color="auto"/>
            </w:tcBorders>
            <w:vAlign w:val="center"/>
          </w:tcPr>
          <w:p w14:paraId="508FA649"/>
        </w:tc>
        <w:tc>
          <w:tcPr>
            <w:tcW w:w="707" w:type="dxa"/>
            <w:tcBorders>
              <w:top w:val="single" w:sz="2" w:space="0" w:color="auto"/>
              <w:left w:val="single" w:sz="2" w:space="0" w:color="auto"/>
              <w:bottom w:val="single" w:sz="2" w:space="0" w:color="auto"/>
              <w:right w:val="single" w:sz="2" w:space="0" w:color="auto"/>
            </w:tcBorders>
            <w:vAlign w:val="center"/>
          </w:tcPr>
          <w:p w14:paraId="4963FCD5"/>
        </w:tc>
        <w:tc>
          <w:tcPr>
            <w:tcW w:w="561" w:type="dxa"/>
            <w:tcBorders>
              <w:top w:val="single" w:sz="2" w:space="0" w:color="auto"/>
              <w:left w:val="single" w:sz="2" w:space="0" w:color="auto"/>
              <w:bottom w:val="single" w:sz="2" w:space="0" w:color="auto"/>
              <w:right w:val="single" w:sz="2" w:space="0" w:color="auto"/>
            </w:tcBorders>
            <w:vAlign w:val="center"/>
          </w:tcPr>
          <w:p w14:paraId="10F305ED"/>
        </w:tc>
      </w:tr>
      <w:tr w14:paraId="6144A2BF">
        <w:tblPrEx>
          <w:tblW w:w="0" w:type="auto"/>
          <w:jc w:val="center"/>
          <w:tblLayout w:type="fixed"/>
          <w:tblCellMar>
            <w:top w:w="0" w:type="dxa"/>
            <w:left w:w="108" w:type="dxa"/>
            <w:bottom w:w="0" w:type="dxa"/>
            <w:right w:w="108" w:type="dxa"/>
          </w:tblCellMar>
        </w:tblPrEx>
        <w:trPr>
          <w:trHeight w:val="477"/>
          <w:jc w:val="center"/>
        </w:trPr>
        <w:tc>
          <w:tcPr>
            <w:tcW w:w="806" w:type="dxa"/>
            <w:tcBorders>
              <w:top w:val="single" w:sz="2" w:space="0" w:color="auto"/>
              <w:left w:val="single" w:sz="2" w:space="0" w:color="auto"/>
              <w:bottom w:val="single" w:sz="2" w:space="0" w:color="auto"/>
              <w:right w:val="single" w:sz="2" w:space="0" w:color="auto"/>
            </w:tcBorders>
            <w:vAlign w:val="center"/>
          </w:tcPr>
          <w:p w14:paraId="476D30B8"/>
        </w:tc>
        <w:tc>
          <w:tcPr>
            <w:tcW w:w="1899" w:type="dxa"/>
            <w:tcBorders>
              <w:top w:val="single" w:sz="2" w:space="0" w:color="auto"/>
              <w:left w:val="single" w:sz="2" w:space="0" w:color="auto"/>
              <w:bottom w:val="single" w:sz="2" w:space="0" w:color="auto"/>
              <w:right w:val="single" w:sz="2" w:space="0" w:color="auto"/>
            </w:tcBorders>
            <w:vAlign w:val="center"/>
          </w:tcPr>
          <w:p w14:paraId="42997FCD">
            <w:r>
              <w:rPr>
                <w:rFonts w:hint="eastAsia"/>
              </w:rPr>
              <w:t>……</w:t>
            </w:r>
          </w:p>
        </w:tc>
        <w:tc>
          <w:tcPr>
            <w:tcW w:w="858" w:type="dxa"/>
            <w:tcBorders>
              <w:top w:val="single" w:sz="2" w:space="0" w:color="auto"/>
              <w:left w:val="single" w:sz="2" w:space="0" w:color="auto"/>
              <w:bottom w:val="single" w:sz="2" w:space="0" w:color="auto"/>
              <w:right w:val="single" w:sz="2" w:space="0" w:color="auto"/>
            </w:tcBorders>
            <w:vAlign w:val="center"/>
          </w:tcPr>
          <w:p w14:paraId="79251929"/>
        </w:tc>
        <w:tc>
          <w:tcPr>
            <w:tcW w:w="891" w:type="dxa"/>
            <w:tcBorders>
              <w:top w:val="single" w:sz="2" w:space="0" w:color="auto"/>
              <w:left w:val="single" w:sz="2" w:space="0" w:color="auto"/>
              <w:bottom w:val="single" w:sz="2" w:space="0" w:color="auto"/>
              <w:right w:val="single" w:sz="2" w:space="0" w:color="auto"/>
            </w:tcBorders>
            <w:vAlign w:val="center"/>
          </w:tcPr>
          <w:p w14:paraId="25405720"/>
        </w:tc>
        <w:tc>
          <w:tcPr>
            <w:tcW w:w="890" w:type="dxa"/>
            <w:tcBorders>
              <w:top w:val="single" w:sz="2" w:space="0" w:color="auto"/>
              <w:left w:val="single" w:sz="2" w:space="0" w:color="auto"/>
              <w:bottom w:val="single" w:sz="2" w:space="0" w:color="auto"/>
              <w:right w:val="single" w:sz="2" w:space="0" w:color="auto"/>
            </w:tcBorders>
            <w:vAlign w:val="center"/>
          </w:tcPr>
          <w:p w14:paraId="211E62D4"/>
        </w:tc>
        <w:tc>
          <w:tcPr>
            <w:tcW w:w="891" w:type="dxa"/>
            <w:tcBorders>
              <w:top w:val="single" w:sz="2" w:space="0" w:color="auto"/>
              <w:left w:val="single" w:sz="2" w:space="0" w:color="auto"/>
              <w:bottom w:val="single" w:sz="2" w:space="0" w:color="auto"/>
              <w:right w:val="single" w:sz="2" w:space="0" w:color="auto"/>
            </w:tcBorders>
            <w:vAlign w:val="center"/>
          </w:tcPr>
          <w:p w14:paraId="7EBD9A57"/>
        </w:tc>
        <w:tc>
          <w:tcPr>
            <w:tcW w:w="740" w:type="dxa"/>
            <w:tcBorders>
              <w:top w:val="single" w:sz="2" w:space="0" w:color="auto"/>
              <w:left w:val="single" w:sz="2" w:space="0" w:color="auto"/>
              <w:bottom w:val="single" w:sz="2" w:space="0" w:color="auto"/>
              <w:right w:val="single" w:sz="2" w:space="0" w:color="auto"/>
            </w:tcBorders>
            <w:vAlign w:val="center"/>
          </w:tcPr>
          <w:p w14:paraId="02108CC3"/>
        </w:tc>
        <w:tc>
          <w:tcPr>
            <w:tcW w:w="630" w:type="dxa"/>
            <w:tcBorders>
              <w:top w:val="single" w:sz="2" w:space="0" w:color="auto"/>
              <w:left w:val="single" w:sz="2" w:space="0" w:color="auto"/>
              <w:bottom w:val="single" w:sz="2" w:space="0" w:color="auto"/>
              <w:right w:val="single" w:sz="2" w:space="0" w:color="auto"/>
            </w:tcBorders>
            <w:vAlign w:val="center"/>
          </w:tcPr>
          <w:p w14:paraId="59E5AE20"/>
        </w:tc>
        <w:tc>
          <w:tcPr>
            <w:tcW w:w="707" w:type="dxa"/>
            <w:tcBorders>
              <w:top w:val="single" w:sz="2" w:space="0" w:color="auto"/>
              <w:left w:val="single" w:sz="2" w:space="0" w:color="auto"/>
              <w:bottom w:val="single" w:sz="2" w:space="0" w:color="auto"/>
              <w:right w:val="single" w:sz="2" w:space="0" w:color="auto"/>
            </w:tcBorders>
            <w:vAlign w:val="center"/>
          </w:tcPr>
          <w:p w14:paraId="66DABDD0"/>
        </w:tc>
        <w:tc>
          <w:tcPr>
            <w:tcW w:w="561" w:type="dxa"/>
            <w:tcBorders>
              <w:top w:val="single" w:sz="2" w:space="0" w:color="auto"/>
              <w:left w:val="single" w:sz="2" w:space="0" w:color="auto"/>
              <w:bottom w:val="single" w:sz="2" w:space="0" w:color="auto"/>
              <w:right w:val="single" w:sz="2" w:space="0" w:color="auto"/>
            </w:tcBorders>
            <w:vAlign w:val="center"/>
          </w:tcPr>
          <w:p w14:paraId="40E3EBAF"/>
        </w:tc>
      </w:tr>
      <w:tr w14:paraId="7D9560C7">
        <w:tblPrEx>
          <w:tblW w:w="0" w:type="auto"/>
          <w:jc w:val="center"/>
          <w:tblLayout w:type="fixed"/>
          <w:tblCellMar>
            <w:top w:w="0" w:type="dxa"/>
            <w:left w:w="108" w:type="dxa"/>
            <w:bottom w:w="0" w:type="dxa"/>
            <w:right w:w="108" w:type="dxa"/>
          </w:tblCellMar>
        </w:tblPrEx>
        <w:trPr>
          <w:trHeight w:val="454"/>
          <w:jc w:val="center"/>
        </w:trPr>
        <w:tc>
          <w:tcPr>
            <w:tcW w:w="2705" w:type="dxa"/>
            <w:gridSpan w:val="2"/>
            <w:tcBorders>
              <w:top w:val="single" w:sz="2" w:space="0" w:color="auto"/>
              <w:left w:val="single" w:sz="2" w:space="0" w:color="auto"/>
              <w:bottom w:val="single" w:sz="2" w:space="0" w:color="auto"/>
              <w:right w:val="single" w:sz="2" w:space="0" w:color="auto"/>
            </w:tcBorders>
            <w:vAlign w:val="center"/>
          </w:tcPr>
          <w:p w14:paraId="0390D8F8">
            <w:r>
              <w:rPr>
                <w:rFonts w:hint="eastAsia"/>
              </w:rPr>
              <w:t>投标报价</w:t>
            </w:r>
          </w:p>
        </w:tc>
        <w:tc>
          <w:tcPr>
            <w:tcW w:w="858" w:type="dxa"/>
            <w:tcBorders>
              <w:top w:val="single" w:sz="2" w:space="0" w:color="auto"/>
              <w:left w:val="single" w:sz="2" w:space="0" w:color="auto"/>
              <w:bottom w:val="single" w:sz="2" w:space="0" w:color="auto"/>
              <w:right w:val="single" w:sz="2" w:space="0" w:color="auto"/>
            </w:tcBorders>
            <w:vAlign w:val="center"/>
          </w:tcPr>
          <w:p w14:paraId="08B5500A"/>
        </w:tc>
        <w:tc>
          <w:tcPr>
            <w:tcW w:w="891" w:type="dxa"/>
            <w:tcBorders>
              <w:top w:val="single" w:sz="2" w:space="0" w:color="auto"/>
              <w:left w:val="single" w:sz="2" w:space="0" w:color="auto"/>
              <w:bottom w:val="single" w:sz="2" w:space="0" w:color="auto"/>
              <w:right w:val="single" w:sz="2" w:space="0" w:color="auto"/>
            </w:tcBorders>
            <w:vAlign w:val="center"/>
          </w:tcPr>
          <w:p w14:paraId="468E5C16"/>
        </w:tc>
        <w:tc>
          <w:tcPr>
            <w:tcW w:w="890" w:type="dxa"/>
            <w:tcBorders>
              <w:top w:val="single" w:sz="2" w:space="0" w:color="auto"/>
              <w:left w:val="single" w:sz="2" w:space="0" w:color="auto"/>
              <w:bottom w:val="single" w:sz="2" w:space="0" w:color="auto"/>
              <w:right w:val="single" w:sz="2" w:space="0" w:color="auto"/>
            </w:tcBorders>
            <w:vAlign w:val="center"/>
          </w:tcPr>
          <w:p w14:paraId="0D4094A4"/>
        </w:tc>
        <w:tc>
          <w:tcPr>
            <w:tcW w:w="891" w:type="dxa"/>
            <w:tcBorders>
              <w:top w:val="single" w:sz="2" w:space="0" w:color="auto"/>
              <w:left w:val="single" w:sz="2" w:space="0" w:color="auto"/>
              <w:bottom w:val="single" w:sz="2" w:space="0" w:color="auto"/>
              <w:right w:val="single" w:sz="2" w:space="0" w:color="auto"/>
            </w:tcBorders>
            <w:vAlign w:val="center"/>
          </w:tcPr>
          <w:p w14:paraId="662948BA"/>
        </w:tc>
        <w:tc>
          <w:tcPr>
            <w:tcW w:w="740" w:type="dxa"/>
            <w:tcBorders>
              <w:top w:val="single" w:sz="2" w:space="0" w:color="auto"/>
              <w:left w:val="single" w:sz="2" w:space="0" w:color="auto"/>
              <w:bottom w:val="single" w:sz="2" w:space="0" w:color="auto"/>
              <w:right w:val="single" w:sz="2" w:space="0" w:color="auto"/>
            </w:tcBorders>
            <w:vAlign w:val="center"/>
          </w:tcPr>
          <w:p w14:paraId="40BDEA1F"/>
        </w:tc>
        <w:tc>
          <w:tcPr>
            <w:tcW w:w="630" w:type="dxa"/>
            <w:tcBorders>
              <w:top w:val="single" w:sz="2" w:space="0" w:color="auto"/>
              <w:left w:val="single" w:sz="2" w:space="0" w:color="auto"/>
              <w:bottom w:val="single" w:sz="2" w:space="0" w:color="auto"/>
              <w:right w:val="single" w:sz="2" w:space="0" w:color="auto"/>
            </w:tcBorders>
            <w:vAlign w:val="center"/>
          </w:tcPr>
          <w:p w14:paraId="410A435F"/>
        </w:tc>
        <w:tc>
          <w:tcPr>
            <w:tcW w:w="707" w:type="dxa"/>
            <w:tcBorders>
              <w:top w:val="single" w:sz="2" w:space="0" w:color="auto"/>
              <w:left w:val="single" w:sz="2" w:space="0" w:color="auto"/>
              <w:bottom w:val="single" w:sz="2" w:space="0" w:color="auto"/>
              <w:right w:val="single" w:sz="2" w:space="0" w:color="auto"/>
            </w:tcBorders>
            <w:vAlign w:val="center"/>
          </w:tcPr>
          <w:p w14:paraId="07B0B143"/>
        </w:tc>
        <w:tc>
          <w:tcPr>
            <w:tcW w:w="561" w:type="dxa"/>
            <w:tcBorders>
              <w:top w:val="single" w:sz="2" w:space="0" w:color="auto"/>
              <w:left w:val="single" w:sz="2" w:space="0" w:color="auto"/>
              <w:bottom w:val="single" w:sz="2" w:space="0" w:color="auto"/>
              <w:right w:val="single" w:sz="2" w:space="0" w:color="auto"/>
            </w:tcBorders>
            <w:vAlign w:val="center"/>
          </w:tcPr>
          <w:p w14:paraId="768A6A89"/>
        </w:tc>
      </w:tr>
      <w:tr w14:paraId="55A64E2C">
        <w:tblPrEx>
          <w:tblW w:w="0" w:type="auto"/>
          <w:jc w:val="center"/>
          <w:tblLayout w:type="fixed"/>
          <w:tblCellMar>
            <w:top w:w="0" w:type="dxa"/>
            <w:left w:w="108" w:type="dxa"/>
            <w:bottom w:w="0" w:type="dxa"/>
            <w:right w:w="108" w:type="dxa"/>
          </w:tblCellMar>
        </w:tblPrEx>
        <w:trPr>
          <w:trHeight w:val="955"/>
          <w:jc w:val="center"/>
        </w:trPr>
        <w:tc>
          <w:tcPr>
            <w:tcW w:w="2705" w:type="dxa"/>
            <w:gridSpan w:val="2"/>
            <w:tcBorders>
              <w:top w:val="single" w:sz="2" w:space="0" w:color="auto"/>
              <w:left w:val="single" w:sz="2" w:space="0" w:color="auto"/>
              <w:bottom w:val="single" w:sz="2" w:space="0" w:color="auto"/>
              <w:right w:val="single" w:sz="2" w:space="0" w:color="auto"/>
            </w:tcBorders>
            <w:vAlign w:val="center"/>
          </w:tcPr>
          <w:p w14:paraId="6130FED5">
            <w:pPr>
              <w:rPr>
                <w:lang w:eastAsia="zh-CN"/>
              </w:rPr>
            </w:pPr>
            <w:r>
              <w:rPr>
                <w:rFonts w:hint="eastAsia"/>
                <w:lang w:eastAsia="zh-CN"/>
              </w:rPr>
              <w:t>评标价（按报价评审办法计算）</w:t>
            </w:r>
          </w:p>
        </w:tc>
        <w:tc>
          <w:tcPr>
            <w:tcW w:w="858" w:type="dxa"/>
            <w:tcBorders>
              <w:top w:val="single" w:sz="2" w:space="0" w:color="auto"/>
              <w:left w:val="single" w:sz="2" w:space="0" w:color="auto"/>
              <w:bottom w:val="single" w:sz="2" w:space="0" w:color="auto"/>
              <w:right w:val="single" w:sz="2" w:space="0" w:color="auto"/>
            </w:tcBorders>
            <w:vAlign w:val="center"/>
          </w:tcPr>
          <w:p w14:paraId="61A7F59C">
            <w:pPr>
              <w:rPr>
                <w:lang w:eastAsia="zh-CN"/>
              </w:rPr>
            </w:pPr>
          </w:p>
        </w:tc>
        <w:tc>
          <w:tcPr>
            <w:tcW w:w="891" w:type="dxa"/>
            <w:tcBorders>
              <w:top w:val="single" w:sz="2" w:space="0" w:color="auto"/>
              <w:left w:val="single" w:sz="2" w:space="0" w:color="auto"/>
              <w:bottom w:val="single" w:sz="2" w:space="0" w:color="auto"/>
              <w:right w:val="single" w:sz="2" w:space="0" w:color="auto"/>
            </w:tcBorders>
            <w:vAlign w:val="center"/>
          </w:tcPr>
          <w:p w14:paraId="32473CE1">
            <w:pPr>
              <w:rPr>
                <w:lang w:eastAsia="zh-CN"/>
              </w:rPr>
            </w:pPr>
          </w:p>
        </w:tc>
        <w:tc>
          <w:tcPr>
            <w:tcW w:w="890" w:type="dxa"/>
            <w:tcBorders>
              <w:top w:val="single" w:sz="2" w:space="0" w:color="auto"/>
              <w:left w:val="single" w:sz="2" w:space="0" w:color="auto"/>
              <w:bottom w:val="single" w:sz="2" w:space="0" w:color="auto"/>
              <w:right w:val="single" w:sz="2" w:space="0" w:color="auto"/>
            </w:tcBorders>
            <w:vAlign w:val="center"/>
          </w:tcPr>
          <w:p w14:paraId="1D14189B">
            <w:pPr>
              <w:rPr>
                <w:lang w:eastAsia="zh-CN"/>
              </w:rPr>
            </w:pPr>
          </w:p>
        </w:tc>
        <w:tc>
          <w:tcPr>
            <w:tcW w:w="891" w:type="dxa"/>
            <w:tcBorders>
              <w:top w:val="single" w:sz="2" w:space="0" w:color="auto"/>
              <w:left w:val="single" w:sz="2" w:space="0" w:color="auto"/>
              <w:bottom w:val="single" w:sz="2" w:space="0" w:color="auto"/>
              <w:right w:val="single" w:sz="2" w:space="0" w:color="auto"/>
            </w:tcBorders>
            <w:vAlign w:val="center"/>
          </w:tcPr>
          <w:p w14:paraId="4832965B">
            <w:pPr>
              <w:rPr>
                <w:lang w:eastAsia="zh-CN"/>
              </w:rPr>
            </w:pPr>
          </w:p>
        </w:tc>
        <w:tc>
          <w:tcPr>
            <w:tcW w:w="740" w:type="dxa"/>
            <w:tcBorders>
              <w:top w:val="single" w:sz="2" w:space="0" w:color="auto"/>
              <w:left w:val="single" w:sz="2" w:space="0" w:color="auto"/>
              <w:bottom w:val="single" w:sz="2" w:space="0" w:color="auto"/>
              <w:right w:val="single" w:sz="2" w:space="0" w:color="auto"/>
            </w:tcBorders>
            <w:vAlign w:val="center"/>
          </w:tcPr>
          <w:p w14:paraId="1B79D702">
            <w:pPr>
              <w:rPr>
                <w:lang w:eastAsia="zh-CN"/>
              </w:rPr>
            </w:pPr>
          </w:p>
        </w:tc>
        <w:tc>
          <w:tcPr>
            <w:tcW w:w="630" w:type="dxa"/>
            <w:tcBorders>
              <w:top w:val="single" w:sz="2" w:space="0" w:color="auto"/>
              <w:left w:val="single" w:sz="2" w:space="0" w:color="auto"/>
              <w:bottom w:val="single" w:sz="2" w:space="0" w:color="auto"/>
              <w:right w:val="single" w:sz="2" w:space="0" w:color="auto"/>
            </w:tcBorders>
            <w:vAlign w:val="center"/>
          </w:tcPr>
          <w:p w14:paraId="0D2DD3EE">
            <w:pPr>
              <w:rPr>
                <w:lang w:eastAsia="zh-CN"/>
              </w:rPr>
            </w:pPr>
          </w:p>
        </w:tc>
        <w:tc>
          <w:tcPr>
            <w:tcW w:w="707" w:type="dxa"/>
            <w:tcBorders>
              <w:top w:val="single" w:sz="2" w:space="0" w:color="auto"/>
              <w:left w:val="single" w:sz="2" w:space="0" w:color="auto"/>
              <w:bottom w:val="single" w:sz="2" w:space="0" w:color="auto"/>
              <w:right w:val="single" w:sz="2" w:space="0" w:color="auto"/>
            </w:tcBorders>
            <w:vAlign w:val="center"/>
          </w:tcPr>
          <w:p w14:paraId="0FEA9D90">
            <w:pPr>
              <w:rPr>
                <w:lang w:eastAsia="zh-CN"/>
              </w:rPr>
            </w:pPr>
          </w:p>
        </w:tc>
        <w:tc>
          <w:tcPr>
            <w:tcW w:w="561" w:type="dxa"/>
            <w:tcBorders>
              <w:top w:val="single" w:sz="2" w:space="0" w:color="auto"/>
              <w:left w:val="single" w:sz="2" w:space="0" w:color="auto"/>
              <w:bottom w:val="single" w:sz="2" w:space="0" w:color="auto"/>
              <w:right w:val="single" w:sz="2" w:space="0" w:color="auto"/>
            </w:tcBorders>
            <w:vAlign w:val="center"/>
          </w:tcPr>
          <w:p w14:paraId="1E7BE6F1">
            <w:pPr>
              <w:rPr>
                <w:lang w:eastAsia="zh-CN"/>
              </w:rPr>
            </w:pPr>
          </w:p>
        </w:tc>
      </w:tr>
    </w:tbl>
    <w:p w14:paraId="239AEC2E">
      <w:pPr>
        <w:spacing w:line="36" w:lineRule="auto"/>
        <w:rPr>
          <w:rFonts w:ascii="宋体" w:hAnsi="宋体"/>
          <w:kern w:val="2"/>
          <w:lang w:eastAsia="zh-CN"/>
        </w:rPr>
      </w:pPr>
    </w:p>
    <w:p w14:paraId="1F5BC5BB">
      <w:pPr>
        <w:spacing w:line="36" w:lineRule="auto"/>
        <w:rPr>
          <w:rFonts w:ascii="宋体" w:hAnsi="宋体"/>
          <w:lang w:eastAsia="zh-CN"/>
        </w:rPr>
      </w:pPr>
      <w:r>
        <w:rPr>
          <w:rFonts w:ascii="宋体" w:hAnsi="宋体" w:hint="eastAsia"/>
          <w:lang w:eastAsia="zh-CN"/>
        </w:rPr>
        <w:t>评标委员会全体成员签名：</w:t>
      </w:r>
    </w:p>
    <w:p w14:paraId="088FD8EC">
      <w:pPr>
        <w:spacing w:line="36" w:lineRule="auto"/>
        <w:rPr>
          <w:rFonts w:ascii="宋体" w:hAnsi="宋体"/>
          <w:lang w:eastAsia="zh-CN"/>
        </w:rPr>
      </w:pPr>
    </w:p>
    <w:p w14:paraId="366E1D4B">
      <w:pPr>
        <w:spacing w:line="36" w:lineRule="auto"/>
        <w:jc w:val="right"/>
        <w:rPr>
          <w:rFonts w:ascii="宋体" w:hAnsi="宋体"/>
          <w:lang w:eastAsia="zh-CN"/>
        </w:rPr>
      </w:pPr>
      <w:r>
        <w:rPr>
          <w:rFonts w:ascii="宋体" w:hAnsi="宋体" w:hint="eastAsia"/>
          <w:lang w:eastAsia="zh-CN"/>
        </w:rPr>
        <w:t>日期：    年    月     日</w:t>
      </w:r>
    </w:p>
    <w:p w14:paraId="67B57E24">
      <w:pPr>
        <w:spacing w:line="36" w:lineRule="auto"/>
        <w:rPr>
          <w:rFonts w:ascii="宋体" w:hAnsi="宋体"/>
          <w:b/>
          <w:sz w:val="27"/>
          <w:szCs w:val="22"/>
          <w:lang w:eastAsia="zh-CN"/>
        </w:rPr>
      </w:pPr>
    </w:p>
    <w:p w14:paraId="718352B8">
      <w:pPr>
        <w:rPr>
          <w:rFonts w:ascii="宋体" w:hAnsi="宋体"/>
          <w:b/>
          <w:sz w:val="27"/>
          <w:lang w:eastAsia="zh-CN"/>
        </w:rPr>
      </w:pPr>
      <w:r>
        <w:rPr>
          <w:rFonts w:ascii="宋体" w:hAnsi="宋体" w:hint="eastAsia"/>
          <w:b/>
          <w:sz w:val="27"/>
          <w:lang w:eastAsia="zh-CN"/>
        </w:rPr>
        <w:br w:type="page"/>
      </w:r>
    </w:p>
    <w:p w14:paraId="2D7111DE">
      <w:pPr>
        <w:spacing w:line="36" w:lineRule="auto"/>
        <w:rPr>
          <w:rFonts w:ascii="宋体" w:hAnsi="宋体"/>
          <w:b/>
          <w:sz w:val="27"/>
          <w:lang w:eastAsia="zh-CN"/>
        </w:rPr>
      </w:pPr>
    </w:p>
    <w:p w14:paraId="62532DD4">
      <w:pPr>
        <w:pStyle w:val="Heading2"/>
        <w:rPr>
          <w:rFonts w:ascii="宋体" w:hAnsi="宋体"/>
          <w:sz w:val="24"/>
          <w:szCs w:val="24"/>
        </w:rPr>
      </w:pPr>
      <w:r>
        <w:rPr>
          <w:rFonts w:ascii="宋体" w:hAnsi="宋体" w:hint="eastAsia"/>
          <w:sz w:val="24"/>
          <w:szCs w:val="24"/>
        </w:rPr>
        <w:t>附表A-7：评标结果汇总表</w:t>
      </w:r>
    </w:p>
    <w:p w14:paraId="441F0DAC">
      <w:pPr>
        <w:spacing w:line="36" w:lineRule="auto"/>
        <w:rPr>
          <w:rFonts w:ascii="宋体" w:hAnsi="宋体"/>
          <w:b/>
          <w:lang w:eastAsia="zh-CN"/>
        </w:rPr>
      </w:pPr>
    </w:p>
    <w:p w14:paraId="2ADA07D7">
      <w:pPr>
        <w:spacing w:line="36" w:lineRule="auto"/>
        <w:jc w:val="center"/>
        <w:rPr>
          <w:rFonts w:ascii="宋体" w:hAnsi="宋体"/>
          <w:b/>
          <w:lang w:eastAsia="zh-CN"/>
        </w:rPr>
      </w:pPr>
      <w:r>
        <w:rPr>
          <w:rFonts w:ascii="宋体" w:hAnsi="宋体" w:hint="eastAsia"/>
          <w:b/>
          <w:lang w:eastAsia="zh-CN"/>
        </w:rPr>
        <w:t>评标结果汇总表</w:t>
      </w:r>
    </w:p>
    <w:p w14:paraId="00324F54">
      <w:pPr>
        <w:rPr>
          <w:rFonts w:ascii="宋体" w:hAnsi="宋体"/>
          <w:b/>
          <w:lang w:eastAsia="zh-CN"/>
        </w:rPr>
      </w:pPr>
    </w:p>
    <w:p w14:paraId="72854FCE">
      <w:pPr>
        <w:rPr>
          <w:rFonts w:ascii="宋体" w:hAnsi="宋体"/>
          <w:lang w:eastAsia="zh-CN"/>
        </w:rPr>
      </w:pPr>
      <w:r>
        <w:rPr>
          <w:rFonts w:ascii="宋体" w:hAnsi="宋体" w:hint="eastAsia"/>
          <w:lang w:eastAsia="zh-CN"/>
        </w:rPr>
        <w:t>工程名称：</w:t>
      </w:r>
      <w:r>
        <w:rPr>
          <w:rFonts w:ascii="宋体" w:hAnsi="宋体" w:hint="eastAsia"/>
          <w:u w:val="single"/>
          <w:lang w:eastAsia="zh-CN"/>
        </w:rPr>
        <w:t xml:space="preserve">(项目名称)    </w:t>
      </w:r>
      <w:r>
        <w:rPr>
          <w:rFonts w:ascii="宋体" w:hAnsi="宋体" w:hint="eastAsia"/>
          <w:lang w:eastAsia="zh-CN"/>
        </w:rPr>
        <w:t>施工</w:t>
      </w:r>
      <w:r>
        <w:rPr>
          <w:rFonts w:ascii="宋体" w:hAnsi="宋体" w:hint="eastAsia"/>
          <w:u w:val="single"/>
          <w:lang w:eastAsia="zh-CN"/>
        </w:rPr>
        <w:t xml:space="preserve">   </w:t>
      </w:r>
      <w:r>
        <w:rPr>
          <w:rFonts w:ascii="宋体" w:hAnsi="宋体" w:hint="eastAsia"/>
          <w:lang w:eastAsia="zh-CN"/>
        </w:rPr>
        <w:t>标段</w:t>
      </w: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709"/>
        <w:gridCol w:w="1418"/>
        <w:gridCol w:w="1134"/>
        <w:gridCol w:w="1087"/>
        <w:gridCol w:w="1295"/>
        <w:gridCol w:w="1294"/>
        <w:gridCol w:w="982"/>
        <w:gridCol w:w="1437"/>
      </w:tblGrid>
      <w:tr w14:paraId="1D5DD34B">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400"/>
          <w:jc w:val="center"/>
        </w:trPr>
        <w:tc>
          <w:tcPr>
            <w:tcW w:w="709" w:type="dxa"/>
            <w:vMerge w:val="restart"/>
            <w:tcBorders>
              <w:top w:val="single" w:sz="2" w:space="0" w:color="auto"/>
              <w:left w:val="single" w:sz="2" w:space="0" w:color="auto"/>
              <w:bottom w:val="single" w:sz="2" w:space="0" w:color="auto"/>
              <w:right w:val="single" w:sz="2" w:space="0" w:color="auto"/>
            </w:tcBorders>
            <w:vAlign w:val="center"/>
          </w:tcPr>
          <w:p w14:paraId="5D3EB83B">
            <w:r>
              <w:rPr>
                <w:rFonts w:hint="eastAsia"/>
              </w:rPr>
              <w:t>序号</w:t>
            </w:r>
          </w:p>
        </w:tc>
        <w:tc>
          <w:tcPr>
            <w:tcW w:w="1418" w:type="dxa"/>
            <w:vMerge w:val="restart"/>
            <w:tcBorders>
              <w:top w:val="single" w:sz="2" w:space="0" w:color="auto"/>
              <w:left w:val="single" w:sz="2" w:space="0" w:color="auto"/>
              <w:bottom w:val="single" w:sz="2" w:space="0" w:color="auto"/>
              <w:right w:val="single" w:sz="2" w:space="0" w:color="auto"/>
            </w:tcBorders>
            <w:vAlign w:val="center"/>
          </w:tcPr>
          <w:p w14:paraId="50B46EB8">
            <w:r>
              <w:rPr>
                <w:rFonts w:hint="eastAsia"/>
              </w:rPr>
              <w:t>投标人名称</w:t>
            </w:r>
          </w:p>
        </w:tc>
        <w:tc>
          <w:tcPr>
            <w:tcW w:w="2221" w:type="dxa"/>
            <w:gridSpan w:val="2"/>
            <w:tcBorders>
              <w:top w:val="single" w:sz="2" w:space="0" w:color="auto"/>
              <w:left w:val="single" w:sz="2" w:space="0" w:color="auto"/>
              <w:bottom w:val="single" w:sz="2" w:space="0" w:color="auto"/>
              <w:right w:val="single" w:sz="2" w:space="0" w:color="auto"/>
            </w:tcBorders>
            <w:vAlign w:val="center"/>
          </w:tcPr>
          <w:p w14:paraId="68650C4F">
            <w:r>
              <w:rPr>
                <w:rFonts w:hint="eastAsia"/>
              </w:rPr>
              <w:t>初步评审</w:t>
            </w:r>
          </w:p>
        </w:tc>
        <w:tc>
          <w:tcPr>
            <w:tcW w:w="3571" w:type="dxa"/>
            <w:gridSpan w:val="3"/>
            <w:tcBorders>
              <w:top w:val="single" w:sz="2" w:space="0" w:color="auto"/>
              <w:left w:val="single" w:sz="2" w:space="0" w:color="auto"/>
              <w:bottom w:val="single" w:sz="2" w:space="0" w:color="auto"/>
              <w:right w:val="single" w:sz="2" w:space="0" w:color="auto"/>
            </w:tcBorders>
            <w:vAlign w:val="center"/>
          </w:tcPr>
          <w:p w14:paraId="282C3A07">
            <w:r>
              <w:rPr>
                <w:rFonts w:hint="eastAsia"/>
              </w:rPr>
              <w:t>详细评审</w:t>
            </w:r>
          </w:p>
        </w:tc>
        <w:tc>
          <w:tcPr>
            <w:tcW w:w="1437" w:type="dxa"/>
            <w:vMerge w:val="restart"/>
            <w:tcBorders>
              <w:top w:val="single" w:sz="2" w:space="0" w:color="auto"/>
              <w:left w:val="single" w:sz="2" w:space="0" w:color="auto"/>
              <w:bottom w:val="single" w:sz="2" w:space="0" w:color="auto"/>
              <w:right w:val="single" w:sz="2" w:space="0" w:color="auto"/>
            </w:tcBorders>
            <w:vAlign w:val="center"/>
          </w:tcPr>
          <w:p w14:paraId="1D5B05FD">
            <w:pPr>
              <w:rPr>
                <w:lang w:eastAsia="zh-CN"/>
              </w:rPr>
            </w:pPr>
            <w:r>
              <w:rPr>
                <w:rFonts w:hint="eastAsia"/>
                <w:lang w:eastAsia="zh-CN"/>
              </w:rPr>
              <w:t>排序</w:t>
            </w:r>
          </w:p>
          <w:p w14:paraId="69CA7797">
            <w:pPr>
              <w:rPr>
                <w:lang w:eastAsia="zh-CN"/>
              </w:rPr>
            </w:pPr>
            <w:r>
              <w:rPr>
                <w:rFonts w:hint="eastAsia"/>
                <w:lang w:eastAsia="zh-CN"/>
              </w:rPr>
              <w:t>（评标价由低至高）</w:t>
            </w:r>
          </w:p>
        </w:tc>
      </w:tr>
      <w:tr w14:paraId="3CFCF516">
        <w:tblPrEx>
          <w:tblW w:w="0" w:type="auto"/>
          <w:jc w:val="center"/>
          <w:tblLayout w:type="fixed"/>
          <w:tblCellMar>
            <w:top w:w="0" w:type="dxa"/>
            <w:left w:w="108" w:type="dxa"/>
            <w:bottom w:w="0" w:type="dxa"/>
            <w:right w:w="108" w:type="dxa"/>
          </w:tblCellMar>
        </w:tblPrEx>
        <w:trPr>
          <w:trHeight w:val="1369"/>
          <w:jc w:val="center"/>
        </w:trPr>
        <w:tc>
          <w:tcPr>
            <w:tcW w:w="2127" w:type="dxa"/>
            <w:vMerge/>
            <w:tcBorders>
              <w:top w:val="single" w:sz="2" w:space="0" w:color="auto"/>
              <w:left w:val="single" w:sz="2" w:space="0" w:color="auto"/>
              <w:bottom w:val="single" w:sz="2" w:space="0" w:color="auto"/>
              <w:right w:val="single" w:sz="2" w:space="0" w:color="auto"/>
            </w:tcBorders>
            <w:vAlign w:val="center"/>
          </w:tcPr>
          <w:p w14:paraId="5B4E65B0">
            <w:pPr>
              <w:rPr>
                <w:rFonts w:eastAsia="宋体"/>
                <w:kern w:val="2"/>
                <w:lang w:eastAsia="zh-CN"/>
              </w:rPr>
            </w:pPr>
          </w:p>
        </w:tc>
        <w:tc>
          <w:tcPr>
            <w:tcW w:w="1418" w:type="dxa"/>
            <w:vMerge/>
            <w:tcBorders>
              <w:top w:val="single" w:sz="2" w:space="0" w:color="auto"/>
              <w:left w:val="single" w:sz="2" w:space="0" w:color="auto"/>
              <w:bottom w:val="single" w:sz="2" w:space="0" w:color="auto"/>
              <w:right w:val="single" w:sz="2" w:space="0" w:color="auto"/>
            </w:tcBorders>
            <w:vAlign w:val="center"/>
          </w:tcPr>
          <w:p w14:paraId="591B81DF">
            <w:pPr>
              <w:rPr>
                <w:rFonts w:eastAsia="宋体"/>
                <w:kern w:val="2"/>
                <w:lang w:eastAsia="zh-CN"/>
              </w:rPr>
            </w:pPr>
          </w:p>
        </w:tc>
        <w:tc>
          <w:tcPr>
            <w:tcW w:w="1134" w:type="dxa"/>
            <w:tcBorders>
              <w:top w:val="single" w:sz="2" w:space="0" w:color="auto"/>
              <w:left w:val="single" w:sz="2" w:space="0" w:color="auto"/>
              <w:bottom w:val="single" w:sz="2" w:space="0" w:color="auto"/>
              <w:right w:val="single" w:sz="2" w:space="0" w:color="auto"/>
            </w:tcBorders>
            <w:vAlign w:val="center"/>
          </w:tcPr>
          <w:p w14:paraId="45005AD9">
            <w:r>
              <w:rPr>
                <w:rFonts w:hint="eastAsia"/>
              </w:rPr>
              <w:t>合格</w:t>
            </w:r>
          </w:p>
        </w:tc>
        <w:tc>
          <w:tcPr>
            <w:tcW w:w="1087" w:type="dxa"/>
            <w:tcBorders>
              <w:top w:val="single" w:sz="2" w:space="0" w:color="auto"/>
              <w:left w:val="single" w:sz="2" w:space="0" w:color="auto"/>
              <w:bottom w:val="single" w:sz="2" w:space="0" w:color="auto"/>
              <w:right w:val="single" w:sz="2" w:space="0" w:color="auto"/>
            </w:tcBorders>
            <w:vAlign w:val="center"/>
          </w:tcPr>
          <w:p w14:paraId="5D661900">
            <w:r>
              <w:rPr>
                <w:rFonts w:hint="eastAsia"/>
              </w:rPr>
              <w:t>不合格</w:t>
            </w:r>
          </w:p>
        </w:tc>
        <w:tc>
          <w:tcPr>
            <w:tcW w:w="1295" w:type="dxa"/>
            <w:tcBorders>
              <w:top w:val="single" w:sz="2" w:space="0" w:color="auto"/>
              <w:left w:val="single" w:sz="2" w:space="0" w:color="auto"/>
              <w:bottom w:val="single" w:sz="2" w:space="0" w:color="auto"/>
              <w:right w:val="single" w:sz="2" w:space="0" w:color="auto"/>
            </w:tcBorders>
            <w:vAlign w:val="center"/>
          </w:tcPr>
          <w:p w14:paraId="2927B351">
            <w:r>
              <w:rPr>
                <w:rFonts w:hint="eastAsia"/>
              </w:rPr>
              <w:t>投标报价</w:t>
            </w:r>
          </w:p>
        </w:tc>
        <w:tc>
          <w:tcPr>
            <w:tcW w:w="1294" w:type="dxa"/>
            <w:tcBorders>
              <w:top w:val="single" w:sz="2" w:space="0" w:color="auto"/>
              <w:left w:val="single" w:sz="2" w:space="0" w:color="auto"/>
              <w:bottom w:val="single" w:sz="2" w:space="0" w:color="auto"/>
              <w:right w:val="single" w:sz="2" w:space="0" w:color="auto"/>
            </w:tcBorders>
            <w:vAlign w:val="center"/>
          </w:tcPr>
          <w:p w14:paraId="4599A2E2">
            <w:r>
              <w:rPr>
                <w:rFonts w:hint="eastAsia"/>
              </w:rPr>
              <w:t>是否低于</w:t>
            </w:r>
          </w:p>
          <w:p w14:paraId="289F8199">
            <w:r>
              <w:rPr>
                <w:rFonts w:hint="eastAsia"/>
              </w:rPr>
              <w:t>成本</w:t>
            </w:r>
          </w:p>
        </w:tc>
        <w:tc>
          <w:tcPr>
            <w:tcW w:w="982" w:type="dxa"/>
            <w:tcBorders>
              <w:top w:val="single" w:sz="2" w:space="0" w:color="auto"/>
              <w:left w:val="single" w:sz="2" w:space="0" w:color="auto"/>
              <w:bottom w:val="single" w:sz="2" w:space="0" w:color="auto"/>
              <w:right w:val="single" w:sz="2" w:space="0" w:color="auto"/>
            </w:tcBorders>
            <w:vAlign w:val="center"/>
          </w:tcPr>
          <w:p w14:paraId="6F2BAAA5">
            <w:r>
              <w:rPr>
                <w:rFonts w:hint="eastAsia"/>
              </w:rPr>
              <w:t>评标价</w:t>
            </w:r>
          </w:p>
        </w:tc>
        <w:tc>
          <w:tcPr>
            <w:tcW w:w="1437" w:type="dxa"/>
            <w:vMerge/>
            <w:tcBorders>
              <w:top w:val="single" w:sz="2" w:space="0" w:color="auto"/>
              <w:left w:val="single" w:sz="2" w:space="0" w:color="auto"/>
              <w:bottom w:val="single" w:sz="2" w:space="0" w:color="auto"/>
              <w:right w:val="single" w:sz="2" w:space="0" w:color="auto"/>
            </w:tcBorders>
            <w:vAlign w:val="center"/>
          </w:tcPr>
          <w:p w14:paraId="63EFF7EC">
            <w:pPr>
              <w:rPr>
                <w:rFonts w:eastAsia="宋体"/>
                <w:kern w:val="2"/>
              </w:rPr>
            </w:pPr>
          </w:p>
        </w:tc>
      </w:tr>
      <w:tr w14:paraId="219018A4">
        <w:tblPrEx>
          <w:tblW w:w="0" w:type="auto"/>
          <w:jc w:val="center"/>
          <w:tblLayout w:type="fixed"/>
          <w:tblCellMar>
            <w:top w:w="0" w:type="dxa"/>
            <w:left w:w="108" w:type="dxa"/>
            <w:bottom w:w="0" w:type="dxa"/>
            <w:right w:w="108" w:type="dxa"/>
          </w:tblCellMar>
        </w:tblPrEx>
        <w:trPr>
          <w:trHeight w:val="381"/>
          <w:jc w:val="center"/>
        </w:trPr>
        <w:tc>
          <w:tcPr>
            <w:tcW w:w="709" w:type="dxa"/>
            <w:tcBorders>
              <w:top w:val="single" w:sz="2" w:space="0" w:color="auto"/>
              <w:left w:val="single" w:sz="2" w:space="0" w:color="auto"/>
              <w:bottom w:val="single" w:sz="2" w:space="0" w:color="auto"/>
              <w:right w:val="single" w:sz="2" w:space="0" w:color="auto"/>
            </w:tcBorders>
            <w:vAlign w:val="center"/>
          </w:tcPr>
          <w:p w14:paraId="0560B773">
            <w:r>
              <w:rPr>
                <w:rFonts w:hint="eastAsia"/>
              </w:rPr>
              <w:t>1</w:t>
            </w:r>
          </w:p>
        </w:tc>
        <w:tc>
          <w:tcPr>
            <w:tcW w:w="1418" w:type="dxa"/>
            <w:tcBorders>
              <w:top w:val="single" w:sz="2" w:space="0" w:color="auto"/>
              <w:left w:val="single" w:sz="2" w:space="0" w:color="auto"/>
              <w:bottom w:val="single" w:sz="2" w:space="0" w:color="auto"/>
              <w:right w:val="single" w:sz="2" w:space="0" w:color="auto"/>
            </w:tcBorders>
            <w:vAlign w:val="center"/>
          </w:tcPr>
          <w:p w14:paraId="360288D6"/>
        </w:tc>
        <w:tc>
          <w:tcPr>
            <w:tcW w:w="1134" w:type="dxa"/>
            <w:tcBorders>
              <w:top w:val="single" w:sz="2" w:space="0" w:color="auto"/>
              <w:left w:val="single" w:sz="2" w:space="0" w:color="auto"/>
              <w:bottom w:val="single" w:sz="2" w:space="0" w:color="auto"/>
              <w:right w:val="single" w:sz="2" w:space="0" w:color="auto"/>
            </w:tcBorders>
            <w:vAlign w:val="center"/>
          </w:tcPr>
          <w:p w14:paraId="3BAABEB2"/>
        </w:tc>
        <w:tc>
          <w:tcPr>
            <w:tcW w:w="1087" w:type="dxa"/>
            <w:tcBorders>
              <w:top w:val="single" w:sz="2" w:space="0" w:color="auto"/>
              <w:left w:val="single" w:sz="2" w:space="0" w:color="auto"/>
              <w:bottom w:val="single" w:sz="2" w:space="0" w:color="auto"/>
              <w:right w:val="single" w:sz="2" w:space="0" w:color="auto"/>
            </w:tcBorders>
            <w:vAlign w:val="center"/>
          </w:tcPr>
          <w:p w14:paraId="37557BED"/>
        </w:tc>
        <w:tc>
          <w:tcPr>
            <w:tcW w:w="1295" w:type="dxa"/>
            <w:tcBorders>
              <w:top w:val="single" w:sz="2" w:space="0" w:color="auto"/>
              <w:left w:val="single" w:sz="2" w:space="0" w:color="auto"/>
              <w:bottom w:val="single" w:sz="2" w:space="0" w:color="auto"/>
              <w:right w:val="single" w:sz="2" w:space="0" w:color="auto"/>
            </w:tcBorders>
            <w:vAlign w:val="center"/>
          </w:tcPr>
          <w:p w14:paraId="4C0FE96A"/>
        </w:tc>
        <w:tc>
          <w:tcPr>
            <w:tcW w:w="1294" w:type="dxa"/>
            <w:tcBorders>
              <w:top w:val="single" w:sz="2" w:space="0" w:color="auto"/>
              <w:left w:val="single" w:sz="2" w:space="0" w:color="auto"/>
              <w:bottom w:val="single" w:sz="2" w:space="0" w:color="auto"/>
              <w:right w:val="single" w:sz="2" w:space="0" w:color="auto"/>
            </w:tcBorders>
            <w:vAlign w:val="center"/>
          </w:tcPr>
          <w:p w14:paraId="01E7C7BA"/>
        </w:tc>
        <w:tc>
          <w:tcPr>
            <w:tcW w:w="982" w:type="dxa"/>
            <w:tcBorders>
              <w:top w:val="single" w:sz="2" w:space="0" w:color="auto"/>
              <w:left w:val="single" w:sz="2" w:space="0" w:color="auto"/>
              <w:bottom w:val="single" w:sz="2" w:space="0" w:color="auto"/>
              <w:right w:val="single" w:sz="2" w:space="0" w:color="auto"/>
            </w:tcBorders>
            <w:vAlign w:val="center"/>
          </w:tcPr>
          <w:p w14:paraId="47AAEE6B"/>
        </w:tc>
        <w:tc>
          <w:tcPr>
            <w:tcW w:w="1437" w:type="dxa"/>
            <w:tcBorders>
              <w:top w:val="single" w:sz="2" w:space="0" w:color="auto"/>
              <w:left w:val="single" w:sz="2" w:space="0" w:color="auto"/>
              <w:bottom w:val="single" w:sz="2" w:space="0" w:color="auto"/>
              <w:right w:val="single" w:sz="2" w:space="0" w:color="auto"/>
            </w:tcBorders>
            <w:vAlign w:val="center"/>
          </w:tcPr>
          <w:p w14:paraId="4403BBD4"/>
        </w:tc>
      </w:tr>
      <w:tr w14:paraId="1B3B670A">
        <w:tblPrEx>
          <w:tblW w:w="0" w:type="auto"/>
          <w:jc w:val="center"/>
          <w:tblLayout w:type="fixed"/>
          <w:tblCellMar>
            <w:top w:w="0" w:type="dxa"/>
            <w:left w:w="108" w:type="dxa"/>
            <w:bottom w:w="0" w:type="dxa"/>
            <w:right w:w="108" w:type="dxa"/>
          </w:tblCellMar>
        </w:tblPrEx>
        <w:trPr>
          <w:trHeight w:val="400"/>
          <w:jc w:val="center"/>
        </w:trPr>
        <w:tc>
          <w:tcPr>
            <w:tcW w:w="709" w:type="dxa"/>
            <w:tcBorders>
              <w:top w:val="single" w:sz="2" w:space="0" w:color="auto"/>
              <w:left w:val="single" w:sz="2" w:space="0" w:color="auto"/>
              <w:bottom w:val="single" w:sz="2" w:space="0" w:color="auto"/>
              <w:right w:val="single" w:sz="2" w:space="0" w:color="auto"/>
            </w:tcBorders>
            <w:vAlign w:val="center"/>
          </w:tcPr>
          <w:p w14:paraId="4BAFACB0">
            <w:r>
              <w:rPr>
                <w:rFonts w:hint="eastAsia"/>
              </w:rPr>
              <w:t>2</w:t>
            </w:r>
          </w:p>
        </w:tc>
        <w:tc>
          <w:tcPr>
            <w:tcW w:w="1418" w:type="dxa"/>
            <w:tcBorders>
              <w:top w:val="single" w:sz="2" w:space="0" w:color="auto"/>
              <w:left w:val="single" w:sz="2" w:space="0" w:color="auto"/>
              <w:bottom w:val="single" w:sz="2" w:space="0" w:color="auto"/>
              <w:right w:val="single" w:sz="2" w:space="0" w:color="auto"/>
            </w:tcBorders>
            <w:vAlign w:val="center"/>
          </w:tcPr>
          <w:p w14:paraId="66DBA8E7"/>
        </w:tc>
        <w:tc>
          <w:tcPr>
            <w:tcW w:w="1134" w:type="dxa"/>
            <w:tcBorders>
              <w:top w:val="single" w:sz="2" w:space="0" w:color="auto"/>
              <w:left w:val="single" w:sz="2" w:space="0" w:color="auto"/>
              <w:bottom w:val="single" w:sz="2" w:space="0" w:color="auto"/>
              <w:right w:val="single" w:sz="2" w:space="0" w:color="auto"/>
            </w:tcBorders>
            <w:vAlign w:val="center"/>
          </w:tcPr>
          <w:p w14:paraId="5DC3B562"/>
        </w:tc>
        <w:tc>
          <w:tcPr>
            <w:tcW w:w="1087" w:type="dxa"/>
            <w:tcBorders>
              <w:top w:val="single" w:sz="2" w:space="0" w:color="auto"/>
              <w:left w:val="single" w:sz="2" w:space="0" w:color="auto"/>
              <w:bottom w:val="single" w:sz="2" w:space="0" w:color="auto"/>
              <w:right w:val="single" w:sz="2" w:space="0" w:color="auto"/>
            </w:tcBorders>
            <w:vAlign w:val="center"/>
          </w:tcPr>
          <w:p w14:paraId="130B9421"/>
        </w:tc>
        <w:tc>
          <w:tcPr>
            <w:tcW w:w="1295" w:type="dxa"/>
            <w:tcBorders>
              <w:top w:val="single" w:sz="2" w:space="0" w:color="auto"/>
              <w:left w:val="single" w:sz="2" w:space="0" w:color="auto"/>
              <w:bottom w:val="single" w:sz="2" w:space="0" w:color="auto"/>
              <w:right w:val="single" w:sz="2" w:space="0" w:color="auto"/>
            </w:tcBorders>
            <w:vAlign w:val="center"/>
          </w:tcPr>
          <w:p w14:paraId="7399048D"/>
        </w:tc>
        <w:tc>
          <w:tcPr>
            <w:tcW w:w="1294" w:type="dxa"/>
            <w:tcBorders>
              <w:top w:val="single" w:sz="2" w:space="0" w:color="auto"/>
              <w:left w:val="single" w:sz="2" w:space="0" w:color="auto"/>
              <w:bottom w:val="single" w:sz="2" w:space="0" w:color="auto"/>
              <w:right w:val="single" w:sz="2" w:space="0" w:color="auto"/>
            </w:tcBorders>
            <w:vAlign w:val="center"/>
          </w:tcPr>
          <w:p w14:paraId="33A8D383"/>
        </w:tc>
        <w:tc>
          <w:tcPr>
            <w:tcW w:w="982" w:type="dxa"/>
            <w:tcBorders>
              <w:top w:val="single" w:sz="2" w:space="0" w:color="auto"/>
              <w:left w:val="single" w:sz="2" w:space="0" w:color="auto"/>
              <w:bottom w:val="single" w:sz="2" w:space="0" w:color="auto"/>
              <w:right w:val="single" w:sz="2" w:space="0" w:color="auto"/>
            </w:tcBorders>
            <w:vAlign w:val="center"/>
          </w:tcPr>
          <w:p w14:paraId="44DEF00A"/>
        </w:tc>
        <w:tc>
          <w:tcPr>
            <w:tcW w:w="1437" w:type="dxa"/>
            <w:tcBorders>
              <w:top w:val="single" w:sz="2" w:space="0" w:color="auto"/>
              <w:left w:val="single" w:sz="2" w:space="0" w:color="auto"/>
              <w:bottom w:val="single" w:sz="2" w:space="0" w:color="auto"/>
              <w:right w:val="single" w:sz="2" w:space="0" w:color="auto"/>
            </w:tcBorders>
            <w:vAlign w:val="center"/>
          </w:tcPr>
          <w:p w14:paraId="0F76D2B9"/>
        </w:tc>
      </w:tr>
      <w:tr w14:paraId="309FF40C">
        <w:tblPrEx>
          <w:tblW w:w="0" w:type="auto"/>
          <w:jc w:val="center"/>
          <w:tblLayout w:type="fixed"/>
          <w:tblCellMar>
            <w:top w:w="0" w:type="dxa"/>
            <w:left w:w="108" w:type="dxa"/>
            <w:bottom w:w="0" w:type="dxa"/>
            <w:right w:w="108" w:type="dxa"/>
          </w:tblCellMar>
        </w:tblPrEx>
        <w:trPr>
          <w:trHeight w:val="400"/>
          <w:jc w:val="center"/>
        </w:trPr>
        <w:tc>
          <w:tcPr>
            <w:tcW w:w="709" w:type="dxa"/>
            <w:tcBorders>
              <w:top w:val="single" w:sz="2" w:space="0" w:color="auto"/>
              <w:left w:val="single" w:sz="2" w:space="0" w:color="auto"/>
              <w:bottom w:val="single" w:sz="2" w:space="0" w:color="auto"/>
              <w:right w:val="single" w:sz="2" w:space="0" w:color="auto"/>
            </w:tcBorders>
            <w:vAlign w:val="center"/>
          </w:tcPr>
          <w:p w14:paraId="4DD2F8B9">
            <w:r>
              <w:rPr>
                <w:rFonts w:hint="eastAsia"/>
              </w:rPr>
              <w:t>3</w:t>
            </w:r>
          </w:p>
        </w:tc>
        <w:tc>
          <w:tcPr>
            <w:tcW w:w="1418" w:type="dxa"/>
            <w:tcBorders>
              <w:top w:val="single" w:sz="2" w:space="0" w:color="auto"/>
              <w:left w:val="single" w:sz="2" w:space="0" w:color="auto"/>
              <w:bottom w:val="single" w:sz="2" w:space="0" w:color="auto"/>
              <w:right w:val="single" w:sz="2" w:space="0" w:color="auto"/>
            </w:tcBorders>
            <w:vAlign w:val="center"/>
          </w:tcPr>
          <w:p w14:paraId="46295E66"/>
        </w:tc>
        <w:tc>
          <w:tcPr>
            <w:tcW w:w="1134" w:type="dxa"/>
            <w:tcBorders>
              <w:top w:val="single" w:sz="2" w:space="0" w:color="auto"/>
              <w:left w:val="single" w:sz="2" w:space="0" w:color="auto"/>
              <w:bottom w:val="single" w:sz="2" w:space="0" w:color="auto"/>
              <w:right w:val="single" w:sz="2" w:space="0" w:color="auto"/>
            </w:tcBorders>
            <w:vAlign w:val="center"/>
          </w:tcPr>
          <w:p w14:paraId="4A277130"/>
        </w:tc>
        <w:tc>
          <w:tcPr>
            <w:tcW w:w="1087" w:type="dxa"/>
            <w:tcBorders>
              <w:top w:val="single" w:sz="2" w:space="0" w:color="auto"/>
              <w:left w:val="single" w:sz="2" w:space="0" w:color="auto"/>
              <w:bottom w:val="single" w:sz="2" w:space="0" w:color="auto"/>
              <w:right w:val="single" w:sz="2" w:space="0" w:color="auto"/>
            </w:tcBorders>
            <w:vAlign w:val="center"/>
          </w:tcPr>
          <w:p w14:paraId="45F6BFFD"/>
        </w:tc>
        <w:tc>
          <w:tcPr>
            <w:tcW w:w="1295" w:type="dxa"/>
            <w:tcBorders>
              <w:top w:val="single" w:sz="2" w:space="0" w:color="auto"/>
              <w:left w:val="single" w:sz="2" w:space="0" w:color="auto"/>
              <w:bottom w:val="single" w:sz="2" w:space="0" w:color="auto"/>
              <w:right w:val="single" w:sz="2" w:space="0" w:color="auto"/>
            </w:tcBorders>
            <w:vAlign w:val="center"/>
          </w:tcPr>
          <w:p w14:paraId="777ED752"/>
        </w:tc>
        <w:tc>
          <w:tcPr>
            <w:tcW w:w="1294" w:type="dxa"/>
            <w:tcBorders>
              <w:top w:val="single" w:sz="2" w:space="0" w:color="auto"/>
              <w:left w:val="single" w:sz="2" w:space="0" w:color="auto"/>
              <w:bottom w:val="single" w:sz="2" w:space="0" w:color="auto"/>
              <w:right w:val="single" w:sz="2" w:space="0" w:color="auto"/>
            </w:tcBorders>
            <w:vAlign w:val="center"/>
          </w:tcPr>
          <w:p w14:paraId="753128A1"/>
        </w:tc>
        <w:tc>
          <w:tcPr>
            <w:tcW w:w="982" w:type="dxa"/>
            <w:tcBorders>
              <w:top w:val="single" w:sz="2" w:space="0" w:color="auto"/>
              <w:left w:val="single" w:sz="2" w:space="0" w:color="auto"/>
              <w:bottom w:val="single" w:sz="2" w:space="0" w:color="auto"/>
              <w:right w:val="single" w:sz="2" w:space="0" w:color="auto"/>
            </w:tcBorders>
            <w:vAlign w:val="center"/>
          </w:tcPr>
          <w:p w14:paraId="78A5E397"/>
        </w:tc>
        <w:tc>
          <w:tcPr>
            <w:tcW w:w="1437" w:type="dxa"/>
            <w:tcBorders>
              <w:top w:val="single" w:sz="2" w:space="0" w:color="auto"/>
              <w:left w:val="single" w:sz="2" w:space="0" w:color="auto"/>
              <w:bottom w:val="single" w:sz="2" w:space="0" w:color="auto"/>
              <w:right w:val="single" w:sz="2" w:space="0" w:color="auto"/>
            </w:tcBorders>
            <w:vAlign w:val="center"/>
          </w:tcPr>
          <w:p w14:paraId="0CBC8F1C"/>
        </w:tc>
      </w:tr>
      <w:tr w14:paraId="5CC4B365">
        <w:tblPrEx>
          <w:tblW w:w="0" w:type="auto"/>
          <w:jc w:val="center"/>
          <w:tblLayout w:type="fixed"/>
          <w:tblCellMar>
            <w:top w:w="0" w:type="dxa"/>
            <w:left w:w="108" w:type="dxa"/>
            <w:bottom w:w="0" w:type="dxa"/>
            <w:right w:w="108" w:type="dxa"/>
          </w:tblCellMar>
        </w:tblPrEx>
        <w:trPr>
          <w:trHeight w:val="400"/>
          <w:jc w:val="center"/>
        </w:trPr>
        <w:tc>
          <w:tcPr>
            <w:tcW w:w="709" w:type="dxa"/>
            <w:tcBorders>
              <w:top w:val="single" w:sz="2" w:space="0" w:color="auto"/>
              <w:left w:val="single" w:sz="2" w:space="0" w:color="auto"/>
              <w:bottom w:val="single" w:sz="2" w:space="0" w:color="auto"/>
              <w:right w:val="single" w:sz="2" w:space="0" w:color="auto"/>
            </w:tcBorders>
            <w:vAlign w:val="center"/>
          </w:tcPr>
          <w:p w14:paraId="1568A97E">
            <w:r>
              <w:rPr>
                <w:rFonts w:hint="eastAsia"/>
              </w:rPr>
              <w:t>4</w:t>
            </w:r>
          </w:p>
        </w:tc>
        <w:tc>
          <w:tcPr>
            <w:tcW w:w="1418" w:type="dxa"/>
            <w:tcBorders>
              <w:top w:val="single" w:sz="2" w:space="0" w:color="auto"/>
              <w:left w:val="single" w:sz="2" w:space="0" w:color="auto"/>
              <w:bottom w:val="single" w:sz="2" w:space="0" w:color="auto"/>
              <w:right w:val="single" w:sz="2" w:space="0" w:color="auto"/>
            </w:tcBorders>
            <w:vAlign w:val="center"/>
          </w:tcPr>
          <w:p w14:paraId="4BE90388"/>
        </w:tc>
        <w:tc>
          <w:tcPr>
            <w:tcW w:w="1134" w:type="dxa"/>
            <w:tcBorders>
              <w:top w:val="single" w:sz="2" w:space="0" w:color="auto"/>
              <w:left w:val="single" w:sz="2" w:space="0" w:color="auto"/>
              <w:bottom w:val="single" w:sz="2" w:space="0" w:color="auto"/>
              <w:right w:val="single" w:sz="2" w:space="0" w:color="auto"/>
            </w:tcBorders>
            <w:vAlign w:val="center"/>
          </w:tcPr>
          <w:p w14:paraId="53028B5A"/>
        </w:tc>
        <w:tc>
          <w:tcPr>
            <w:tcW w:w="1087" w:type="dxa"/>
            <w:tcBorders>
              <w:top w:val="single" w:sz="2" w:space="0" w:color="auto"/>
              <w:left w:val="single" w:sz="2" w:space="0" w:color="auto"/>
              <w:bottom w:val="single" w:sz="2" w:space="0" w:color="auto"/>
              <w:right w:val="single" w:sz="2" w:space="0" w:color="auto"/>
            </w:tcBorders>
            <w:vAlign w:val="center"/>
          </w:tcPr>
          <w:p w14:paraId="211BA291"/>
        </w:tc>
        <w:tc>
          <w:tcPr>
            <w:tcW w:w="1295" w:type="dxa"/>
            <w:tcBorders>
              <w:top w:val="single" w:sz="2" w:space="0" w:color="auto"/>
              <w:left w:val="single" w:sz="2" w:space="0" w:color="auto"/>
              <w:bottom w:val="single" w:sz="2" w:space="0" w:color="auto"/>
              <w:right w:val="single" w:sz="2" w:space="0" w:color="auto"/>
            </w:tcBorders>
            <w:vAlign w:val="center"/>
          </w:tcPr>
          <w:p w14:paraId="1E3A5587"/>
        </w:tc>
        <w:tc>
          <w:tcPr>
            <w:tcW w:w="1294" w:type="dxa"/>
            <w:tcBorders>
              <w:top w:val="single" w:sz="2" w:space="0" w:color="auto"/>
              <w:left w:val="single" w:sz="2" w:space="0" w:color="auto"/>
              <w:bottom w:val="single" w:sz="2" w:space="0" w:color="auto"/>
              <w:right w:val="single" w:sz="2" w:space="0" w:color="auto"/>
            </w:tcBorders>
            <w:vAlign w:val="center"/>
          </w:tcPr>
          <w:p w14:paraId="66C709BE"/>
        </w:tc>
        <w:tc>
          <w:tcPr>
            <w:tcW w:w="982" w:type="dxa"/>
            <w:tcBorders>
              <w:top w:val="single" w:sz="2" w:space="0" w:color="auto"/>
              <w:left w:val="single" w:sz="2" w:space="0" w:color="auto"/>
              <w:bottom w:val="single" w:sz="2" w:space="0" w:color="auto"/>
              <w:right w:val="single" w:sz="2" w:space="0" w:color="auto"/>
            </w:tcBorders>
            <w:vAlign w:val="center"/>
          </w:tcPr>
          <w:p w14:paraId="69AEEB0E"/>
        </w:tc>
        <w:tc>
          <w:tcPr>
            <w:tcW w:w="1437" w:type="dxa"/>
            <w:tcBorders>
              <w:top w:val="single" w:sz="2" w:space="0" w:color="auto"/>
              <w:left w:val="single" w:sz="2" w:space="0" w:color="auto"/>
              <w:bottom w:val="single" w:sz="2" w:space="0" w:color="auto"/>
              <w:right w:val="single" w:sz="2" w:space="0" w:color="auto"/>
            </w:tcBorders>
            <w:vAlign w:val="center"/>
          </w:tcPr>
          <w:p w14:paraId="094B2EEA"/>
        </w:tc>
      </w:tr>
      <w:tr w14:paraId="58522115">
        <w:tblPrEx>
          <w:tblW w:w="0" w:type="auto"/>
          <w:jc w:val="center"/>
          <w:tblLayout w:type="fixed"/>
          <w:tblCellMar>
            <w:top w:w="0" w:type="dxa"/>
            <w:left w:w="108" w:type="dxa"/>
            <w:bottom w:w="0" w:type="dxa"/>
            <w:right w:w="108" w:type="dxa"/>
          </w:tblCellMar>
        </w:tblPrEx>
        <w:trPr>
          <w:trHeight w:val="400"/>
          <w:jc w:val="center"/>
        </w:trPr>
        <w:tc>
          <w:tcPr>
            <w:tcW w:w="709" w:type="dxa"/>
            <w:tcBorders>
              <w:top w:val="single" w:sz="2" w:space="0" w:color="auto"/>
              <w:left w:val="single" w:sz="2" w:space="0" w:color="auto"/>
              <w:bottom w:val="single" w:sz="2" w:space="0" w:color="auto"/>
              <w:right w:val="single" w:sz="2" w:space="0" w:color="auto"/>
            </w:tcBorders>
            <w:vAlign w:val="center"/>
          </w:tcPr>
          <w:p w14:paraId="7F286E54">
            <w:r>
              <w:rPr>
                <w:rFonts w:hint="eastAsia"/>
              </w:rPr>
              <w:t>5</w:t>
            </w:r>
          </w:p>
        </w:tc>
        <w:tc>
          <w:tcPr>
            <w:tcW w:w="1418" w:type="dxa"/>
            <w:tcBorders>
              <w:top w:val="single" w:sz="2" w:space="0" w:color="auto"/>
              <w:left w:val="single" w:sz="2" w:space="0" w:color="auto"/>
              <w:bottom w:val="single" w:sz="2" w:space="0" w:color="auto"/>
              <w:right w:val="single" w:sz="2" w:space="0" w:color="auto"/>
            </w:tcBorders>
            <w:vAlign w:val="center"/>
          </w:tcPr>
          <w:p w14:paraId="62FB65E6"/>
        </w:tc>
        <w:tc>
          <w:tcPr>
            <w:tcW w:w="1134" w:type="dxa"/>
            <w:tcBorders>
              <w:top w:val="single" w:sz="2" w:space="0" w:color="auto"/>
              <w:left w:val="single" w:sz="2" w:space="0" w:color="auto"/>
              <w:bottom w:val="single" w:sz="2" w:space="0" w:color="auto"/>
              <w:right w:val="single" w:sz="2" w:space="0" w:color="auto"/>
            </w:tcBorders>
            <w:vAlign w:val="center"/>
          </w:tcPr>
          <w:p w14:paraId="515652A5"/>
        </w:tc>
        <w:tc>
          <w:tcPr>
            <w:tcW w:w="1087" w:type="dxa"/>
            <w:tcBorders>
              <w:top w:val="single" w:sz="2" w:space="0" w:color="auto"/>
              <w:left w:val="single" w:sz="2" w:space="0" w:color="auto"/>
              <w:bottom w:val="single" w:sz="2" w:space="0" w:color="auto"/>
              <w:right w:val="single" w:sz="2" w:space="0" w:color="auto"/>
            </w:tcBorders>
            <w:vAlign w:val="center"/>
          </w:tcPr>
          <w:p w14:paraId="2561D1CA"/>
        </w:tc>
        <w:tc>
          <w:tcPr>
            <w:tcW w:w="1295" w:type="dxa"/>
            <w:tcBorders>
              <w:top w:val="single" w:sz="2" w:space="0" w:color="auto"/>
              <w:left w:val="single" w:sz="2" w:space="0" w:color="auto"/>
              <w:bottom w:val="single" w:sz="2" w:space="0" w:color="auto"/>
              <w:right w:val="single" w:sz="2" w:space="0" w:color="auto"/>
            </w:tcBorders>
            <w:vAlign w:val="center"/>
          </w:tcPr>
          <w:p w14:paraId="01A6449F"/>
        </w:tc>
        <w:tc>
          <w:tcPr>
            <w:tcW w:w="1294" w:type="dxa"/>
            <w:tcBorders>
              <w:top w:val="single" w:sz="2" w:space="0" w:color="auto"/>
              <w:left w:val="single" w:sz="2" w:space="0" w:color="auto"/>
              <w:bottom w:val="single" w:sz="2" w:space="0" w:color="auto"/>
              <w:right w:val="single" w:sz="2" w:space="0" w:color="auto"/>
            </w:tcBorders>
            <w:vAlign w:val="center"/>
          </w:tcPr>
          <w:p w14:paraId="6ABBF732"/>
        </w:tc>
        <w:tc>
          <w:tcPr>
            <w:tcW w:w="982" w:type="dxa"/>
            <w:tcBorders>
              <w:top w:val="single" w:sz="2" w:space="0" w:color="auto"/>
              <w:left w:val="single" w:sz="2" w:space="0" w:color="auto"/>
              <w:bottom w:val="single" w:sz="2" w:space="0" w:color="auto"/>
              <w:right w:val="single" w:sz="2" w:space="0" w:color="auto"/>
            </w:tcBorders>
            <w:vAlign w:val="center"/>
          </w:tcPr>
          <w:p w14:paraId="2CDACA4C"/>
        </w:tc>
        <w:tc>
          <w:tcPr>
            <w:tcW w:w="1437" w:type="dxa"/>
            <w:tcBorders>
              <w:top w:val="single" w:sz="2" w:space="0" w:color="auto"/>
              <w:left w:val="single" w:sz="2" w:space="0" w:color="auto"/>
              <w:bottom w:val="single" w:sz="2" w:space="0" w:color="auto"/>
              <w:right w:val="single" w:sz="2" w:space="0" w:color="auto"/>
            </w:tcBorders>
            <w:vAlign w:val="center"/>
          </w:tcPr>
          <w:p w14:paraId="06AA3F2F"/>
        </w:tc>
      </w:tr>
      <w:tr w14:paraId="07E6F71D">
        <w:tblPrEx>
          <w:tblW w:w="0" w:type="auto"/>
          <w:jc w:val="center"/>
          <w:tblLayout w:type="fixed"/>
          <w:tblCellMar>
            <w:top w:w="0" w:type="dxa"/>
            <w:left w:w="108" w:type="dxa"/>
            <w:bottom w:w="0" w:type="dxa"/>
            <w:right w:w="108" w:type="dxa"/>
          </w:tblCellMar>
        </w:tblPrEx>
        <w:trPr>
          <w:trHeight w:val="381"/>
          <w:jc w:val="center"/>
        </w:trPr>
        <w:tc>
          <w:tcPr>
            <w:tcW w:w="709" w:type="dxa"/>
            <w:tcBorders>
              <w:top w:val="single" w:sz="2" w:space="0" w:color="auto"/>
              <w:left w:val="single" w:sz="2" w:space="0" w:color="auto"/>
              <w:bottom w:val="single" w:sz="2" w:space="0" w:color="auto"/>
              <w:right w:val="single" w:sz="2" w:space="0" w:color="auto"/>
            </w:tcBorders>
            <w:vAlign w:val="center"/>
          </w:tcPr>
          <w:p w14:paraId="01E63580">
            <w:r>
              <w:rPr>
                <w:rFonts w:hint="eastAsia"/>
              </w:rPr>
              <w:t>6</w:t>
            </w:r>
          </w:p>
        </w:tc>
        <w:tc>
          <w:tcPr>
            <w:tcW w:w="1418" w:type="dxa"/>
            <w:tcBorders>
              <w:top w:val="single" w:sz="2" w:space="0" w:color="auto"/>
              <w:left w:val="single" w:sz="2" w:space="0" w:color="auto"/>
              <w:bottom w:val="single" w:sz="2" w:space="0" w:color="auto"/>
              <w:right w:val="single" w:sz="2" w:space="0" w:color="auto"/>
            </w:tcBorders>
            <w:vAlign w:val="center"/>
          </w:tcPr>
          <w:p w14:paraId="67AB0B17"/>
        </w:tc>
        <w:tc>
          <w:tcPr>
            <w:tcW w:w="1134" w:type="dxa"/>
            <w:tcBorders>
              <w:top w:val="single" w:sz="2" w:space="0" w:color="auto"/>
              <w:left w:val="single" w:sz="2" w:space="0" w:color="auto"/>
              <w:bottom w:val="single" w:sz="2" w:space="0" w:color="auto"/>
              <w:right w:val="single" w:sz="2" w:space="0" w:color="auto"/>
            </w:tcBorders>
            <w:vAlign w:val="center"/>
          </w:tcPr>
          <w:p w14:paraId="03CD6D1C"/>
        </w:tc>
        <w:tc>
          <w:tcPr>
            <w:tcW w:w="1087" w:type="dxa"/>
            <w:tcBorders>
              <w:top w:val="single" w:sz="2" w:space="0" w:color="auto"/>
              <w:left w:val="single" w:sz="2" w:space="0" w:color="auto"/>
              <w:bottom w:val="single" w:sz="2" w:space="0" w:color="auto"/>
              <w:right w:val="single" w:sz="2" w:space="0" w:color="auto"/>
            </w:tcBorders>
            <w:vAlign w:val="center"/>
          </w:tcPr>
          <w:p w14:paraId="6BEB1A2D"/>
        </w:tc>
        <w:tc>
          <w:tcPr>
            <w:tcW w:w="1295" w:type="dxa"/>
            <w:tcBorders>
              <w:top w:val="single" w:sz="2" w:space="0" w:color="auto"/>
              <w:left w:val="single" w:sz="2" w:space="0" w:color="auto"/>
              <w:bottom w:val="single" w:sz="2" w:space="0" w:color="auto"/>
              <w:right w:val="single" w:sz="2" w:space="0" w:color="auto"/>
            </w:tcBorders>
            <w:vAlign w:val="center"/>
          </w:tcPr>
          <w:p w14:paraId="2D1E22FD"/>
        </w:tc>
        <w:tc>
          <w:tcPr>
            <w:tcW w:w="1294" w:type="dxa"/>
            <w:tcBorders>
              <w:top w:val="single" w:sz="2" w:space="0" w:color="auto"/>
              <w:left w:val="single" w:sz="2" w:space="0" w:color="auto"/>
              <w:bottom w:val="single" w:sz="2" w:space="0" w:color="auto"/>
              <w:right w:val="single" w:sz="2" w:space="0" w:color="auto"/>
            </w:tcBorders>
            <w:vAlign w:val="center"/>
          </w:tcPr>
          <w:p w14:paraId="3F4D2B91"/>
        </w:tc>
        <w:tc>
          <w:tcPr>
            <w:tcW w:w="982" w:type="dxa"/>
            <w:tcBorders>
              <w:top w:val="single" w:sz="2" w:space="0" w:color="auto"/>
              <w:left w:val="single" w:sz="2" w:space="0" w:color="auto"/>
              <w:bottom w:val="single" w:sz="2" w:space="0" w:color="auto"/>
              <w:right w:val="single" w:sz="2" w:space="0" w:color="auto"/>
            </w:tcBorders>
            <w:vAlign w:val="center"/>
          </w:tcPr>
          <w:p w14:paraId="7AD55E8B"/>
        </w:tc>
        <w:tc>
          <w:tcPr>
            <w:tcW w:w="1437" w:type="dxa"/>
            <w:tcBorders>
              <w:top w:val="single" w:sz="2" w:space="0" w:color="auto"/>
              <w:left w:val="single" w:sz="2" w:space="0" w:color="auto"/>
              <w:bottom w:val="single" w:sz="2" w:space="0" w:color="auto"/>
              <w:right w:val="single" w:sz="2" w:space="0" w:color="auto"/>
            </w:tcBorders>
            <w:vAlign w:val="center"/>
          </w:tcPr>
          <w:p w14:paraId="7328B4DC"/>
        </w:tc>
      </w:tr>
      <w:tr w14:paraId="25219C08">
        <w:tblPrEx>
          <w:tblW w:w="0" w:type="auto"/>
          <w:jc w:val="center"/>
          <w:tblLayout w:type="fixed"/>
          <w:tblCellMar>
            <w:top w:w="0" w:type="dxa"/>
            <w:left w:w="108" w:type="dxa"/>
            <w:bottom w:w="0" w:type="dxa"/>
            <w:right w:w="108" w:type="dxa"/>
          </w:tblCellMar>
        </w:tblPrEx>
        <w:trPr>
          <w:trHeight w:val="400"/>
          <w:jc w:val="center"/>
        </w:trPr>
        <w:tc>
          <w:tcPr>
            <w:tcW w:w="2127" w:type="dxa"/>
            <w:gridSpan w:val="2"/>
            <w:vMerge w:val="restart"/>
            <w:tcBorders>
              <w:top w:val="single" w:sz="2" w:space="0" w:color="auto"/>
              <w:left w:val="single" w:sz="2" w:space="0" w:color="auto"/>
              <w:bottom w:val="single" w:sz="2" w:space="0" w:color="auto"/>
              <w:right w:val="single" w:sz="2" w:space="0" w:color="auto"/>
            </w:tcBorders>
            <w:vAlign w:val="center"/>
          </w:tcPr>
          <w:p w14:paraId="11330967">
            <w:pPr>
              <w:rPr>
                <w:lang w:eastAsia="zh-CN"/>
              </w:rPr>
            </w:pPr>
            <w:r>
              <w:rPr>
                <w:rFonts w:hint="eastAsia"/>
                <w:lang w:eastAsia="zh-CN"/>
              </w:rPr>
              <w:t>最终推荐的中标候选人及其排序</w:t>
            </w:r>
          </w:p>
        </w:tc>
        <w:tc>
          <w:tcPr>
            <w:tcW w:w="7229" w:type="dxa"/>
            <w:gridSpan w:val="6"/>
            <w:tcBorders>
              <w:top w:val="single" w:sz="2" w:space="0" w:color="auto"/>
              <w:left w:val="single" w:sz="2" w:space="0" w:color="auto"/>
              <w:bottom w:val="single" w:sz="2" w:space="0" w:color="auto"/>
              <w:right w:val="single" w:sz="2" w:space="0" w:color="auto"/>
            </w:tcBorders>
            <w:vAlign w:val="center"/>
          </w:tcPr>
          <w:p w14:paraId="429D64F9">
            <w:r>
              <w:rPr>
                <w:rFonts w:hint="eastAsia"/>
              </w:rPr>
              <w:t>第一名：</w:t>
            </w:r>
          </w:p>
        </w:tc>
      </w:tr>
      <w:tr w14:paraId="53C747F1">
        <w:tblPrEx>
          <w:tblW w:w="0" w:type="auto"/>
          <w:jc w:val="center"/>
          <w:tblLayout w:type="fixed"/>
          <w:tblCellMar>
            <w:top w:w="0" w:type="dxa"/>
            <w:left w:w="108" w:type="dxa"/>
            <w:bottom w:w="0" w:type="dxa"/>
            <w:right w:w="108" w:type="dxa"/>
          </w:tblCellMar>
        </w:tblPrEx>
        <w:trPr>
          <w:trHeight w:val="400"/>
          <w:jc w:val="center"/>
        </w:trPr>
        <w:tc>
          <w:tcPr>
            <w:tcW w:w="3545" w:type="dxa"/>
            <w:gridSpan w:val="2"/>
            <w:vMerge/>
            <w:tcBorders>
              <w:top w:val="single" w:sz="2" w:space="0" w:color="auto"/>
              <w:left w:val="single" w:sz="2" w:space="0" w:color="auto"/>
              <w:bottom w:val="single" w:sz="2" w:space="0" w:color="auto"/>
              <w:right w:val="single" w:sz="2" w:space="0" w:color="auto"/>
            </w:tcBorders>
            <w:vAlign w:val="center"/>
          </w:tcPr>
          <w:p w14:paraId="2D45AC10">
            <w:pPr>
              <w:rPr>
                <w:rFonts w:eastAsia="宋体"/>
                <w:kern w:val="2"/>
              </w:rPr>
            </w:pPr>
          </w:p>
        </w:tc>
        <w:tc>
          <w:tcPr>
            <w:tcW w:w="7229" w:type="dxa"/>
            <w:gridSpan w:val="6"/>
            <w:tcBorders>
              <w:top w:val="single" w:sz="2" w:space="0" w:color="auto"/>
              <w:left w:val="single" w:sz="2" w:space="0" w:color="auto"/>
              <w:bottom w:val="single" w:sz="2" w:space="0" w:color="auto"/>
              <w:right w:val="single" w:sz="2" w:space="0" w:color="auto"/>
            </w:tcBorders>
            <w:vAlign w:val="center"/>
          </w:tcPr>
          <w:p w14:paraId="08AAAA9E">
            <w:r>
              <w:rPr>
                <w:rFonts w:hint="eastAsia"/>
              </w:rPr>
              <w:t>第二名：</w:t>
            </w:r>
          </w:p>
        </w:tc>
      </w:tr>
      <w:tr w14:paraId="59C1D13A">
        <w:tblPrEx>
          <w:tblW w:w="0" w:type="auto"/>
          <w:jc w:val="center"/>
          <w:tblLayout w:type="fixed"/>
          <w:tblCellMar>
            <w:top w:w="0" w:type="dxa"/>
            <w:left w:w="108" w:type="dxa"/>
            <w:bottom w:w="0" w:type="dxa"/>
            <w:right w:w="108" w:type="dxa"/>
          </w:tblCellMar>
        </w:tblPrEx>
        <w:trPr>
          <w:trHeight w:val="400"/>
          <w:jc w:val="center"/>
        </w:trPr>
        <w:tc>
          <w:tcPr>
            <w:tcW w:w="3545" w:type="dxa"/>
            <w:gridSpan w:val="2"/>
            <w:vMerge/>
            <w:tcBorders>
              <w:top w:val="single" w:sz="2" w:space="0" w:color="auto"/>
              <w:left w:val="single" w:sz="2" w:space="0" w:color="auto"/>
              <w:bottom w:val="single" w:sz="2" w:space="0" w:color="auto"/>
              <w:right w:val="single" w:sz="2" w:space="0" w:color="auto"/>
            </w:tcBorders>
            <w:vAlign w:val="center"/>
          </w:tcPr>
          <w:p w14:paraId="1F476DA1">
            <w:pPr>
              <w:rPr>
                <w:rFonts w:eastAsia="宋体"/>
                <w:kern w:val="2"/>
              </w:rPr>
            </w:pPr>
          </w:p>
        </w:tc>
        <w:tc>
          <w:tcPr>
            <w:tcW w:w="7229" w:type="dxa"/>
            <w:gridSpan w:val="6"/>
            <w:tcBorders>
              <w:top w:val="single" w:sz="2" w:space="0" w:color="auto"/>
              <w:left w:val="single" w:sz="2" w:space="0" w:color="auto"/>
              <w:bottom w:val="single" w:sz="2" w:space="0" w:color="auto"/>
              <w:right w:val="single" w:sz="2" w:space="0" w:color="auto"/>
            </w:tcBorders>
            <w:vAlign w:val="center"/>
          </w:tcPr>
          <w:p w14:paraId="2D4A28FF">
            <w:r>
              <w:rPr>
                <w:rFonts w:hint="eastAsia"/>
              </w:rPr>
              <w:t>第三名：</w:t>
            </w:r>
          </w:p>
        </w:tc>
      </w:tr>
    </w:tbl>
    <w:p w14:paraId="6610B48E">
      <w:pPr>
        <w:spacing w:line="36" w:lineRule="auto"/>
        <w:rPr>
          <w:rFonts w:ascii="宋体" w:hAnsi="宋体"/>
          <w:kern w:val="2"/>
        </w:rPr>
      </w:pPr>
    </w:p>
    <w:p w14:paraId="69E85ED4">
      <w:pPr>
        <w:spacing w:line="36" w:lineRule="auto"/>
        <w:rPr>
          <w:rFonts w:ascii="宋体" w:hAnsi="宋体"/>
          <w:lang w:eastAsia="zh-CN"/>
        </w:rPr>
      </w:pPr>
      <w:r>
        <w:rPr>
          <w:rFonts w:ascii="宋体" w:hAnsi="宋体" w:hint="eastAsia"/>
          <w:lang w:eastAsia="zh-CN"/>
        </w:rPr>
        <w:t>评标委员会全体成员签名：</w:t>
      </w:r>
    </w:p>
    <w:p w14:paraId="3CC600BB">
      <w:pPr>
        <w:spacing w:line="36" w:lineRule="auto"/>
        <w:rPr>
          <w:rFonts w:ascii="宋体" w:hAnsi="宋体"/>
          <w:lang w:eastAsia="zh-CN"/>
        </w:rPr>
      </w:pPr>
    </w:p>
    <w:p w14:paraId="0EDA1870">
      <w:pPr>
        <w:spacing w:line="36" w:lineRule="auto"/>
        <w:jc w:val="right"/>
        <w:rPr>
          <w:rFonts w:ascii="宋体" w:hAnsi="宋体"/>
          <w:lang w:eastAsia="zh-CN"/>
        </w:rPr>
      </w:pPr>
      <w:r>
        <w:rPr>
          <w:rFonts w:ascii="宋体" w:hAnsi="宋体" w:hint="eastAsia"/>
          <w:lang w:eastAsia="zh-CN"/>
        </w:rPr>
        <w:t>日期:    年   月  日</w:t>
      </w:r>
    </w:p>
    <w:p w14:paraId="65D73E25">
      <w:pPr>
        <w:rPr>
          <w:rFonts w:ascii="Calibri" w:hAnsi="Calibri"/>
          <w:sz w:val="21"/>
          <w:szCs w:val="22"/>
          <w:lang w:eastAsia="zh-CN"/>
        </w:rPr>
      </w:pPr>
    </w:p>
    <w:p w14:paraId="2AA93249">
      <w:pPr>
        <w:rPr>
          <w:lang w:eastAsia="zh-CN"/>
        </w:rPr>
      </w:pPr>
    </w:p>
    <w:p w14:paraId="4291CD5F">
      <w:pPr>
        <w:rPr>
          <w:lang w:eastAsia="zh-CN"/>
        </w:rPr>
      </w:pPr>
    </w:p>
    <w:p w14:paraId="1881C1A3">
      <w:pPr>
        <w:rPr>
          <w:lang w:eastAsia="zh-CN"/>
        </w:rPr>
      </w:pPr>
    </w:p>
    <w:p w14:paraId="61E73349">
      <w:pPr>
        <w:rPr>
          <w:lang w:eastAsia="zh-CN"/>
        </w:rPr>
      </w:pPr>
    </w:p>
    <w:p w14:paraId="026BAC40">
      <w:pPr>
        <w:rPr>
          <w:lang w:eastAsia="zh-CN"/>
        </w:rPr>
      </w:pPr>
    </w:p>
    <w:p w14:paraId="5EF4D97D">
      <w:pPr>
        <w:rPr>
          <w:lang w:eastAsia="zh-CN"/>
        </w:rPr>
      </w:pPr>
    </w:p>
    <w:p w14:paraId="5513C4FB">
      <w:pPr>
        <w:rPr>
          <w:lang w:eastAsia="zh-CN"/>
        </w:rPr>
      </w:pPr>
    </w:p>
    <w:p w14:paraId="2C59A76C">
      <w:pPr>
        <w:rPr>
          <w:lang w:eastAsia="zh-CN"/>
        </w:rPr>
      </w:pPr>
    </w:p>
    <w:p w14:paraId="7ED7FBCE">
      <w:pPr>
        <w:rPr>
          <w:lang w:eastAsia="zh-CN"/>
        </w:rPr>
      </w:pPr>
    </w:p>
    <w:p w14:paraId="1E6B7501">
      <w:pPr>
        <w:rPr>
          <w:lang w:eastAsia="zh-CN"/>
        </w:rPr>
      </w:pPr>
    </w:p>
    <w:p w14:paraId="3CF2F394">
      <w:pPr>
        <w:outlineLvl w:val="1"/>
        <w:rPr>
          <w:rFonts w:eastAsia="黑体"/>
          <w:sz w:val="28"/>
          <w:szCs w:val="28"/>
          <w:lang w:eastAsia="zh-CN"/>
        </w:rPr>
      </w:pPr>
      <w:r>
        <w:rPr>
          <w:rFonts w:eastAsia="黑体" w:hint="eastAsia"/>
          <w:sz w:val="28"/>
          <w:szCs w:val="28"/>
          <w:lang w:eastAsia="zh-CN"/>
        </w:rPr>
        <w:t>附表</w:t>
      </w:r>
      <w:r>
        <w:rPr>
          <w:rFonts w:eastAsia="黑体"/>
          <w:sz w:val="28"/>
          <w:szCs w:val="28"/>
          <w:lang w:eastAsia="zh-CN"/>
        </w:rPr>
        <w:t>A-8</w:t>
      </w:r>
      <w:r>
        <w:rPr>
          <w:rFonts w:eastAsia="黑体" w:hint="eastAsia"/>
          <w:sz w:val="28"/>
          <w:szCs w:val="28"/>
          <w:lang w:eastAsia="zh-CN"/>
        </w:rPr>
        <w:t>：投标文件数字（</w:t>
      </w:r>
      <w:r>
        <w:rPr>
          <w:rFonts w:eastAsia="黑体"/>
          <w:sz w:val="28"/>
          <w:szCs w:val="28"/>
          <w:lang w:eastAsia="zh-CN"/>
        </w:rPr>
        <w:t>CA</w:t>
      </w:r>
      <w:r>
        <w:rPr>
          <w:rFonts w:eastAsia="黑体" w:hint="eastAsia"/>
          <w:sz w:val="28"/>
          <w:szCs w:val="28"/>
          <w:lang w:eastAsia="zh-CN"/>
        </w:rPr>
        <w:t>）签名信息表</w:t>
      </w:r>
    </w:p>
    <w:p w14:paraId="6683BE62">
      <w:pPr>
        <w:jc w:val="center"/>
        <w:rPr>
          <w:rFonts w:ascii="宋体" w:eastAsia="宋体" w:hAnsi="宋体"/>
          <w:lang w:eastAsia="zh-CN"/>
        </w:rPr>
      </w:pPr>
      <w:r>
        <w:rPr>
          <w:rFonts w:ascii="宋体" w:hAnsi="宋体" w:hint="eastAsia"/>
          <w:lang w:eastAsia="zh-CN"/>
        </w:rPr>
        <w:t>___________（项目名称） ______标段施工</w:t>
      </w:r>
    </w:p>
    <w:p w14:paraId="1D48DE38">
      <w:pPr>
        <w:jc w:val="center"/>
        <w:rPr>
          <w:rFonts w:ascii="宋体" w:hAnsi="宋体"/>
          <w:lang w:eastAsia="zh-CN"/>
        </w:rPr>
      </w:pPr>
      <w:r>
        <w:rPr>
          <w:rFonts w:ascii="宋体" w:hAnsi="宋体" w:hint="eastAsia"/>
          <w:lang w:eastAsia="zh-CN"/>
        </w:rPr>
        <w:t>投标文件数字（CA）签名信息表</w:t>
      </w:r>
    </w:p>
    <w:p w14:paraId="2D099276">
      <w:pPr>
        <w:pStyle w:val="Normal1"/>
        <w:topLinePunct/>
        <w:spacing w:line="360" w:lineRule="auto"/>
        <w:jc w:val="left"/>
        <w:rPr>
          <w:rFonts w:ascii="宋体" w:hAnsi="宋体"/>
          <w:sz w:val="24"/>
          <w:szCs w:val="24"/>
        </w:rPr>
      </w:pPr>
      <w:r>
        <w:rPr>
          <w:rFonts w:ascii="宋体" w:hAnsi="宋体" w:hint="eastAsia"/>
          <w:sz w:val="24"/>
          <w:szCs w:val="24"/>
        </w:rPr>
        <w:t>开标时间：______年______月______日</w:t>
      </w:r>
    </w:p>
    <w:p w14:paraId="13B9C931">
      <w:pPr>
        <w:pStyle w:val="Normal1"/>
        <w:topLinePunct/>
        <w:spacing w:line="360" w:lineRule="auto"/>
        <w:jc w:val="left"/>
        <w:rPr>
          <w:rFonts w:ascii="宋体" w:hAnsi="宋体"/>
          <w:sz w:val="24"/>
          <w:szCs w:val="24"/>
        </w:rPr>
      </w:pPr>
    </w:p>
    <w:tbl>
      <w:tblPr>
        <w:tblStyle w:val="TableNormal"/>
        <w:tblpPr w:leftFromText="180" w:rightFromText="180" w:vertAnchor="text" w:horzAnchor="page" w:tblpX="816" w:tblpY="129"/>
        <w:tblOverlap w:val="never"/>
        <w:tblW w:w="107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8"/>
        <w:gridCol w:w="1981"/>
        <w:gridCol w:w="1701"/>
        <w:gridCol w:w="1276"/>
        <w:gridCol w:w="1559"/>
        <w:gridCol w:w="1701"/>
        <w:gridCol w:w="1134"/>
      </w:tblGrid>
      <w:tr w14:paraId="207C7143">
        <w:tblPrEx>
          <w:tblW w:w="107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195"/>
        </w:trPr>
        <w:tc>
          <w:tcPr>
            <w:tcW w:w="1417" w:type="dxa"/>
            <w:vMerge w:val="restart"/>
            <w:tcBorders>
              <w:top w:val="single" w:sz="4" w:space="0" w:color="auto"/>
              <w:left w:val="single" w:sz="4" w:space="0" w:color="auto"/>
              <w:bottom w:val="single" w:sz="4" w:space="0" w:color="auto"/>
              <w:right w:val="single" w:sz="4" w:space="0" w:color="auto"/>
            </w:tcBorders>
            <w:vAlign w:val="center"/>
          </w:tcPr>
          <w:p w14:paraId="2B69573D">
            <w:pPr>
              <w:jc w:val="center"/>
              <w:rPr>
                <w:rFonts w:ascii="宋体" w:hAnsi="宋体"/>
                <w:szCs w:val="22"/>
              </w:rPr>
            </w:pPr>
            <w:r>
              <w:rPr>
                <w:rFonts w:ascii="宋体" w:hAnsi="宋体" w:hint="eastAsia"/>
              </w:rPr>
              <w:t>序号</w:t>
            </w:r>
          </w:p>
        </w:tc>
        <w:tc>
          <w:tcPr>
            <w:tcW w:w="1980" w:type="dxa"/>
            <w:vMerge w:val="restart"/>
            <w:tcBorders>
              <w:top w:val="single" w:sz="4" w:space="0" w:color="auto"/>
              <w:left w:val="single" w:sz="4" w:space="0" w:color="auto"/>
              <w:bottom w:val="single" w:sz="4" w:space="0" w:color="auto"/>
              <w:right w:val="single" w:sz="4" w:space="0" w:color="auto"/>
            </w:tcBorders>
            <w:vAlign w:val="center"/>
          </w:tcPr>
          <w:p w14:paraId="3F5EAD74">
            <w:pPr>
              <w:jc w:val="center"/>
              <w:rPr>
                <w:rFonts w:ascii="宋体" w:hAnsi="宋体"/>
              </w:rPr>
            </w:pPr>
            <w:r>
              <w:rPr>
                <w:rFonts w:ascii="宋体" w:hAnsi="宋体" w:hint="eastAsia"/>
              </w:rPr>
              <w:t>投标人名称</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50304A1A">
            <w:pPr>
              <w:jc w:val="center"/>
              <w:rPr>
                <w:rFonts w:ascii="宋体" w:hAnsi="宋体"/>
              </w:rPr>
            </w:pPr>
            <w:r>
              <w:rPr>
                <w:rFonts w:ascii="宋体" w:hAnsi="宋体" w:hint="eastAsia"/>
              </w:rPr>
              <w:t>商务标</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6781B87">
            <w:pPr>
              <w:jc w:val="center"/>
              <w:rPr>
                <w:rFonts w:ascii="宋体" w:hAnsi="宋体"/>
              </w:rPr>
            </w:pPr>
            <w:r>
              <w:rPr>
                <w:rFonts w:ascii="宋体" w:hAnsi="宋体" w:hint="eastAsia"/>
              </w:rPr>
              <w:t>技术标</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3A9BA1FD">
            <w:pPr>
              <w:jc w:val="center"/>
              <w:rPr>
                <w:rFonts w:ascii="宋体" w:hAnsi="宋体"/>
              </w:rPr>
            </w:pPr>
            <w:r>
              <w:rPr>
                <w:rFonts w:ascii="宋体" w:hAnsi="宋体" w:hint="eastAsia"/>
              </w:rPr>
              <w:t>签名</w:t>
            </w:r>
          </w:p>
        </w:tc>
      </w:tr>
      <w:tr w14:paraId="6B30D5C1">
        <w:tblPrEx>
          <w:tblW w:w="10770" w:type="dxa"/>
          <w:tblInd w:w="0" w:type="dxa"/>
          <w:tblLayout w:type="fixed"/>
          <w:tblCellMar>
            <w:top w:w="0" w:type="dxa"/>
            <w:left w:w="108" w:type="dxa"/>
            <w:bottom w:w="0" w:type="dxa"/>
            <w:right w:w="108" w:type="dxa"/>
          </w:tblCellMar>
        </w:tblPrEx>
        <w:trPr>
          <w:trHeight w:val="1195"/>
        </w:trPr>
        <w:tc>
          <w:tcPr>
            <w:tcW w:w="1417" w:type="dxa"/>
            <w:vMerge/>
            <w:tcBorders>
              <w:top w:val="single" w:sz="4" w:space="0" w:color="auto"/>
              <w:left w:val="single" w:sz="4" w:space="0" w:color="auto"/>
              <w:bottom w:val="single" w:sz="4" w:space="0" w:color="auto"/>
              <w:right w:val="single" w:sz="4" w:space="0" w:color="auto"/>
            </w:tcBorders>
            <w:vAlign w:val="center"/>
          </w:tcPr>
          <w:p w14:paraId="4581437D">
            <w:pPr>
              <w:rPr>
                <w:rFonts w:ascii="宋体" w:eastAsia="宋体" w:hAnsi="宋体"/>
                <w:kern w:val="2"/>
                <w:szCs w:val="22"/>
              </w:rPr>
            </w:pPr>
          </w:p>
        </w:tc>
        <w:tc>
          <w:tcPr>
            <w:tcW w:w="1980" w:type="dxa"/>
            <w:vMerge/>
            <w:tcBorders>
              <w:top w:val="single" w:sz="4" w:space="0" w:color="auto"/>
              <w:left w:val="single" w:sz="4" w:space="0" w:color="auto"/>
              <w:bottom w:val="single" w:sz="4" w:space="0" w:color="auto"/>
              <w:right w:val="single" w:sz="4" w:space="0" w:color="auto"/>
            </w:tcBorders>
            <w:vAlign w:val="center"/>
          </w:tcPr>
          <w:p w14:paraId="5906E926">
            <w:pPr>
              <w:rPr>
                <w:rFonts w:ascii="宋体" w:eastAsia="宋体" w:hAnsi="宋体"/>
                <w:kern w:val="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EAFEEE9">
            <w:pPr>
              <w:jc w:val="center"/>
              <w:rPr>
                <w:rFonts w:ascii="宋体" w:hAnsi="宋体"/>
              </w:rPr>
            </w:pPr>
            <w:r>
              <w:rPr>
                <w:rFonts w:ascii="宋体" w:hAnsi="宋体" w:hint="eastAsia"/>
              </w:rPr>
              <w:t>法定代表人</w:t>
            </w:r>
          </w:p>
        </w:tc>
        <w:tc>
          <w:tcPr>
            <w:tcW w:w="1276" w:type="dxa"/>
            <w:tcBorders>
              <w:top w:val="single" w:sz="4" w:space="0" w:color="auto"/>
              <w:left w:val="single" w:sz="4" w:space="0" w:color="auto"/>
              <w:bottom w:val="single" w:sz="4" w:space="0" w:color="auto"/>
              <w:right w:val="single" w:sz="4" w:space="0" w:color="auto"/>
            </w:tcBorders>
            <w:vAlign w:val="center"/>
          </w:tcPr>
          <w:p w14:paraId="2E1D8870">
            <w:pPr>
              <w:jc w:val="center"/>
              <w:rPr>
                <w:rFonts w:ascii="宋体" w:hAnsi="宋体"/>
              </w:rPr>
            </w:pPr>
            <w:r>
              <w:rPr>
                <w:rFonts w:ascii="宋体" w:hAnsi="宋体" w:hint="eastAsia"/>
              </w:rPr>
              <w:t>造价人员</w:t>
            </w:r>
          </w:p>
        </w:tc>
        <w:tc>
          <w:tcPr>
            <w:tcW w:w="1559" w:type="dxa"/>
            <w:tcBorders>
              <w:top w:val="single" w:sz="4" w:space="0" w:color="auto"/>
              <w:left w:val="single" w:sz="4" w:space="0" w:color="auto"/>
              <w:bottom w:val="single" w:sz="4" w:space="0" w:color="auto"/>
              <w:right w:val="single" w:sz="4" w:space="0" w:color="auto"/>
            </w:tcBorders>
            <w:vAlign w:val="center"/>
          </w:tcPr>
          <w:p w14:paraId="48AE6186">
            <w:pPr>
              <w:jc w:val="center"/>
              <w:rPr>
                <w:rFonts w:ascii="宋体" w:hAnsi="宋体"/>
              </w:rPr>
            </w:pPr>
            <w:r>
              <w:rPr>
                <w:rFonts w:ascii="宋体" w:hAnsi="宋体" w:hint="eastAsia"/>
              </w:rPr>
              <w:t>法定代表人</w:t>
            </w:r>
          </w:p>
        </w:tc>
        <w:tc>
          <w:tcPr>
            <w:tcW w:w="1701" w:type="dxa"/>
            <w:tcBorders>
              <w:top w:val="single" w:sz="4" w:space="0" w:color="auto"/>
              <w:left w:val="single" w:sz="4" w:space="0" w:color="auto"/>
              <w:bottom w:val="single" w:sz="4" w:space="0" w:color="auto"/>
              <w:right w:val="single" w:sz="4" w:space="0" w:color="auto"/>
            </w:tcBorders>
            <w:vAlign w:val="center"/>
          </w:tcPr>
          <w:p w14:paraId="3388760B">
            <w:pPr>
              <w:jc w:val="center"/>
              <w:rPr>
                <w:rFonts w:ascii="宋体" w:hAnsi="宋体"/>
              </w:rPr>
            </w:pPr>
            <w:r>
              <w:rPr>
                <w:rFonts w:ascii="宋体" w:hAnsi="宋体" w:hint="eastAsia"/>
              </w:rPr>
              <w:t>项目建负责人</w:t>
            </w:r>
          </w:p>
        </w:tc>
        <w:tc>
          <w:tcPr>
            <w:tcW w:w="1134" w:type="dxa"/>
            <w:vMerge/>
            <w:tcBorders>
              <w:top w:val="single" w:sz="4" w:space="0" w:color="auto"/>
              <w:left w:val="single" w:sz="4" w:space="0" w:color="auto"/>
              <w:bottom w:val="single" w:sz="4" w:space="0" w:color="auto"/>
              <w:right w:val="single" w:sz="4" w:space="0" w:color="auto"/>
            </w:tcBorders>
            <w:vAlign w:val="center"/>
          </w:tcPr>
          <w:p w14:paraId="01071F49">
            <w:pPr>
              <w:rPr>
                <w:rFonts w:ascii="宋体" w:eastAsia="宋体" w:hAnsi="宋体"/>
                <w:kern w:val="2"/>
                <w:szCs w:val="22"/>
              </w:rPr>
            </w:pPr>
          </w:p>
        </w:tc>
      </w:tr>
      <w:tr w14:paraId="604254A4">
        <w:tblPrEx>
          <w:tblW w:w="10770" w:type="dxa"/>
          <w:tblInd w:w="0" w:type="dxa"/>
          <w:tblLayout w:type="fixed"/>
          <w:tblCellMar>
            <w:top w:w="0" w:type="dxa"/>
            <w:left w:w="108" w:type="dxa"/>
            <w:bottom w:w="0" w:type="dxa"/>
            <w:right w:w="108" w:type="dxa"/>
          </w:tblCellMar>
        </w:tblPrEx>
        <w:trPr>
          <w:trHeight w:val="1195"/>
        </w:trPr>
        <w:tc>
          <w:tcPr>
            <w:tcW w:w="1417" w:type="dxa"/>
            <w:tcBorders>
              <w:top w:val="single" w:sz="4" w:space="0" w:color="auto"/>
              <w:left w:val="single" w:sz="4" w:space="0" w:color="auto"/>
              <w:bottom w:val="single" w:sz="4" w:space="0" w:color="auto"/>
              <w:right w:val="single" w:sz="4" w:space="0" w:color="auto"/>
            </w:tcBorders>
            <w:vAlign w:val="center"/>
          </w:tcPr>
          <w:p w14:paraId="1F69DCC2">
            <w:pPr>
              <w:jc w:val="center"/>
              <w:rPr>
                <w:rFonts w:ascii="宋体" w:hAnsi="宋体"/>
              </w:rPr>
            </w:pPr>
          </w:p>
        </w:tc>
        <w:tc>
          <w:tcPr>
            <w:tcW w:w="1980" w:type="dxa"/>
            <w:tcBorders>
              <w:top w:val="single" w:sz="4" w:space="0" w:color="auto"/>
              <w:left w:val="single" w:sz="4" w:space="0" w:color="auto"/>
              <w:bottom w:val="single" w:sz="4" w:space="0" w:color="auto"/>
              <w:right w:val="single" w:sz="4" w:space="0" w:color="auto"/>
            </w:tcBorders>
            <w:vAlign w:val="center"/>
          </w:tcPr>
          <w:p w14:paraId="54DE11C9">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1C182AA3">
            <w:pPr>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3E0F3D3B">
            <w:pPr>
              <w:jc w:val="center"/>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15CBBFF9">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187FA2CE">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6795ECDA">
            <w:pPr>
              <w:jc w:val="center"/>
              <w:rPr>
                <w:rFonts w:ascii="宋体" w:hAnsi="宋体"/>
              </w:rPr>
            </w:pPr>
          </w:p>
        </w:tc>
      </w:tr>
      <w:tr w14:paraId="05A40AC9">
        <w:tblPrEx>
          <w:tblW w:w="10770" w:type="dxa"/>
          <w:tblInd w:w="0" w:type="dxa"/>
          <w:tblLayout w:type="fixed"/>
          <w:tblCellMar>
            <w:top w:w="0" w:type="dxa"/>
            <w:left w:w="108" w:type="dxa"/>
            <w:bottom w:w="0" w:type="dxa"/>
            <w:right w:w="108" w:type="dxa"/>
          </w:tblCellMar>
        </w:tblPrEx>
        <w:trPr>
          <w:trHeight w:val="1195"/>
        </w:trPr>
        <w:tc>
          <w:tcPr>
            <w:tcW w:w="1417" w:type="dxa"/>
            <w:tcBorders>
              <w:top w:val="single" w:sz="4" w:space="0" w:color="auto"/>
              <w:left w:val="single" w:sz="4" w:space="0" w:color="auto"/>
              <w:bottom w:val="single" w:sz="4" w:space="0" w:color="auto"/>
              <w:right w:val="single" w:sz="4" w:space="0" w:color="auto"/>
            </w:tcBorders>
            <w:vAlign w:val="center"/>
          </w:tcPr>
          <w:p w14:paraId="044E1F17">
            <w:pPr>
              <w:jc w:val="center"/>
              <w:rPr>
                <w:rFonts w:ascii="宋体" w:hAnsi="宋体"/>
              </w:rPr>
            </w:pPr>
          </w:p>
        </w:tc>
        <w:tc>
          <w:tcPr>
            <w:tcW w:w="1980" w:type="dxa"/>
            <w:tcBorders>
              <w:top w:val="single" w:sz="4" w:space="0" w:color="auto"/>
              <w:left w:val="single" w:sz="4" w:space="0" w:color="auto"/>
              <w:bottom w:val="single" w:sz="4" w:space="0" w:color="auto"/>
              <w:right w:val="single" w:sz="4" w:space="0" w:color="auto"/>
            </w:tcBorders>
            <w:vAlign w:val="center"/>
          </w:tcPr>
          <w:p w14:paraId="40AC0650">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534DA96E">
            <w:pPr>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0913D9E6">
            <w:pPr>
              <w:jc w:val="center"/>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20970D9D">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6F1E2E7F">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2DAEB78F">
            <w:pPr>
              <w:jc w:val="center"/>
              <w:rPr>
                <w:rFonts w:ascii="宋体" w:hAnsi="宋体"/>
              </w:rPr>
            </w:pPr>
          </w:p>
        </w:tc>
      </w:tr>
      <w:tr w14:paraId="66528B20">
        <w:tblPrEx>
          <w:tblW w:w="10770" w:type="dxa"/>
          <w:tblInd w:w="0" w:type="dxa"/>
          <w:tblLayout w:type="fixed"/>
          <w:tblCellMar>
            <w:top w:w="0" w:type="dxa"/>
            <w:left w:w="108" w:type="dxa"/>
            <w:bottom w:w="0" w:type="dxa"/>
            <w:right w:w="108" w:type="dxa"/>
          </w:tblCellMar>
        </w:tblPrEx>
        <w:trPr>
          <w:trHeight w:val="1195"/>
        </w:trPr>
        <w:tc>
          <w:tcPr>
            <w:tcW w:w="1417" w:type="dxa"/>
            <w:tcBorders>
              <w:top w:val="single" w:sz="4" w:space="0" w:color="auto"/>
              <w:left w:val="single" w:sz="4" w:space="0" w:color="auto"/>
              <w:bottom w:val="single" w:sz="4" w:space="0" w:color="auto"/>
              <w:right w:val="single" w:sz="4" w:space="0" w:color="auto"/>
            </w:tcBorders>
            <w:vAlign w:val="center"/>
          </w:tcPr>
          <w:p w14:paraId="08AA635B">
            <w:pPr>
              <w:jc w:val="center"/>
              <w:rPr>
                <w:rFonts w:ascii="宋体" w:hAnsi="宋体"/>
              </w:rPr>
            </w:pPr>
          </w:p>
        </w:tc>
        <w:tc>
          <w:tcPr>
            <w:tcW w:w="1980" w:type="dxa"/>
            <w:tcBorders>
              <w:top w:val="single" w:sz="4" w:space="0" w:color="auto"/>
              <w:left w:val="single" w:sz="4" w:space="0" w:color="auto"/>
              <w:bottom w:val="single" w:sz="4" w:space="0" w:color="auto"/>
              <w:right w:val="single" w:sz="4" w:space="0" w:color="auto"/>
            </w:tcBorders>
            <w:vAlign w:val="center"/>
          </w:tcPr>
          <w:p w14:paraId="4C7677E7">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49400F61">
            <w:pPr>
              <w:jc w:val="center"/>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3F760813">
            <w:pPr>
              <w:jc w:val="center"/>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2D5C723C">
            <w:pPr>
              <w:jc w:val="center"/>
              <w:rPr>
                <w:rFonts w:ascii="宋体" w:hAnsi="宋体"/>
              </w:rPr>
            </w:pPr>
          </w:p>
        </w:tc>
        <w:tc>
          <w:tcPr>
            <w:tcW w:w="1701" w:type="dxa"/>
            <w:tcBorders>
              <w:top w:val="single" w:sz="4" w:space="0" w:color="auto"/>
              <w:left w:val="single" w:sz="4" w:space="0" w:color="auto"/>
              <w:bottom w:val="single" w:sz="4" w:space="0" w:color="auto"/>
              <w:right w:val="single" w:sz="4" w:space="0" w:color="auto"/>
            </w:tcBorders>
            <w:vAlign w:val="center"/>
          </w:tcPr>
          <w:p w14:paraId="0E3A8D08">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721762BC">
            <w:pPr>
              <w:jc w:val="center"/>
              <w:rPr>
                <w:rFonts w:ascii="宋体" w:hAnsi="宋体"/>
              </w:rPr>
            </w:pPr>
          </w:p>
        </w:tc>
      </w:tr>
    </w:tbl>
    <w:p w14:paraId="074E2C15">
      <w:pPr>
        <w:rPr>
          <w:rFonts w:ascii="宋体" w:hAnsi="宋体"/>
          <w:kern w:val="2"/>
          <w:szCs w:val="22"/>
        </w:rPr>
      </w:pPr>
    </w:p>
    <w:p w14:paraId="09D9DB63">
      <w:pPr>
        <w:pStyle w:val="Heading10"/>
        <w:jc w:val="center"/>
        <w:rPr>
          <w:rFonts w:ascii="宋体" w:hAnsi="宋体"/>
          <w:b w:val="0"/>
          <w:lang w:eastAsia="zh-CN"/>
        </w:rPr>
      </w:pPr>
      <w:r>
        <w:rPr>
          <w:rFonts w:asciiTheme="minorHAnsi" w:hAnsiTheme="minorHAnsi" w:cstheme="minorBidi" w:hint="eastAsia"/>
          <w:lang w:eastAsia="zh-CN"/>
        </w:rPr>
        <w:br w:type="page"/>
      </w:r>
      <w:r>
        <w:rPr>
          <w:rFonts w:ascii="宋体" w:hAnsi="宋体" w:hint="eastAsia"/>
          <w:sz w:val="32"/>
          <w:szCs w:val="32"/>
          <w:lang w:eastAsia="zh-CN"/>
        </w:rPr>
        <w:t>第四章 合同条款及格式</w:t>
      </w:r>
    </w:p>
    <w:p w14:paraId="213A3F3D">
      <w:pPr>
        <w:spacing w:line="36" w:lineRule="auto"/>
        <w:rPr>
          <w:rFonts w:ascii="宋体" w:hAnsi="宋体"/>
          <w:sz w:val="26"/>
          <w:lang w:eastAsia="zh-CN"/>
        </w:rPr>
      </w:pPr>
    </w:p>
    <w:p w14:paraId="282FBAF9">
      <w:pPr>
        <w:spacing w:line="36" w:lineRule="auto"/>
        <w:rPr>
          <w:rFonts w:ascii="宋体" w:hAnsi="宋体"/>
          <w:sz w:val="32"/>
          <w:szCs w:val="32"/>
          <w:lang w:eastAsia="zh-CN"/>
        </w:rPr>
      </w:pPr>
      <w:sdt>
        <w:sdtPr>
          <w:rPr>
            <w:rFonts w:ascii="宋体" w:hAnsi="宋体" w:hint="eastAsia"/>
            <w:sz w:val="32"/>
            <w:szCs w:val="32"/>
            <w:lang w:eastAsia="zh-CN"/>
          </w:rPr>
          <w:id w:val="220955119"/>
          <w14:checkbox>
            <w14:checked w14:val="1"/>
            <w14:checkedState w14:val="2611" w14:font="MS Gothic"/>
            <w14:uncheckedState w14:val="2610" w14:font="MS Gothic"/>
          </w14:checkbox>
        </w:sdtPr>
        <w:sdtEndPr>
          <w:rPr>
            <w:rFonts w:ascii="宋体" w:hAnsi="宋体" w:hint="eastAsia"/>
            <w:sz w:val="32"/>
            <w:szCs w:val="32"/>
            <w:lang w:eastAsia="zh-CN"/>
          </w:rPr>
        </w:sdtEndPr>
        <w:sdtContent>
          <w:r>
            <w:rPr>
              <w:rFonts w:ascii="MS Gothic" w:eastAsia="MS Gothic" w:hAnsi="MS Gothic" w:cs="MS Gothic" w:hint="eastAsia"/>
              <w:sz w:val="32"/>
              <w:szCs w:val="32"/>
              <w:lang w:val="en-US" w:eastAsia="zh-CN" w:bidi="ar-SA"/>
            </w:rPr>
            <w:t>☑</w:t>
          </w:r>
        </w:sdtContent>
      </w:sdt>
      <w:r>
        <w:rPr>
          <w:rFonts w:ascii="宋体" w:hAnsi="宋体" w:hint="eastAsia"/>
          <w:sz w:val="32"/>
          <w:szCs w:val="32"/>
          <w:lang w:eastAsia="zh-CN"/>
        </w:rPr>
        <w:t>适用于房屋建筑和市政工程</w:t>
      </w:r>
    </w:p>
    <w:p w14:paraId="3B571A95">
      <w:pPr>
        <w:spacing w:line="36" w:lineRule="auto"/>
        <w:jc w:val="right"/>
        <w:rPr>
          <w:rFonts w:ascii="宋体" w:hAnsi="宋体"/>
          <w:sz w:val="26"/>
          <w:szCs w:val="22"/>
          <w:lang w:eastAsia="zh-CN"/>
        </w:rPr>
      </w:pPr>
      <w:r>
        <w:rPr>
          <w:rFonts w:ascii="宋体" w:hAnsi="宋体" w:cs="宋体" w:hint="eastAsia"/>
          <w:b/>
          <w:bCs/>
          <w:sz w:val="32"/>
          <w:szCs w:val="28"/>
          <w:lang w:eastAsia="zh-CN"/>
        </w:rPr>
        <w:t>合同编号：</w:t>
      </w:r>
      <w:r>
        <w:rPr>
          <w:rFonts w:ascii="宋体" w:hAnsi="宋体" w:cs="宋体" w:hint="eastAsia"/>
          <w:b/>
          <w:bCs/>
          <w:color w:val="00B0F0"/>
          <w:sz w:val="32"/>
          <w:szCs w:val="28"/>
          <w:lang w:eastAsia="zh-CN"/>
        </w:rPr>
        <w:t>____________</w:t>
      </w:r>
    </w:p>
    <w:p w14:paraId="4DB5FDF0">
      <w:pPr>
        <w:spacing w:line="36" w:lineRule="auto"/>
        <w:rPr>
          <w:rFonts w:ascii="宋体" w:hAnsi="宋体"/>
          <w:sz w:val="26"/>
          <w:lang w:eastAsia="zh-CN"/>
        </w:rPr>
      </w:pPr>
    </w:p>
    <w:p w14:paraId="047D7711">
      <w:pPr>
        <w:spacing w:line="36" w:lineRule="auto"/>
        <w:rPr>
          <w:rFonts w:ascii="宋体" w:hAnsi="宋体"/>
          <w:sz w:val="26"/>
          <w:lang w:eastAsia="zh-CN"/>
        </w:rPr>
      </w:pPr>
    </w:p>
    <w:p w14:paraId="7B6575FF">
      <w:pPr>
        <w:jc w:val="center"/>
        <w:rPr>
          <w:rFonts w:ascii="华文中宋" w:eastAsia="华文中宋" w:hAnsi="华文中宋"/>
          <w:b/>
          <w:color w:val="000000"/>
          <w:sz w:val="52"/>
          <w:szCs w:val="52"/>
          <w:lang w:eastAsia="zh-CN"/>
        </w:rPr>
      </w:pPr>
      <w:r>
        <w:rPr>
          <w:rFonts w:ascii="华文中宋" w:eastAsia="华文中宋" w:hAnsi="华文中宋" w:hint="eastAsia"/>
          <w:b/>
          <w:color w:val="000000"/>
          <w:sz w:val="52"/>
          <w:szCs w:val="52"/>
          <w:lang w:eastAsia="zh-CN"/>
        </w:rPr>
        <w:t>建设工程施工合同</w:t>
      </w:r>
    </w:p>
    <w:p w14:paraId="44865A8A">
      <w:pPr>
        <w:jc w:val="center"/>
        <w:rPr>
          <w:rFonts w:ascii="华文中宋" w:eastAsia="华文中宋" w:hAnsi="华文中宋"/>
          <w:b/>
          <w:color w:val="000000"/>
          <w:sz w:val="52"/>
          <w:szCs w:val="52"/>
          <w:lang w:eastAsia="zh-CN"/>
        </w:rPr>
      </w:pPr>
      <w:r>
        <w:rPr>
          <w:rFonts w:ascii="仿宋" w:eastAsia="仿宋" w:hAnsi="仿宋" w:hint="eastAsia"/>
          <w:b/>
          <w:color w:val="000000"/>
          <w:sz w:val="48"/>
          <w:szCs w:val="48"/>
          <w:lang w:eastAsia="zh-CN"/>
        </w:rPr>
        <w:t>（GF—2017—0201）</w:t>
      </w:r>
    </w:p>
    <w:p w14:paraId="3A042815">
      <w:pPr>
        <w:jc w:val="center"/>
        <w:rPr>
          <w:rFonts w:eastAsia="华文中宋"/>
          <w:b/>
          <w:color w:val="000000"/>
          <w:sz w:val="52"/>
          <w:szCs w:val="52"/>
          <w:lang w:eastAsia="zh-CN"/>
        </w:rPr>
      </w:pPr>
    </w:p>
    <w:p w14:paraId="375C4939">
      <w:pPr>
        <w:jc w:val="center"/>
        <w:rPr>
          <w:rFonts w:eastAsia="黑体"/>
          <w:b/>
          <w:color w:val="000000"/>
          <w:sz w:val="72"/>
          <w:szCs w:val="72"/>
          <w:lang w:eastAsia="zh-CN"/>
        </w:rPr>
      </w:pPr>
    </w:p>
    <w:p w14:paraId="217D52DB">
      <w:pPr>
        <w:jc w:val="center"/>
        <w:rPr>
          <w:rFonts w:eastAsia="楷体_GB2312"/>
          <w:b/>
          <w:color w:val="000000"/>
          <w:sz w:val="72"/>
          <w:szCs w:val="72"/>
          <w:lang w:eastAsia="zh-CN"/>
        </w:rPr>
      </w:pPr>
    </w:p>
    <w:p w14:paraId="0068F364">
      <w:pPr>
        <w:jc w:val="center"/>
        <w:rPr>
          <w:rFonts w:eastAsia="黑体"/>
          <w:b/>
          <w:color w:val="000000"/>
          <w:sz w:val="52"/>
          <w:szCs w:val="52"/>
          <w:lang w:eastAsia="zh-CN"/>
        </w:rPr>
      </w:pPr>
    </w:p>
    <w:p w14:paraId="628802A8">
      <w:pPr>
        <w:rPr>
          <w:rFonts w:eastAsia="宋体"/>
          <w:b/>
          <w:color w:val="000000"/>
          <w:sz w:val="28"/>
          <w:szCs w:val="28"/>
          <w:lang w:eastAsia="zh-CN"/>
        </w:rPr>
      </w:pPr>
    </w:p>
    <w:p w14:paraId="55EC7F64">
      <w:pPr>
        <w:rPr>
          <w:b/>
          <w:color w:val="000000"/>
          <w:sz w:val="28"/>
          <w:szCs w:val="28"/>
          <w:lang w:eastAsia="zh-CN"/>
        </w:rPr>
      </w:pPr>
    </w:p>
    <w:p w14:paraId="65154397">
      <w:pPr>
        <w:rPr>
          <w:b/>
          <w:color w:val="000000"/>
          <w:sz w:val="28"/>
          <w:szCs w:val="28"/>
          <w:lang w:eastAsia="zh-CN"/>
        </w:rPr>
      </w:pPr>
    </w:p>
    <w:p w14:paraId="47C6DB12">
      <w:pPr>
        <w:rPr>
          <w:b/>
          <w:color w:val="000000"/>
          <w:sz w:val="28"/>
          <w:szCs w:val="28"/>
          <w:lang w:eastAsia="zh-CN"/>
        </w:rPr>
      </w:pPr>
    </w:p>
    <w:p w14:paraId="0A34901A">
      <w:pPr>
        <w:ind w:right="3108" w:rightChars="1295"/>
        <w:jc w:val="right"/>
        <w:rPr>
          <w:b/>
          <w:color w:val="000000"/>
          <w:sz w:val="32"/>
          <w:szCs w:val="28"/>
          <w:lang w:eastAsia="zh-CN"/>
        </w:rPr>
      </w:pPr>
      <w:r>
        <w:rPr>
          <w:rFonts w:ascii="Calibri" w:hAnsi="Calibri"/>
          <w:sz w:val="21"/>
          <w:szCs w:val="22"/>
        </w:rPr>
        <mc:AlternateContent>
          <mc:Choice Requires="wps">
            <w:drawing>
              <wp:anchor distT="0" distB="0" distL="114300" distR="114300" simplePos="0" relativeHeight="251672576" behindDoc="0" locked="0" layoutInCell="1" allowOverlap="1">
                <wp:simplePos x="0" y="0"/>
                <wp:positionH relativeFrom="column">
                  <wp:posOffset>3760470</wp:posOffset>
                </wp:positionH>
                <wp:positionV relativeFrom="paragraph">
                  <wp:posOffset>148590</wp:posOffset>
                </wp:positionV>
                <wp:extent cx="723900" cy="457200"/>
                <wp:effectExtent l="7620" t="5715" r="11430" b="13335"/>
                <wp:wrapNone/>
                <wp:docPr id="11" name="文本框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3900" cy="457200"/>
                        </a:xfrm>
                        <a:prstGeom prst="rect">
                          <a:avLst/>
                        </a:prstGeom>
                        <a:noFill/>
                        <a:ln w="9525">
                          <a:solidFill>
                            <a:srgbClr val="FFFFFF"/>
                          </a:solidFill>
                          <a:miter lim="800000"/>
                        </a:ln>
                      </wps:spPr>
                      <wps:txbx>
                        <w:txbxContent>
                          <w:p>
                            <w:pPr>
                              <w:rPr>
                                <w:b/>
                                <w:bCs/>
                                <w:sz w:val="32"/>
                                <w:lang w:eastAsia="zh-CN"/>
                              </w:rPr>
                            </w:pPr>
                            <w:r>
                              <w:rPr>
                                <w:rFonts w:hint="eastAsia"/>
                                <w:b/>
                                <w:bCs/>
                                <w:sz w:val="32"/>
                                <w:lang w:eastAsia="zh-CN"/>
                              </w:rPr>
                              <w:t>制定</w:t>
                            </w:r>
                          </w:p>
                        </w:txbxContent>
                      </wps:txbx>
                      <wps:bodyPr rot="0" vert="horz" wrap="square" anchor="t" anchorCtr="0" upright="1"/>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57pt;height:36pt;margin-top:11.7pt;margin-left:296.1pt;mso-height-relative:page;mso-width-relative:page;position:absolute;z-index:251673600" coordsize="21600,21600" filled="f" stroked="t" strokecolor="white">
                <v:stroke joinstyle="miter"/>
                <o:lock v:ext="edit" aspectratio="f"/>
                <v:textbox>
                  <w:txbxContent>
                    <w:p w14:paraId="77A797BB">
                      <w:pPr>
                        <w:rPr>
                          <w:b/>
                          <w:bCs/>
                          <w:sz w:val="32"/>
                          <w:lang w:eastAsia="zh-CN"/>
                        </w:rPr>
                      </w:pPr>
                      <w:r>
                        <w:rPr>
                          <w:rFonts w:hint="eastAsia"/>
                          <w:b/>
                          <w:bCs/>
                          <w:sz w:val="32"/>
                          <w:lang w:eastAsia="zh-CN"/>
                        </w:rPr>
                        <w:t>制定</w:t>
                      </w:r>
                    </w:p>
                  </w:txbxContent>
                </v:textbox>
              </v:shape>
            </w:pict>
          </mc:Fallback>
        </mc:AlternateContent>
      </w:r>
      <w:r>
        <w:rPr>
          <w:rFonts w:hint="eastAsia"/>
          <w:b/>
          <w:color w:val="000000"/>
          <w:sz w:val="32"/>
          <w:szCs w:val="28"/>
          <w:lang w:eastAsia="zh-CN"/>
        </w:rPr>
        <w:t>住</w:t>
      </w:r>
      <w:r>
        <w:rPr>
          <w:b/>
          <w:color w:val="000000"/>
          <w:sz w:val="32"/>
          <w:szCs w:val="28"/>
          <w:lang w:eastAsia="zh-CN"/>
        </w:rPr>
        <w:t xml:space="preserve"> </w:t>
      </w:r>
      <w:r>
        <w:rPr>
          <w:rFonts w:hint="eastAsia"/>
          <w:b/>
          <w:color w:val="000000"/>
          <w:sz w:val="32"/>
          <w:szCs w:val="28"/>
          <w:lang w:eastAsia="zh-CN"/>
        </w:rPr>
        <w:t>房</w:t>
      </w:r>
      <w:r>
        <w:rPr>
          <w:b/>
          <w:color w:val="000000"/>
          <w:sz w:val="32"/>
          <w:szCs w:val="28"/>
          <w:lang w:eastAsia="zh-CN"/>
        </w:rPr>
        <w:t xml:space="preserve"> </w:t>
      </w:r>
      <w:r>
        <w:rPr>
          <w:rFonts w:hint="eastAsia"/>
          <w:b/>
          <w:color w:val="000000"/>
          <w:sz w:val="32"/>
          <w:szCs w:val="28"/>
          <w:lang w:eastAsia="zh-CN"/>
        </w:rPr>
        <w:t>城</w:t>
      </w:r>
      <w:r>
        <w:rPr>
          <w:b/>
          <w:color w:val="000000"/>
          <w:sz w:val="32"/>
          <w:szCs w:val="28"/>
          <w:lang w:eastAsia="zh-CN"/>
        </w:rPr>
        <w:t xml:space="preserve"> </w:t>
      </w:r>
      <w:r>
        <w:rPr>
          <w:rFonts w:hint="eastAsia"/>
          <w:b/>
          <w:color w:val="000000"/>
          <w:sz w:val="32"/>
          <w:szCs w:val="28"/>
          <w:lang w:eastAsia="zh-CN"/>
        </w:rPr>
        <w:t>乡</w:t>
      </w:r>
      <w:r>
        <w:rPr>
          <w:b/>
          <w:color w:val="000000"/>
          <w:sz w:val="32"/>
          <w:szCs w:val="28"/>
          <w:lang w:eastAsia="zh-CN"/>
        </w:rPr>
        <w:t xml:space="preserve"> </w:t>
      </w:r>
      <w:r>
        <w:rPr>
          <w:rFonts w:hint="eastAsia"/>
          <w:b/>
          <w:color w:val="000000"/>
          <w:sz w:val="32"/>
          <w:szCs w:val="28"/>
          <w:lang w:eastAsia="zh-CN"/>
        </w:rPr>
        <w:t>建</w:t>
      </w:r>
      <w:r>
        <w:rPr>
          <w:b/>
          <w:color w:val="000000"/>
          <w:sz w:val="32"/>
          <w:szCs w:val="28"/>
          <w:lang w:eastAsia="zh-CN"/>
        </w:rPr>
        <w:t xml:space="preserve"> </w:t>
      </w:r>
      <w:r>
        <w:rPr>
          <w:rFonts w:hint="eastAsia"/>
          <w:b/>
          <w:color w:val="000000"/>
          <w:sz w:val="32"/>
          <w:szCs w:val="28"/>
          <w:lang w:eastAsia="zh-CN"/>
        </w:rPr>
        <w:t>设</w:t>
      </w:r>
      <w:r>
        <w:rPr>
          <w:b/>
          <w:color w:val="000000"/>
          <w:sz w:val="32"/>
          <w:szCs w:val="28"/>
          <w:lang w:eastAsia="zh-CN"/>
        </w:rPr>
        <w:t xml:space="preserve"> </w:t>
      </w:r>
      <w:r>
        <w:rPr>
          <w:rFonts w:hint="eastAsia"/>
          <w:b/>
          <w:color w:val="000000"/>
          <w:sz w:val="32"/>
          <w:szCs w:val="28"/>
          <w:lang w:eastAsia="zh-CN"/>
        </w:rPr>
        <w:t>部</w:t>
      </w:r>
    </w:p>
    <w:p w14:paraId="33F72B69">
      <w:pPr>
        <w:ind w:right="3108" w:rightChars="1295"/>
        <w:jc w:val="right"/>
        <w:rPr>
          <w:b/>
          <w:color w:val="000000"/>
          <w:sz w:val="32"/>
          <w:szCs w:val="28"/>
          <w:lang w:eastAsia="zh-CN"/>
        </w:rPr>
      </w:pPr>
      <w:r>
        <w:rPr>
          <w:rFonts w:hint="eastAsia"/>
          <w:b/>
          <w:color w:val="000000"/>
          <w:sz w:val="32"/>
          <w:szCs w:val="28"/>
          <w:lang w:eastAsia="zh-CN"/>
        </w:rPr>
        <w:t>国家工商行政管理总局</w:t>
      </w:r>
    </w:p>
    <w:p w14:paraId="6FB5CC75">
      <w:pPr>
        <w:rPr>
          <w:b/>
          <w:color w:val="000000"/>
          <w:sz w:val="21"/>
          <w:szCs w:val="22"/>
          <w:lang w:eastAsia="zh-CN"/>
        </w:rPr>
      </w:pPr>
    </w:p>
    <w:p w14:paraId="5DABC853">
      <w:pPr>
        <w:rPr>
          <w:rFonts w:ascii="宋体" w:hAnsi="宋体"/>
          <w:sz w:val="26"/>
          <w:lang w:eastAsia="zh-CN"/>
        </w:rPr>
      </w:pPr>
      <w:r>
        <w:rPr>
          <w:b/>
          <w:color w:val="000000"/>
          <w:lang w:eastAsia="zh-CN"/>
        </w:rPr>
        <w:br w:type="page"/>
      </w:r>
    </w:p>
    <w:p w14:paraId="7478A442">
      <w:pPr>
        <w:spacing w:line="36" w:lineRule="auto"/>
        <w:rPr>
          <w:rFonts w:ascii="宋体" w:hAnsi="宋体"/>
          <w:sz w:val="26"/>
          <w:lang w:eastAsia="zh-CN"/>
        </w:rPr>
      </w:pPr>
    </w:p>
    <w:p w14:paraId="3DB18BBC">
      <w:pPr>
        <w:pStyle w:val="Heading2"/>
        <w:spacing w:line="36" w:lineRule="auto"/>
        <w:jc w:val="center"/>
        <w:rPr>
          <w:rFonts w:ascii="宋体" w:hAnsi="宋体"/>
          <w:sz w:val="32"/>
        </w:rPr>
      </w:pPr>
      <w:bookmarkStart w:id="92" w:name="_Toc256000082"/>
      <w:r>
        <w:rPr>
          <w:rFonts w:ascii="宋体" w:hAnsi="宋体" w:hint="eastAsia"/>
          <w:sz w:val="32"/>
        </w:rPr>
        <w:t>第一部分 合同协议书</w:t>
      </w:r>
      <w:bookmarkEnd w:id="92"/>
    </w:p>
    <w:p w14:paraId="2B591FE8">
      <w:pPr>
        <w:spacing w:line="36" w:lineRule="auto"/>
        <w:rPr>
          <w:rFonts w:ascii="宋体" w:hAnsi="宋体"/>
          <w:sz w:val="26"/>
          <w:lang w:eastAsia="zh-CN"/>
        </w:rPr>
      </w:pPr>
    </w:p>
    <w:p w14:paraId="20C468A4">
      <w:pPr>
        <w:spacing w:line="360" w:lineRule="auto"/>
        <w:rPr>
          <w:rFonts w:ascii="宋体" w:hAnsi="宋体"/>
          <w:b/>
          <w:u w:val="single"/>
          <w:lang w:eastAsia="zh-CN"/>
        </w:rPr>
      </w:pPr>
      <w:r>
        <w:rPr>
          <w:rFonts w:ascii="宋体" w:hAnsi="宋体" w:hint="eastAsia"/>
          <w:b/>
          <w:lang w:eastAsia="zh-CN"/>
        </w:rPr>
        <w:t>发包人（全称）：</w:t>
      </w:r>
      <w:r>
        <w:rPr>
          <w:rFonts w:ascii="宋体" w:hAnsi="宋体"/>
          <w:b/>
          <w:color w:val="00B0F0"/>
          <w:u w:val="single"/>
        </w:rPr>
        <w:sym w:font="宋体" w:char="F5E5"/>
      </w:r>
      <w:r>
        <w:rPr>
          <w:rFonts w:ascii="宋体" w:hAnsi="宋体"/>
          <w:b/>
          <w:color w:val="00B0F0"/>
          <w:u w:val="single"/>
        </w:rPr>
        <w:sym w:font="宋体" w:char="F5E5"/>
      </w:r>
      <w:r>
        <w:rPr>
          <w:rFonts w:ascii="宋体" w:hAnsi="宋体"/>
          <w:b/>
          <w:color w:val="00B0F0"/>
          <w:u w:val="single"/>
        </w:rPr>
        <w:sym w:font="宋体" w:char="F5E5"/>
      </w:r>
      <w:r>
        <w:rPr>
          <w:rFonts w:ascii="宋体" w:hAnsi="宋体"/>
          <w:b/>
          <w:color w:val="00B0F0"/>
          <w:u w:val="single"/>
        </w:rPr>
        <w:sym w:font="宋体" w:char="F5E5"/>
      </w:r>
      <w:r>
        <w:rPr>
          <w:rFonts w:ascii="宋体" w:hAnsi="宋体" w:hint="eastAsia"/>
          <w:b/>
          <w:color w:val="00B0F0"/>
          <w:u w:val="single"/>
          <w:lang w:eastAsia="zh-CN"/>
        </w:rPr>
        <w:t xml:space="preserve">                    </w:t>
      </w:r>
      <w:r>
        <w:rPr>
          <w:rFonts w:ascii="宋体" w:hAnsi="宋体"/>
          <w:b/>
          <w:color w:val="00B0F0"/>
          <w:u w:val="single"/>
        </w:rPr>
        <w:sym w:font="宋体" w:char="F5E5"/>
      </w:r>
      <w:r>
        <w:rPr>
          <w:rFonts w:ascii="宋体" w:hAnsi="宋体" w:hint="eastAsia"/>
          <w:b/>
          <w:color w:val="00B0F0"/>
          <w:u w:val="single"/>
          <w:lang w:eastAsia="zh-CN"/>
        </w:rPr>
        <w:t xml:space="preserve">  </w:t>
      </w:r>
      <w:r>
        <w:rPr>
          <w:rFonts w:ascii="宋体" w:hAnsi="宋体"/>
          <w:b/>
          <w:color w:val="00B0F0"/>
          <w:u w:val="single"/>
        </w:rPr>
        <w:sym w:font="宋体" w:char="F5E5"/>
      </w:r>
    </w:p>
    <w:p w14:paraId="3D8149C5">
      <w:pPr>
        <w:spacing w:line="360" w:lineRule="auto"/>
        <w:rPr>
          <w:rFonts w:ascii="宋体" w:hAnsi="宋体"/>
          <w:b/>
          <w:u w:val="single"/>
          <w:lang w:eastAsia="zh-CN"/>
        </w:rPr>
      </w:pPr>
      <w:r>
        <w:rPr>
          <w:rFonts w:ascii="宋体" w:hAnsi="宋体" w:hint="eastAsia"/>
          <w:b/>
          <w:lang w:eastAsia="zh-CN"/>
        </w:rPr>
        <w:t>承包人（全称）：</w:t>
      </w:r>
      <w:r>
        <w:rPr>
          <w:rFonts w:ascii="宋体" w:hAnsi="宋体"/>
          <w:b/>
          <w:color w:val="00B0F0"/>
          <w:u w:val="single"/>
        </w:rPr>
        <w:sym w:font="宋体" w:char="F5E5"/>
      </w:r>
      <w:r>
        <w:rPr>
          <w:rFonts w:ascii="宋体" w:hAnsi="宋体"/>
          <w:b/>
          <w:color w:val="00B0F0"/>
          <w:u w:val="single"/>
        </w:rPr>
        <w:sym w:font="宋体" w:char="F5E5"/>
      </w:r>
      <w:r>
        <w:rPr>
          <w:rFonts w:ascii="宋体" w:hAnsi="宋体"/>
          <w:b/>
          <w:color w:val="00B0F0"/>
          <w:u w:val="single"/>
        </w:rPr>
        <w:sym w:font="宋体" w:char="F5E5"/>
      </w:r>
      <w:r>
        <w:rPr>
          <w:rFonts w:ascii="宋体" w:hAnsi="宋体"/>
          <w:b/>
          <w:color w:val="00B0F0"/>
          <w:u w:val="single"/>
        </w:rPr>
        <w:sym w:font="宋体" w:char="F5E5"/>
      </w:r>
      <w:r>
        <w:rPr>
          <w:rFonts w:ascii="宋体" w:hAnsi="宋体" w:hint="eastAsia"/>
          <w:b/>
          <w:color w:val="00B0F0"/>
          <w:u w:val="single"/>
          <w:lang w:eastAsia="zh-CN"/>
        </w:rPr>
        <w:t xml:space="preserve">                    </w:t>
      </w:r>
      <w:r>
        <w:rPr>
          <w:rFonts w:ascii="宋体" w:hAnsi="宋体"/>
          <w:b/>
          <w:color w:val="00B0F0"/>
          <w:u w:val="single"/>
        </w:rPr>
        <w:sym w:font="宋体" w:char="F5E5"/>
      </w:r>
      <w:r>
        <w:rPr>
          <w:rFonts w:ascii="宋体" w:hAnsi="宋体" w:hint="eastAsia"/>
          <w:b/>
          <w:color w:val="00B0F0"/>
          <w:u w:val="single"/>
          <w:lang w:eastAsia="zh-CN"/>
        </w:rPr>
        <w:t xml:space="preserve">  </w:t>
      </w:r>
      <w:r>
        <w:rPr>
          <w:rFonts w:ascii="宋体" w:hAnsi="宋体"/>
          <w:b/>
          <w:color w:val="00B0F0"/>
          <w:u w:val="single"/>
        </w:rPr>
        <w:sym w:font="宋体" w:char="F5E5"/>
      </w:r>
    </w:p>
    <w:p w14:paraId="0A090F53">
      <w:pPr>
        <w:spacing w:line="360" w:lineRule="auto"/>
        <w:rPr>
          <w:rFonts w:ascii="宋体" w:hAnsi="宋体"/>
          <w:lang w:eastAsia="zh-CN"/>
        </w:rPr>
      </w:pPr>
      <w:r>
        <w:rPr>
          <w:rFonts w:ascii="宋体" w:hAnsi="宋体" w:hint="eastAsia"/>
          <w:lang w:eastAsia="zh-CN"/>
        </w:rPr>
        <w:t>根据《中华人民共和国合同法》、《中华人民共和国建筑法》及有关法律规定，遵循平等、自愿、公平和诚实信用的原则，双方就</w:t>
      </w:r>
      <w:r>
        <w:rPr>
          <w:rFonts w:ascii="宋体" w:hAnsi="宋体" w:hint="eastAsia"/>
          <w:color w:val="00B0F0"/>
          <w:u w:val="single"/>
          <w:lang w:eastAsia="zh-CN"/>
        </w:rPr>
        <w:t xml:space="preserve">                       </w:t>
      </w:r>
      <w:r>
        <w:rPr>
          <w:rFonts w:ascii="宋体" w:hAnsi="宋体" w:hint="eastAsia"/>
          <w:lang w:eastAsia="zh-CN"/>
        </w:rPr>
        <w:t>工程施工及有关事项协商一致，共同达成如下协议：</w:t>
      </w:r>
    </w:p>
    <w:p w14:paraId="22A5A5BF">
      <w:pPr>
        <w:spacing w:line="360" w:lineRule="auto"/>
        <w:rPr>
          <w:rFonts w:ascii="宋体" w:hAnsi="宋体"/>
          <w:b/>
          <w:lang w:eastAsia="zh-CN"/>
        </w:rPr>
      </w:pPr>
      <w:r>
        <w:rPr>
          <w:rFonts w:ascii="宋体" w:hAnsi="宋体" w:hint="eastAsia"/>
          <w:b/>
          <w:lang w:eastAsia="zh-CN"/>
        </w:rPr>
        <w:t xml:space="preserve">   </w:t>
      </w:r>
      <w:r>
        <w:rPr>
          <w:rFonts w:ascii="宋体" w:hAnsi="宋体" w:hint="eastAsia"/>
          <w:bCs/>
          <w:lang w:eastAsia="zh-CN"/>
        </w:rPr>
        <w:t xml:space="preserve"> </w:t>
      </w:r>
      <w:bookmarkStart w:id="93" w:name="_Toc351203481"/>
      <w:r>
        <w:rPr>
          <w:rFonts w:ascii="宋体" w:hAnsi="宋体" w:hint="eastAsia"/>
          <w:bCs/>
          <w:lang w:eastAsia="zh-CN"/>
        </w:rPr>
        <w:t>一、工程概况</w:t>
      </w:r>
      <w:bookmarkEnd w:id="93"/>
    </w:p>
    <w:p w14:paraId="6059248B">
      <w:pPr>
        <w:spacing w:line="360" w:lineRule="auto"/>
        <w:rPr>
          <w:rFonts w:ascii="宋体" w:hAnsi="宋体"/>
          <w:u w:val="single"/>
          <w:lang w:eastAsia="zh-CN"/>
        </w:rPr>
      </w:pPr>
      <w:r>
        <w:rPr>
          <w:rFonts w:ascii="宋体" w:hAnsi="宋体" w:hint="eastAsia"/>
          <w:bCs/>
          <w:lang w:eastAsia="zh-CN"/>
        </w:rPr>
        <w:t>1.工程名称</w:t>
      </w:r>
      <w:r>
        <w:rPr>
          <w:rFonts w:ascii="宋体" w:hAnsi="宋体" w:hint="eastAsia"/>
          <w:lang w:eastAsia="zh-CN"/>
        </w:rPr>
        <w:t>：</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hint="eastAsia"/>
          <w:lang w:eastAsia="zh-CN"/>
        </w:rPr>
        <w:t>。</w:t>
      </w:r>
    </w:p>
    <w:p w14:paraId="622E10CE">
      <w:pPr>
        <w:spacing w:line="360" w:lineRule="auto"/>
        <w:rPr>
          <w:rFonts w:ascii="宋体" w:hAnsi="宋体"/>
          <w:bCs/>
          <w:lang w:eastAsia="zh-CN"/>
        </w:rPr>
      </w:pPr>
      <w:r>
        <w:rPr>
          <w:rFonts w:ascii="宋体" w:hAnsi="宋体" w:hint="eastAsia"/>
          <w:bCs/>
          <w:lang w:eastAsia="zh-CN"/>
        </w:rPr>
        <w:t>2.工程地点：</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hint="eastAsia"/>
          <w:lang w:eastAsia="zh-CN"/>
        </w:rPr>
        <w:t>。</w:t>
      </w:r>
    </w:p>
    <w:p w14:paraId="44AF0FAF">
      <w:pPr>
        <w:spacing w:line="360" w:lineRule="auto"/>
        <w:rPr>
          <w:rFonts w:ascii="宋体" w:hAnsi="宋体"/>
          <w:bCs/>
          <w:lang w:eastAsia="zh-CN"/>
        </w:rPr>
      </w:pPr>
      <w:r>
        <w:rPr>
          <w:rFonts w:ascii="宋体" w:hAnsi="宋体" w:hint="eastAsia"/>
          <w:bCs/>
          <w:lang w:eastAsia="zh-CN"/>
        </w:rPr>
        <w:t>3.工程立项批准文号：</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hint="eastAsia"/>
          <w:bCs/>
          <w:lang w:eastAsia="zh-CN"/>
        </w:rPr>
        <w:t>。</w:t>
      </w:r>
    </w:p>
    <w:p w14:paraId="323DDEDE">
      <w:pPr>
        <w:spacing w:line="360" w:lineRule="auto"/>
        <w:rPr>
          <w:rFonts w:ascii="宋体" w:hAnsi="宋体"/>
          <w:bCs/>
          <w:lang w:eastAsia="zh-CN"/>
        </w:rPr>
      </w:pPr>
      <w:r>
        <w:rPr>
          <w:rFonts w:ascii="宋体" w:hAnsi="宋体" w:hint="eastAsia"/>
          <w:bCs/>
          <w:lang w:eastAsia="zh-CN"/>
        </w:rPr>
        <w:t>4.资金来源：</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hint="eastAsia"/>
          <w:bCs/>
          <w:lang w:eastAsia="zh-CN"/>
        </w:rPr>
        <w:t>。</w:t>
      </w:r>
    </w:p>
    <w:p w14:paraId="6C949A45">
      <w:pPr>
        <w:spacing w:line="360" w:lineRule="auto"/>
        <w:rPr>
          <w:rFonts w:ascii="宋体" w:hAnsi="宋体"/>
          <w:bCs/>
          <w:lang w:eastAsia="zh-CN"/>
        </w:rPr>
      </w:pPr>
      <w:r>
        <w:rPr>
          <w:rFonts w:ascii="宋体" w:hAnsi="宋体" w:hint="eastAsia"/>
          <w:bCs/>
          <w:lang w:eastAsia="zh-CN"/>
        </w:rPr>
        <w:t>5.工程内容：</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hint="eastAsia"/>
          <w:bCs/>
          <w:lang w:eastAsia="zh-CN"/>
        </w:rPr>
        <w:t>。</w:t>
      </w:r>
    </w:p>
    <w:p w14:paraId="019E7221">
      <w:pPr>
        <w:spacing w:line="360" w:lineRule="auto"/>
        <w:rPr>
          <w:rFonts w:ascii="宋体" w:hAnsi="宋体"/>
          <w:bCs/>
          <w:lang w:eastAsia="zh-CN"/>
        </w:rPr>
      </w:pPr>
      <w:r>
        <w:rPr>
          <w:rFonts w:ascii="宋体" w:hAnsi="宋体" w:hint="eastAsia"/>
          <w:lang w:eastAsia="zh-CN"/>
        </w:rPr>
        <w:t>群体工程应附《承包人承揽工程项目一览表》（附件1）。</w:t>
      </w:r>
    </w:p>
    <w:p w14:paraId="584C2F58">
      <w:pPr>
        <w:spacing w:line="360" w:lineRule="auto"/>
        <w:rPr>
          <w:rFonts w:ascii="宋体" w:hAnsi="宋体"/>
          <w:bCs/>
          <w:lang w:eastAsia="zh-CN"/>
        </w:rPr>
      </w:pPr>
      <w:r>
        <w:rPr>
          <w:rFonts w:ascii="宋体" w:hAnsi="宋体" w:hint="eastAsia"/>
          <w:bCs/>
          <w:lang w:eastAsia="zh-CN"/>
        </w:rPr>
        <w:t>6.工程承包范围：</w:t>
      </w:r>
    </w:p>
    <w:p w14:paraId="4FD7F7B2">
      <w:pPr>
        <w:spacing w:line="360" w:lineRule="auto"/>
        <w:rPr>
          <w:rFonts w:ascii="宋体" w:hAnsi="宋体"/>
          <w:lang w:eastAsia="zh-CN"/>
        </w:rPr>
      </w:pP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r>
        <w:rPr>
          <w:rFonts w:ascii="宋体" w:hAnsi="宋体"/>
          <w:u w:val="single"/>
        </w:rPr>
        <w:sym w:font="宋体" w:char="F5E5"/>
      </w:r>
      <w:r>
        <w:rPr>
          <w:rFonts w:ascii="宋体" w:hAnsi="宋体"/>
          <w:u w:val="single"/>
        </w:rPr>
        <w:sym w:font="宋体" w:char="F5E5"/>
      </w:r>
      <w:r>
        <w:rPr>
          <w:rFonts w:ascii="宋体" w:hAnsi="宋体" w:hint="eastAsia"/>
          <w:lang w:eastAsia="zh-CN"/>
        </w:rPr>
        <w:t>。</w:t>
      </w:r>
    </w:p>
    <w:p w14:paraId="6F6AA4B7">
      <w:pPr>
        <w:spacing w:line="360" w:lineRule="auto"/>
        <w:rPr>
          <w:rFonts w:ascii="宋体" w:hAnsi="宋体"/>
          <w:bCs/>
          <w:lang w:eastAsia="zh-CN"/>
        </w:rPr>
      </w:pPr>
      <w:r>
        <w:rPr>
          <w:rFonts w:ascii="宋体" w:hAnsi="宋体" w:hint="eastAsia"/>
          <w:bCs/>
          <w:lang w:eastAsia="zh-CN"/>
        </w:rPr>
        <w:t xml:space="preserve">   </w:t>
      </w:r>
      <w:bookmarkStart w:id="94" w:name="_Toc351203482"/>
      <w:r>
        <w:rPr>
          <w:rFonts w:ascii="宋体" w:hAnsi="宋体" w:hint="eastAsia"/>
          <w:bCs/>
          <w:lang w:eastAsia="zh-CN"/>
        </w:rPr>
        <w:t>二、合同工期</w:t>
      </w:r>
      <w:bookmarkEnd w:id="94"/>
    </w:p>
    <w:p w14:paraId="293A4E77">
      <w:pPr>
        <w:spacing w:line="360" w:lineRule="auto"/>
        <w:rPr>
          <w:rFonts w:ascii="宋体" w:hAnsi="宋体"/>
          <w:lang w:eastAsia="zh-CN"/>
        </w:rPr>
      </w:pPr>
      <w:r>
        <w:rPr>
          <w:rFonts w:ascii="宋体" w:hAnsi="宋体" w:hint="eastAsia"/>
          <w:lang w:eastAsia="zh-CN"/>
        </w:rPr>
        <w:t>计划开工日期：</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年</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月</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日。</w:t>
      </w:r>
    </w:p>
    <w:p w14:paraId="4AF37C89">
      <w:pPr>
        <w:spacing w:line="360" w:lineRule="auto"/>
        <w:rPr>
          <w:rFonts w:ascii="宋体" w:hAnsi="宋体"/>
          <w:lang w:eastAsia="zh-CN"/>
        </w:rPr>
      </w:pPr>
      <w:r>
        <w:rPr>
          <w:rFonts w:ascii="宋体" w:hAnsi="宋体" w:hint="eastAsia"/>
          <w:lang w:eastAsia="zh-CN"/>
        </w:rPr>
        <w:t>计划竣工日期：</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年</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月</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日。</w:t>
      </w:r>
    </w:p>
    <w:p w14:paraId="2B5784CD">
      <w:pPr>
        <w:spacing w:line="360" w:lineRule="auto"/>
        <w:rPr>
          <w:rFonts w:ascii="宋体" w:hAnsi="宋体"/>
          <w:lang w:eastAsia="zh-CN"/>
        </w:rPr>
      </w:pPr>
      <w:r>
        <w:rPr>
          <w:rFonts w:ascii="宋体" w:hAnsi="宋体" w:hint="eastAsia"/>
          <w:lang w:eastAsia="zh-CN"/>
        </w:rPr>
        <w:t>工期总日历天数：</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天。工期总日历天数与根据前述计划开竣工日期计算的工期天数不一致的，以工期总日历天数为准。</w:t>
      </w:r>
    </w:p>
    <w:p w14:paraId="3F106BBA">
      <w:pPr>
        <w:spacing w:line="360" w:lineRule="auto"/>
        <w:rPr>
          <w:rFonts w:ascii="宋体" w:hAnsi="宋体"/>
          <w:b/>
          <w:lang w:eastAsia="zh-CN"/>
        </w:rPr>
      </w:pPr>
      <w:r>
        <w:rPr>
          <w:rFonts w:ascii="宋体" w:hAnsi="宋体" w:hint="eastAsia"/>
          <w:b/>
          <w:lang w:eastAsia="zh-CN"/>
        </w:rPr>
        <w:t xml:space="preserve">    </w:t>
      </w:r>
      <w:bookmarkStart w:id="95" w:name="_Toc351203483"/>
      <w:r>
        <w:rPr>
          <w:rFonts w:ascii="宋体" w:hAnsi="宋体" w:hint="eastAsia"/>
          <w:bCs/>
          <w:lang w:eastAsia="zh-CN"/>
        </w:rPr>
        <w:t>三、质量标准</w:t>
      </w:r>
      <w:bookmarkEnd w:id="95"/>
    </w:p>
    <w:p w14:paraId="2EAC2DAB">
      <w:pPr>
        <w:spacing w:line="360" w:lineRule="auto"/>
        <w:rPr>
          <w:rFonts w:ascii="宋体" w:hAnsi="宋体"/>
          <w:lang w:eastAsia="zh-CN"/>
        </w:rPr>
      </w:pPr>
      <w:r>
        <w:rPr>
          <w:rFonts w:ascii="宋体" w:hAnsi="宋体" w:hint="eastAsia"/>
          <w:lang w:eastAsia="zh-CN"/>
        </w:rPr>
        <w:t>工程质量符合</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标准。</w:t>
      </w:r>
    </w:p>
    <w:p w14:paraId="290A186E">
      <w:pPr>
        <w:spacing w:line="360" w:lineRule="auto"/>
        <w:rPr>
          <w:rFonts w:ascii="宋体" w:hAnsi="宋体"/>
          <w:b/>
          <w:lang w:eastAsia="zh-CN"/>
        </w:rPr>
      </w:pPr>
      <w:r>
        <w:rPr>
          <w:rFonts w:ascii="宋体" w:hAnsi="宋体" w:hint="eastAsia"/>
          <w:b/>
          <w:lang w:eastAsia="zh-CN"/>
        </w:rPr>
        <w:t xml:space="preserve">   </w:t>
      </w:r>
      <w:r>
        <w:rPr>
          <w:rFonts w:ascii="宋体" w:hAnsi="宋体" w:hint="eastAsia"/>
          <w:bCs/>
          <w:lang w:eastAsia="zh-CN"/>
        </w:rPr>
        <w:t xml:space="preserve"> </w:t>
      </w:r>
      <w:bookmarkStart w:id="96" w:name="_Toc351203484"/>
      <w:r>
        <w:rPr>
          <w:rFonts w:ascii="宋体" w:hAnsi="宋体" w:hint="eastAsia"/>
          <w:bCs/>
          <w:lang w:eastAsia="zh-CN"/>
        </w:rPr>
        <w:t>四、签约合同价与合同价格形式</w:t>
      </w:r>
      <w:bookmarkEnd w:id="96"/>
      <w:r>
        <w:rPr>
          <w:rFonts w:ascii="宋体" w:hAnsi="宋体" w:hint="eastAsia"/>
          <w:bCs/>
          <w:lang w:eastAsia="zh-CN"/>
        </w:rPr>
        <w:tab/>
      </w:r>
    </w:p>
    <w:p w14:paraId="261B392D">
      <w:pPr>
        <w:spacing w:line="360" w:lineRule="auto"/>
        <w:rPr>
          <w:rFonts w:ascii="宋体" w:hAnsi="宋体"/>
          <w:lang w:eastAsia="zh-CN"/>
        </w:rPr>
      </w:pPr>
      <w:r>
        <w:rPr>
          <w:rFonts w:ascii="宋体" w:hAnsi="宋体" w:hint="eastAsia"/>
          <w:lang w:eastAsia="zh-CN"/>
        </w:rPr>
        <w:t>1.签约合同价为：</w:t>
      </w:r>
    </w:p>
    <w:p w14:paraId="19E97D83">
      <w:pPr>
        <w:spacing w:line="360" w:lineRule="auto"/>
        <w:rPr>
          <w:rFonts w:ascii="宋体" w:hAnsi="宋体"/>
          <w:lang w:eastAsia="zh-CN"/>
        </w:rPr>
      </w:pPr>
      <w:r>
        <w:rPr>
          <w:rFonts w:ascii="宋体" w:hAnsi="宋体" w:hint="eastAsia"/>
          <w:lang w:eastAsia="zh-CN"/>
        </w:rPr>
        <w:t>人民币（大写）</w:t>
      </w:r>
      <w:r>
        <w:rPr>
          <w:rFonts w:ascii="宋体" w:hAnsi="宋体" w:hint="eastAsia"/>
          <w:color w:val="00B0F0"/>
          <w:u w:val="single"/>
          <w:lang w:eastAsia="zh-CN"/>
        </w:rPr>
        <w:t xml:space="preserve">                 </w:t>
      </w:r>
      <w:r>
        <w:rPr>
          <w:rFonts w:ascii="宋体" w:hAnsi="宋体" w:hint="eastAsia"/>
          <w:lang w:eastAsia="zh-CN"/>
        </w:rPr>
        <w:t>(¥</w:t>
      </w:r>
      <w:r>
        <w:rPr>
          <w:rFonts w:ascii="宋体" w:hAnsi="宋体" w:hint="eastAsia"/>
          <w:color w:val="00B0F0"/>
          <w:u w:val="single"/>
          <w:lang w:eastAsia="zh-CN"/>
        </w:rPr>
        <w:t xml:space="preserve">            </w:t>
      </w:r>
      <w:r>
        <w:rPr>
          <w:rFonts w:ascii="宋体" w:hAnsi="宋体" w:hint="eastAsia"/>
          <w:lang w:eastAsia="zh-CN"/>
        </w:rPr>
        <w:t>元)；</w:t>
      </w:r>
    </w:p>
    <w:p w14:paraId="568378EC">
      <w:pPr>
        <w:spacing w:line="360" w:lineRule="auto"/>
        <w:rPr>
          <w:rFonts w:ascii="宋体" w:hAnsi="宋体"/>
          <w:lang w:eastAsia="zh-CN"/>
        </w:rPr>
      </w:pPr>
      <w:r>
        <w:rPr>
          <w:rFonts w:ascii="宋体" w:hAnsi="宋体" w:hint="eastAsia"/>
          <w:lang w:eastAsia="zh-CN"/>
        </w:rPr>
        <w:t>其中：</w:t>
      </w:r>
    </w:p>
    <w:p w14:paraId="450753A0">
      <w:pPr>
        <w:spacing w:line="360" w:lineRule="auto"/>
        <w:rPr>
          <w:rFonts w:ascii="宋体" w:hAnsi="宋体"/>
          <w:lang w:eastAsia="zh-CN"/>
        </w:rPr>
      </w:pPr>
      <w:r>
        <w:rPr>
          <w:rFonts w:ascii="宋体" w:hAnsi="宋体" w:hint="eastAsia"/>
          <w:lang w:eastAsia="zh-CN"/>
        </w:rPr>
        <w:t>（1）安全文明施工费：</w:t>
      </w:r>
    </w:p>
    <w:p w14:paraId="3AFFEC7C">
      <w:pPr>
        <w:spacing w:line="360" w:lineRule="auto"/>
        <w:rPr>
          <w:rFonts w:ascii="宋体" w:hAnsi="宋体"/>
          <w:lang w:eastAsia="zh-CN"/>
        </w:rPr>
      </w:pPr>
      <w:r>
        <w:rPr>
          <w:rFonts w:ascii="宋体" w:hAnsi="宋体" w:hint="eastAsia"/>
          <w:lang w:eastAsia="zh-CN"/>
        </w:rPr>
        <w:t>人民币（大写）</w:t>
      </w:r>
      <w:r>
        <w:rPr>
          <w:rFonts w:ascii="宋体" w:hAnsi="宋体" w:hint="eastAsia"/>
          <w:color w:val="00B0F0"/>
          <w:u w:val="single"/>
          <w:lang w:eastAsia="zh-CN"/>
        </w:rPr>
        <w:t xml:space="preserve">              </w:t>
      </w:r>
      <w:r>
        <w:rPr>
          <w:rFonts w:ascii="宋体" w:hAnsi="宋体" w:hint="eastAsia"/>
          <w:lang w:eastAsia="zh-CN"/>
        </w:rPr>
        <w:t xml:space="preserve"> (¥</w:t>
      </w:r>
      <w:r>
        <w:rPr>
          <w:rFonts w:ascii="宋体" w:hAnsi="宋体" w:hint="eastAsia"/>
          <w:color w:val="00B0F0"/>
          <w:u w:val="single"/>
          <w:lang w:eastAsia="zh-CN"/>
        </w:rPr>
        <w:t xml:space="preserve">          </w:t>
      </w:r>
      <w:r>
        <w:rPr>
          <w:rFonts w:ascii="宋体" w:hAnsi="宋体" w:hint="eastAsia"/>
          <w:lang w:eastAsia="zh-CN"/>
        </w:rPr>
        <w:t>元)；</w:t>
      </w:r>
    </w:p>
    <w:p w14:paraId="6272EAC7">
      <w:pPr>
        <w:spacing w:line="360" w:lineRule="auto"/>
        <w:rPr>
          <w:rFonts w:ascii="宋体" w:hAnsi="宋体"/>
          <w:lang w:eastAsia="zh-CN"/>
        </w:rPr>
      </w:pPr>
      <w:r>
        <w:rPr>
          <w:rFonts w:ascii="宋体" w:hAnsi="宋体" w:hint="eastAsia"/>
          <w:lang w:eastAsia="zh-CN"/>
        </w:rPr>
        <w:t>（2）材料和工程设备暂估价金额：</w:t>
      </w:r>
    </w:p>
    <w:p w14:paraId="4C283AD1">
      <w:pPr>
        <w:spacing w:line="360" w:lineRule="auto"/>
        <w:rPr>
          <w:rFonts w:ascii="宋体" w:hAnsi="宋体"/>
          <w:lang w:eastAsia="zh-CN"/>
        </w:rPr>
      </w:pPr>
      <w:r>
        <w:rPr>
          <w:rFonts w:ascii="宋体" w:hAnsi="宋体" w:hint="eastAsia"/>
          <w:lang w:eastAsia="zh-CN"/>
        </w:rPr>
        <w:t>人民币（大写）</w:t>
      </w:r>
      <w:r>
        <w:rPr>
          <w:rFonts w:ascii="宋体" w:hAnsi="宋体" w:hint="eastAsia"/>
          <w:color w:val="00B0F0"/>
          <w:u w:val="single"/>
          <w:lang w:eastAsia="zh-CN"/>
        </w:rPr>
        <w:t xml:space="preserve">              </w:t>
      </w:r>
      <w:r>
        <w:rPr>
          <w:rFonts w:ascii="宋体" w:hAnsi="宋体" w:hint="eastAsia"/>
          <w:lang w:eastAsia="zh-CN"/>
        </w:rPr>
        <w:t xml:space="preserve"> (¥</w:t>
      </w:r>
      <w:r>
        <w:rPr>
          <w:rFonts w:ascii="宋体" w:hAnsi="宋体" w:hint="eastAsia"/>
          <w:color w:val="00B0F0"/>
          <w:u w:val="single"/>
          <w:lang w:eastAsia="zh-CN"/>
        </w:rPr>
        <w:t xml:space="preserve">          </w:t>
      </w:r>
      <w:r>
        <w:rPr>
          <w:rFonts w:ascii="宋体" w:hAnsi="宋体" w:hint="eastAsia"/>
          <w:lang w:eastAsia="zh-CN"/>
        </w:rPr>
        <w:t>元)；</w:t>
      </w:r>
    </w:p>
    <w:p w14:paraId="6BD874EB">
      <w:pPr>
        <w:spacing w:line="360" w:lineRule="auto"/>
        <w:rPr>
          <w:rFonts w:ascii="宋体" w:hAnsi="宋体"/>
          <w:lang w:eastAsia="zh-CN"/>
        </w:rPr>
      </w:pPr>
      <w:r>
        <w:rPr>
          <w:rFonts w:ascii="宋体" w:hAnsi="宋体" w:hint="eastAsia"/>
          <w:lang w:eastAsia="zh-CN"/>
        </w:rPr>
        <w:t>（3）专业工程暂估价金额：</w:t>
      </w:r>
    </w:p>
    <w:p w14:paraId="748B633F">
      <w:pPr>
        <w:spacing w:line="360" w:lineRule="auto"/>
        <w:rPr>
          <w:rFonts w:ascii="宋体" w:hAnsi="宋体"/>
          <w:lang w:eastAsia="zh-CN"/>
        </w:rPr>
      </w:pPr>
      <w:r>
        <w:rPr>
          <w:rFonts w:ascii="宋体" w:hAnsi="宋体" w:hint="eastAsia"/>
          <w:lang w:eastAsia="zh-CN"/>
        </w:rPr>
        <w:t>人民币（大写）</w:t>
      </w:r>
      <w:r>
        <w:rPr>
          <w:rFonts w:ascii="宋体" w:hAnsi="宋体" w:hint="eastAsia"/>
          <w:color w:val="00B0F0"/>
          <w:u w:val="single"/>
          <w:lang w:eastAsia="zh-CN"/>
        </w:rPr>
        <w:t xml:space="preserve">              </w:t>
      </w:r>
      <w:r>
        <w:rPr>
          <w:rFonts w:ascii="宋体" w:hAnsi="宋体" w:hint="eastAsia"/>
          <w:lang w:eastAsia="zh-CN"/>
        </w:rPr>
        <w:t xml:space="preserve"> (¥</w:t>
      </w:r>
      <w:r>
        <w:rPr>
          <w:rFonts w:ascii="宋体" w:hAnsi="宋体" w:hint="eastAsia"/>
          <w:color w:val="00B0F0"/>
          <w:u w:val="single"/>
          <w:lang w:eastAsia="zh-CN"/>
        </w:rPr>
        <w:t xml:space="preserve">          </w:t>
      </w:r>
      <w:r>
        <w:rPr>
          <w:rFonts w:ascii="宋体" w:hAnsi="宋体" w:hint="eastAsia"/>
          <w:lang w:eastAsia="zh-CN"/>
        </w:rPr>
        <w:t>元)；</w:t>
      </w:r>
    </w:p>
    <w:p w14:paraId="7D51A7D2">
      <w:pPr>
        <w:spacing w:line="360" w:lineRule="auto"/>
        <w:rPr>
          <w:rFonts w:ascii="宋体" w:hAnsi="宋体"/>
          <w:lang w:eastAsia="zh-CN"/>
        </w:rPr>
      </w:pPr>
      <w:r>
        <w:rPr>
          <w:rFonts w:ascii="宋体" w:hAnsi="宋体" w:hint="eastAsia"/>
          <w:lang w:eastAsia="zh-CN"/>
        </w:rPr>
        <w:t>（4）暂列金额：</w:t>
      </w:r>
    </w:p>
    <w:p w14:paraId="524C9733">
      <w:pPr>
        <w:spacing w:line="360" w:lineRule="auto"/>
        <w:rPr>
          <w:rFonts w:ascii="宋体" w:hAnsi="宋体"/>
          <w:lang w:eastAsia="zh-CN"/>
        </w:rPr>
      </w:pPr>
      <w:r>
        <w:rPr>
          <w:rFonts w:ascii="宋体" w:hAnsi="宋体" w:hint="eastAsia"/>
          <w:lang w:eastAsia="zh-CN"/>
        </w:rPr>
        <w:t>人民币（大写）</w:t>
      </w:r>
      <w:r>
        <w:rPr>
          <w:rFonts w:ascii="宋体" w:hAnsi="宋体" w:hint="eastAsia"/>
          <w:color w:val="00B0F0"/>
          <w:u w:val="single"/>
          <w:lang w:eastAsia="zh-CN"/>
        </w:rPr>
        <w:t xml:space="preserve">              </w:t>
      </w:r>
      <w:r>
        <w:rPr>
          <w:rFonts w:ascii="宋体" w:hAnsi="宋体" w:hint="eastAsia"/>
          <w:lang w:eastAsia="zh-CN"/>
        </w:rPr>
        <w:t xml:space="preserve"> (¥</w:t>
      </w:r>
      <w:r>
        <w:rPr>
          <w:rFonts w:ascii="宋体" w:hAnsi="宋体" w:hint="eastAsia"/>
          <w:color w:val="00B0F0"/>
          <w:u w:val="single"/>
          <w:lang w:eastAsia="zh-CN"/>
        </w:rPr>
        <w:t xml:space="preserve">          </w:t>
      </w:r>
      <w:r>
        <w:rPr>
          <w:rFonts w:ascii="宋体" w:hAnsi="宋体" w:hint="eastAsia"/>
          <w:lang w:eastAsia="zh-CN"/>
        </w:rPr>
        <w:t>元)。</w:t>
      </w:r>
    </w:p>
    <w:p w14:paraId="21215893">
      <w:pPr>
        <w:spacing w:line="360" w:lineRule="auto"/>
        <w:rPr>
          <w:rFonts w:ascii="宋体" w:hAnsi="宋体"/>
          <w:lang w:eastAsia="zh-CN"/>
        </w:rPr>
      </w:pPr>
      <w:r>
        <w:rPr>
          <w:rFonts w:ascii="宋体" w:hAnsi="宋体" w:hint="eastAsia"/>
          <w:lang w:eastAsia="zh-CN"/>
        </w:rPr>
        <w:t>2.合同价格形式：</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hint="eastAsia"/>
          <w:lang w:eastAsia="zh-CN"/>
        </w:rPr>
        <w:t>。</w:t>
      </w:r>
    </w:p>
    <w:p w14:paraId="2B768247">
      <w:pPr>
        <w:spacing w:line="360" w:lineRule="auto"/>
        <w:rPr>
          <w:rFonts w:ascii="宋体" w:hAnsi="宋体"/>
          <w:bCs/>
          <w:lang w:eastAsia="zh-CN"/>
        </w:rPr>
      </w:pPr>
      <w:r>
        <w:rPr>
          <w:rFonts w:ascii="宋体" w:hAnsi="宋体" w:hint="eastAsia"/>
          <w:b/>
          <w:lang w:eastAsia="zh-CN"/>
        </w:rPr>
        <w:t xml:space="preserve">   </w:t>
      </w:r>
      <w:r>
        <w:rPr>
          <w:rFonts w:ascii="宋体" w:hAnsi="宋体" w:hint="eastAsia"/>
          <w:bCs/>
          <w:lang w:eastAsia="zh-CN"/>
        </w:rPr>
        <w:t xml:space="preserve"> </w:t>
      </w:r>
      <w:bookmarkStart w:id="97" w:name="_Toc351203485"/>
      <w:r>
        <w:rPr>
          <w:rFonts w:ascii="宋体" w:hAnsi="宋体" w:hint="eastAsia"/>
          <w:bCs/>
          <w:lang w:eastAsia="zh-CN"/>
        </w:rPr>
        <w:t>五、</w:t>
      </w:r>
      <w:bookmarkEnd w:id="97"/>
      <w:r>
        <w:rPr>
          <w:rFonts w:ascii="宋体" w:hAnsi="宋体" w:hint="eastAsia"/>
          <w:bCs/>
          <w:lang w:eastAsia="zh-CN"/>
        </w:rPr>
        <w:t>项目经理</w:t>
      </w:r>
    </w:p>
    <w:p w14:paraId="0D6EB08A">
      <w:pPr>
        <w:spacing w:line="360" w:lineRule="auto"/>
        <w:rPr>
          <w:rFonts w:ascii="宋体" w:hAnsi="宋体"/>
          <w:lang w:eastAsia="zh-CN"/>
        </w:rPr>
      </w:pPr>
      <w:r>
        <w:rPr>
          <w:rFonts w:ascii="宋体" w:hAnsi="宋体" w:hint="eastAsia"/>
          <w:lang w:eastAsia="zh-CN"/>
        </w:rPr>
        <w:t>承包人项目经理：</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59C4B480">
      <w:pPr>
        <w:spacing w:line="360" w:lineRule="auto"/>
        <w:rPr>
          <w:rFonts w:ascii="宋体" w:hAnsi="宋体"/>
          <w:b/>
          <w:lang w:eastAsia="zh-CN"/>
        </w:rPr>
      </w:pPr>
      <w:r>
        <w:rPr>
          <w:rFonts w:ascii="宋体" w:hAnsi="宋体" w:hint="eastAsia"/>
          <w:b/>
          <w:lang w:eastAsia="zh-CN"/>
        </w:rPr>
        <w:t xml:space="preserve">   </w:t>
      </w:r>
      <w:r>
        <w:rPr>
          <w:rFonts w:ascii="宋体" w:hAnsi="宋体" w:hint="eastAsia"/>
          <w:bCs/>
          <w:lang w:eastAsia="zh-CN"/>
        </w:rPr>
        <w:t xml:space="preserve"> </w:t>
      </w:r>
      <w:bookmarkStart w:id="98" w:name="_Toc351203486"/>
      <w:r>
        <w:rPr>
          <w:rFonts w:ascii="宋体" w:hAnsi="宋体" w:hint="eastAsia"/>
          <w:bCs/>
          <w:lang w:eastAsia="zh-CN"/>
        </w:rPr>
        <w:t>六、合同文件构成</w:t>
      </w:r>
      <w:bookmarkEnd w:id="98"/>
    </w:p>
    <w:p w14:paraId="2EAF438A">
      <w:pPr>
        <w:spacing w:line="360" w:lineRule="auto"/>
        <w:rPr>
          <w:rFonts w:ascii="宋体" w:hAnsi="宋体"/>
          <w:bCs/>
          <w:lang w:eastAsia="zh-CN"/>
        </w:rPr>
      </w:pPr>
      <w:r>
        <w:rPr>
          <w:rFonts w:ascii="宋体" w:hAnsi="宋体" w:hint="eastAsia"/>
          <w:bCs/>
          <w:lang w:eastAsia="zh-CN"/>
        </w:rPr>
        <w:t>本协议书与下列文件一起构成合同文件：</w:t>
      </w:r>
    </w:p>
    <w:p w14:paraId="4CA224D0">
      <w:pPr>
        <w:spacing w:line="360" w:lineRule="auto"/>
        <w:rPr>
          <w:rFonts w:ascii="宋体" w:hAnsi="宋体"/>
          <w:lang w:eastAsia="zh-CN"/>
        </w:rPr>
      </w:pPr>
      <w:r>
        <w:rPr>
          <w:rFonts w:ascii="宋体" w:hAnsi="宋体" w:hint="eastAsia"/>
          <w:lang w:eastAsia="zh-CN"/>
        </w:rPr>
        <w:t>（1）中标通知书（如果有）；</w:t>
      </w:r>
    </w:p>
    <w:p w14:paraId="00C7135B">
      <w:pPr>
        <w:spacing w:line="360" w:lineRule="auto"/>
        <w:rPr>
          <w:rFonts w:ascii="宋体" w:hAnsi="宋体"/>
          <w:lang w:eastAsia="zh-CN"/>
        </w:rPr>
      </w:pPr>
      <w:r>
        <w:rPr>
          <w:rFonts w:ascii="宋体" w:hAnsi="宋体" w:hint="eastAsia"/>
          <w:lang w:eastAsia="zh-CN"/>
        </w:rPr>
        <w:t xml:space="preserve">（2）投标函及其附录（如果有）； </w:t>
      </w:r>
    </w:p>
    <w:p w14:paraId="27BDA422">
      <w:pPr>
        <w:spacing w:line="360" w:lineRule="auto"/>
        <w:rPr>
          <w:rFonts w:ascii="宋体" w:hAnsi="宋体"/>
          <w:lang w:eastAsia="zh-CN"/>
        </w:rPr>
      </w:pPr>
      <w:r>
        <w:rPr>
          <w:rFonts w:ascii="宋体" w:hAnsi="宋体" w:hint="eastAsia"/>
          <w:lang w:eastAsia="zh-CN"/>
        </w:rPr>
        <w:t>（3）专用合同条款及其附件；</w:t>
      </w:r>
    </w:p>
    <w:p w14:paraId="59CCD0A5">
      <w:pPr>
        <w:spacing w:line="360" w:lineRule="auto"/>
        <w:rPr>
          <w:rFonts w:ascii="宋体" w:hAnsi="宋体"/>
          <w:lang w:eastAsia="zh-CN"/>
        </w:rPr>
      </w:pPr>
      <w:r>
        <w:rPr>
          <w:rFonts w:ascii="宋体" w:hAnsi="宋体" w:hint="eastAsia"/>
          <w:lang w:eastAsia="zh-CN"/>
        </w:rPr>
        <w:t>（4）通用合同条款；</w:t>
      </w:r>
    </w:p>
    <w:p w14:paraId="72AD0815">
      <w:pPr>
        <w:spacing w:line="360" w:lineRule="auto"/>
        <w:rPr>
          <w:rFonts w:ascii="宋体" w:hAnsi="宋体"/>
          <w:lang w:eastAsia="zh-CN"/>
        </w:rPr>
      </w:pPr>
      <w:r>
        <w:rPr>
          <w:rFonts w:ascii="宋体" w:hAnsi="宋体" w:hint="eastAsia"/>
          <w:lang w:eastAsia="zh-CN"/>
        </w:rPr>
        <w:t>（5）技术标准和要求；</w:t>
      </w:r>
    </w:p>
    <w:p w14:paraId="3638E635">
      <w:pPr>
        <w:spacing w:line="360" w:lineRule="auto"/>
        <w:rPr>
          <w:rFonts w:ascii="宋体" w:hAnsi="宋体"/>
          <w:lang w:eastAsia="zh-CN"/>
        </w:rPr>
      </w:pPr>
      <w:r>
        <w:rPr>
          <w:rFonts w:ascii="宋体" w:hAnsi="宋体" w:hint="eastAsia"/>
          <w:lang w:eastAsia="zh-CN"/>
        </w:rPr>
        <w:t>（6）图纸；</w:t>
      </w:r>
    </w:p>
    <w:p w14:paraId="2A517ECA">
      <w:pPr>
        <w:spacing w:line="360" w:lineRule="auto"/>
        <w:rPr>
          <w:rFonts w:ascii="宋体" w:hAnsi="宋体"/>
          <w:lang w:eastAsia="zh-CN"/>
        </w:rPr>
      </w:pPr>
      <w:r>
        <w:rPr>
          <w:rFonts w:ascii="宋体" w:hAnsi="宋体" w:hint="eastAsia"/>
          <w:lang w:eastAsia="zh-CN"/>
        </w:rPr>
        <w:t>（7）已标价工程量清单或预算书；</w:t>
      </w:r>
    </w:p>
    <w:p w14:paraId="458CE773">
      <w:pPr>
        <w:spacing w:line="360" w:lineRule="auto"/>
        <w:rPr>
          <w:rFonts w:ascii="宋体" w:hAnsi="宋体"/>
          <w:lang w:eastAsia="zh-CN"/>
        </w:rPr>
      </w:pPr>
      <w:r>
        <w:rPr>
          <w:rFonts w:ascii="宋体" w:hAnsi="宋体" w:hint="eastAsia"/>
          <w:lang w:eastAsia="zh-CN"/>
        </w:rPr>
        <w:t>（8）其他合同文件。</w:t>
      </w:r>
    </w:p>
    <w:p w14:paraId="2A2DE5C8">
      <w:pPr>
        <w:spacing w:line="360" w:lineRule="auto"/>
        <w:rPr>
          <w:rFonts w:ascii="宋体" w:hAnsi="宋体"/>
          <w:lang w:eastAsia="zh-CN"/>
        </w:rPr>
      </w:pPr>
      <w:r>
        <w:rPr>
          <w:rFonts w:ascii="宋体" w:hAnsi="宋体" w:hint="eastAsia"/>
          <w:lang w:eastAsia="zh-CN"/>
        </w:rPr>
        <w:t>在合同订立及履行过程中形成的与合同有关的文件均构成合同文件组成部分。</w:t>
      </w:r>
    </w:p>
    <w:p w14:paraId="5801AC45">
      <w:pPr>
        <w:spacing w:line="360" w:lineRule="auto"/>
        <w:rPr>
          <w:rFonts w:ascii="宋体" w:hAnsi="宋体"/>
          <w:lang w:eastAsia="zh-CN"/>
        </w:rPr>
      </w:pPr>
      <w:r>
        <w:rPr>
          <w:rFonts w:ascii="宋体" w:hAnsi="宋体" w:hint="eastAsia"/>
          <w:lang w:eastAsia="zh-CN"/>
        </w:rPr>
        <w:t>上述各项合同文件包括合同当事人就该项合同文件所作出的补充和修改，属于同一类内容的文件，应以最新签署的为准。专用合同条款及其附件须经合同当事人签字或盖章。</w:t>
      </w:r>
    </w:p>
    <w:p w14:paraId="506BC22E">
      <w:pPr>
        <w:spacing w:line="360" w:lineRule="auto"/>
        <w:rPr>
          <w:rFonts w:ascii="宋体" w:hAnsi="宋体"/>
          <w:lang w:eastAsia="zh-CN"/>
        </w:rPr>
      </w:pPr>
      <w:r>
        <w:rPr>
          <w:rFonts w:ascii="宋体" w:hAnsi="宋体" w:hint="eastAsia"/>
          <w:lang w:eastAsia="zh-CN"/>
        </w:rPr>
        <w:t xml:space="preserve">   </w:t>
      </w:r>
      <w:r>
        <w:rPr>
          <w:rFonts w:ascii="宋体" w:hAnsi="宋体" w:hint="eastAsia"/>
          <w:bCs/>
          <w:lang w:eastAsia="zh-CN"/>
        </w:rPr>
        <w:t xml:space="preserve"> </w:t>
      </w:r>
      <w:bookmarkStart w:id="99" w:name="_Toc351203487"/>
      <w:r>
        <w:rPr>
          <w:rFonts w:ascii="宋体" w:hAnsi="宋体" w:hint="eastAsia"/>
          <w:bCs/>
          <w:lang w:eastAsia="zh-CN"/>
        </w:rPr>
        <w:t>七、承诺</w:t>
      </w:r>
      <w:bookmarkEnd w:id="99"/>
    </w:p>
    <w:p w14:paraId="31AEB210">
      <w:pPr>
        <w:spacing w:line="360" w:lineRule="auto"/>
        <w:rPr>
          <w:rFonts w:ascii="宋体" w:hAnsi="宋体"/>
          <w:bCs/>
          <w:lang w:eastAsia="zh-CN"/>
        </w:rPr>
      </w:pPr>
      <w:r>
        <w:rPr>
          <w:rFonts w:ascii="宋体" w:hAnsi="宋体" w:hint="eastAsia"/>
          <w:bCs/>
          <w:lang w:eastAsia="zh-CN"/>
        </w:rPr>
        <w:t>1.发包人承诺按照法律规定履行项目审批手续、筹集工程建设资金并按照合同约定的期限和方式支付合同价款。</w:t>
      </w:r>
    </w:p>
    <w:p w14:paraId="6E764A64">
      <w:pPr>
        <w:spacing w:line="360" w:lineRule="auto"/>
        <w:rPr>
          <w:rFonts w:ascii="宋体" w:hAnsi="宋体"/>
          <w:bCs/>
          <w:lang w:eastAsia="zh-CN"/>
        </w:rPr>
      </w:pPr>
      <w:r>
        <w:rPr>
          <w:rFonts w:ascii="宋体" w:hAnsi="宋体" w:hint="eastAsia"/>
          <w:bCs/>
          <w:lang w:eastAsia="zh-CN"/>
        </w:rPr>
        <w:t>2.承包人承诺按照法律规定及合同约定组织完成工程施工，确保工程质量和安全，不进行转包及违法分包，并在缺陷责任期及保修期内承担相应的工程维修责任。</w:t>
      </w:r>
    </w:p>
    <w:p w14:paraId="52CDC957">
      <w:pPr>
        <w:spacing w:line="360" w:lineRule="auto"/>
        <w:rPr>
          <w:rFonts w:ascii="宋体" w:hAnsi="宋体"/>
          <w:bCs/>
          <w:lang w:eastAsia="zh-CN"/>
        </w:rPr>
      </w:pPr>
      <w:r>
        <w:rPr>
          <w:rFonts w:ascii="宋体" w:hAnsi="宋体" w:hint="eastAsia"/>
          <w:bCs/>
          <w:lang w:eastAsia="zh-CN"/>
        </w:rPr>
        <w:t>3.发包人和承包人通过招投标形式签订合同的，双方理解并承诺不再就同一工程另行签订与合同实质性内容相背离的协议。</w:t>
      </w:r>
    </w:p>
    <w:p w14:paraId="399F3E2A">
      <w:pPr>
        <w:spacing w:line="360" w:lineRule="auto"/>
        <w:rPr>
          <w:rFonts w:ascii="宋体" w:hAnsi="宋体"/>
          <w:bCs/>
          <w:lang w:eastAsia="zh-CN"/>
        </w:rPr>
      </w:pPr>
      <w:bookmarkStart w:id="100" w:name="_Toc351203488"/>
      <w:r>
        <w:rPr>
          <w:rFonts w:ascii="宋体" w:hAnsi="宋体" w:hint="eastAsia"/>
          <w:b/>
          <w:lang w:eastAsia="zh-CN"/>
        </w:rPr>
        <w:t xml:space="preserve">    八、词语含义</w:t>
      </w:r>
      <w:bookmarkEnd w:id="100"/>
    </w:p>
    <w:p w14:paraId="720D045F">
      <w:pPr>
        <w:spacing w:line="360" w:lineRule="auto"/>
        <w:rPr>
          <w:rFonts w:ascii="宋体" w:hAnsi="宋体"/>
          <w:bCs/>
          <w:lang w:eastAsia="zh-CN"/>
        </w:rPr>
      </w:pPr>
      <w:r>
        <w:rPr>
          <w:rFonts w:ascii="宋体" w:hAnsi="宋体" w:hint="eastAsia"/>
          <w:bCs/>
          <w:lang w:eastAsia="zh-CN"/>
        </w:rPr>
        <w:t>本协议书中词语含义与第二部分通用合同条款中赋予的含义相同。</w:t>
      </w:r>
    </w:p>
    <w:p w14:paraId="231D1AE8">
      <w:pPr>
        <w:spacing w:line="360" w:lineRule="auto"/>
        <w:rPr>
          <w:rFonts w:ascii="宋体" w:hAnsi="宋体"/>
          <w:b/>
          <w:lang w:eastAsia="zh-CN"/>
        </w:rPr>
      </w:pPr>
      <w:r>
        <w:rPr>
          <w:rFonts w:ascii="宋体" w:hAnsi="宋体" w:hint="eastAsia"/>
          <w:b/>
          <w:lang w:eastAsia="zh-CN"/>
        </w:rPr>
        <w:t xml:space="preserve">  </w:t>
      </w:r>
      <w:r>
        <w:rPr>
          <w:rFonts w:ascii="宋体" w:hAnsi="宋体" w:hint="eastAsia"/>
          <w:bCs/>
          <w:lang w:eastAsia="zh-CN"/>
        </w:rPr>
        <w:t xml:space="preserve">  </w:t>
      </w:r>
      <w:bookmarkStart w:id="101" w:name="_Toc351203489"/>
      <w:r>
        <w:rPr>
          <w:rFonts w:ascii="宋体" w:hAnsi="宋体" w:hint="eastAsia"/>
          <w:bCs/>
          <w:lang w:eastAsia="zh-CN"/>
        </w:rPr>
        <w:t>九、签订时间</w:t>
      </w:r>
      <w:bookmarkEnd w:id="101"/>
    </w:p>
    <w:p w14:paraId="43390941">
      <w:pPr>
        <w:spacing w:line="360" w:lineRule="auto"/>
        <w:rPr>
          <w:rFonts w:ascii="宋体" w:hAnsi="宋体"/>
          <w:bCs/>
          <w:lang w:eastAsia="zh-CN"/>
        </w:rPr>
      </w:pPr>
      <w:r>
        <w:rPr>
          <w:rFonts w:ascii="宋体" w:hAnsi="宋体" w:hint="eastAsia"/>
          <w:bCs/>
          <w:lang w:eastAsia="zh-CN"/>
        </w:rPr>
        <w:t>本合同于</w:t>
      </w:r>
      <w:r>
        <w:rPr>
          <w:rFonts w:ascii="宋体" w:hAnsi="宋体" w:hint="eastAsia"/>
          <w:bCs/>
          <w:color w:val="00B0F0"/>
          <w:u w:val="single"/>
          <w:lang w:eastAsia="zh-CN"/>
        </w:rPr>
        <w:t xml:space="preserve">         </w:t>
      </w:r>
      <w:r>
        <w:rPr>
          <w:rFonts w:ascii="宋体" w:hAnsi="宋体" w:hint="eastAsia"/>
          <w:bCs/>
          <w:lang w:eastAsia="zh-CN"/>
        </w:rPr>
        <w:t>年</w:t>
      </w:r>
      <w:r>
        <w:rPr>
          <w:rFonts w:ascii="宋体" w:hAnsi="宋体" w:hint="eastAsia"/>
          <w:bCs/>
          <w:color w:val="00B0F0"/>
          <w:u w:val="single"/>
          <w:lang w:eastAsia="zh-CN"/>
        </w:rPr>
        <w:t xml:space="preserve">    </w:t>
      </w:r>
      <w:r>
        <w:rPr>
          <w:rFonts w:ascii="宋体" w:hAnsi="宋体" w:hint="eastAsia"/>
          <w:bCs/>
          <w:lang w:eastAsia="zh-CN"/>
        </w:rPr>
        <w:t>月</w:t>
      </w:r>
      <w:r>
        <w:rPr>
          <w:rFonts w:ascii="宋体" w:hAnsi="宋体" w:hint="eastAsia"/>
          <w:bCs/>
          <w:color w:val="00B0F0"/>
          <w:u w:val="single"/>
          <w:lang w:eastAsia="zh-CN"/>
        </w:rPr>
        <w:t xml:space="preserve">    </w:t>
      </w:r>
      <w:r>
        <w:rPr>
          <w:rFonts w:ascii="宋体" w:hAnsi="宋体" w:hint="eastAsia"/>
          <w:bCs/>
          <w:lang w:eastAsia="zh-CN"/>
        </w:rPr>
        <w:t>日签订。</w:t>
      </w:r>
    </w:p>
    <w:p w14:paraId="5A69C51F">
      <w:pPr>
        <w:spacing w:line="360" w:lineRule="auto"/>
        <w:rPr>
          <w:rFonts w:ascii="宋体" w:hAnsi="宋体"/>
          <w:b/>
          <w:lang w:eastAsia="zh-CN"/>
        </w:rPr>
      </w:pPr>
      <w:r>
        <w:rPr>
          <w:rFonts w:ascii="宋体" w:hAnsi="宋体" w:hint="eastAsia"/>
          <w:b/>
          <w:lang w:eastAsia="zh-CN"/>
        </w:rPr>
        <w:t xml:space="preserve">    </w:t>
      </w:r>
      <w:bookmarkStart w:id="102" w:name="_Toc351203490"/>
      <w:r>
        <w:rPr>
          <w:rFonts w:ascii="宋体" w:hAnsi="宋体" w:hint="eastAsia"/>
          <w:bCs/>
          <w:lang w:eastAsia="zh-CN"/>
        </w:rPr>
        <w:t>十、签订地点</w:t>
      </w:r>
      <w:bookmarkEnd w:id="102"/>
    </w:p>
    <w:p w14:paraId="4244D586">
      <w:pPr>
        <w:spacing w:line="360" w:lineRule="auto"/>
        <w:rPr>
          <w:rFonts w:ascii="宋体" w:hAnsi="宋体"/>
          <w:bCs/>
          <w:lang w:eastAsia="zh-CN"/>
        </w:rPr>
      </w:pPr>
      <w:r>
        <w:rPr>
          <w:rFonts w:ascii="宋体" w:hAnsi="宋体" w:hint="eastAsia"/>
          <w:bCs/>
          <w:lang w:eastAsia="zh-CN"/>
        </w:rPr>
        <w:t>本合同在</w:t>
      </w:r>
      <w:r>
        <w:rPr>
          <w:rFonts w:ascii="宋体" w:hAnsi="宋体" w:hint="eastAsia"/>
          <w:bCs/>
          <w:color w:val="00B0F0"/>
          <w:u w:val="single"/>
          <w:lang w:eastAsia="zh-CN"/>
        </w:rPr>
        <w:t xml:space="preserve">                                    </w:t>
      </w:r>
      <w:r>
        <w:rPr>
          <w:rFonts w:ascii="宋体" w:hAnsi="宋体" w:hint="eastAsia"/>
          <w:bCs/>
          <w:lang w:eastAsia="zh-CN"/>
        </w:rPr>
        <w:t>签订。</w:t>
      </w:r>
    </w:p>
    <w:p w14:paraId="6CA74EA6">
      <w:pPr>
        <w:spacing w:line="360" w:lineRule="auto"/>
        <w:rPr>
          <w:rFonts w:ascii="宋体" w:hAnsi="宋体"/>
          <w:b/>
          <w:lang w:eastAsia="zh-CN"/>
        </w:rPr>
      </w:pPr>
      <w:r>
        <w:rPr>
          <w:rFonts w:ascii="宋体" w:hAnsi="宋体" w:hint="eastAsia"/>
          <w:b/>
          <w:lang w:eastAsia="zh-CN"/>
        </w:rPr>
        <w:t xml:space="preserve">    </w:t>
      </w:r>
      <w:bookmarkStart w:id="103" w:name="_Toc351203491"/>
      <w:r>
        <w:rPr>
          <w:rFonts w:ascii="宋体" w:hAnsi="宋体" w:hint="eastAsia"/>
          <w:bCs/>
          <w:lang w:eastAsia="zh-CN"/>
        </w:rPr>
        <w:t>十一、补充协议</w:t>
      </w:r>
      <w:bookmarkEnd w:id="103"/>
    </w:p>
    <w:p w14:paraId="1418B4E7">
      <w:pPr>
        <w:spacing w:line="360" w:lineRule="auto"/>
        <w:rPr>
          <w:rFonts w:ascii="宋体" w:hAnsi="宋体"/>
          <w:b/>
          <w:bCs/>
          <w:lang w:eastAsia="zh-CN"/>
        </w:rPr>
      </w:pPr>
      <w:r>
        <w:rPr>
          <w:rFonts w:ascii="宋体" w:hAnsi="宋体" w:hint="eastAsia"/>
          <w:bCs/>
          <w:lang w:eastAsia="zh-CN"/>
        </w:rPr>
        <w:t>合同未尽事宜，合同当事人另行签订补充协议，补充协议是合同的组成部分。</w:t>
      </w:r>
    </w:p>
    <w:p w14:paraId="6B2ECE6B">
      <w:pPr>
        <w:spacing w:line="360" w:lineRule="auto"/>
        <w:rPr>
          <w:rFonts w:ascii="宋体" w:hAnsi="宋体"/>
          <w:b/>
        </w:rPr>
      </w:pPr>
      <w:r>
        <w:rPr>
          <w:rFonts w:ascii="宋体" w:hAnsi="宋体" w:hint="eastAsia"/>
          <w:b/>
          <w:lang w:eastAsia="zh-CN"/>
        </w:rPr>
        <w:t xml:space="preserve">    </w:t>
      </w:r>
      <w:bookmarkStart w:id="104" w:name="_Toc351203492"/>
      <w:r>
        <w:rPr>
          <w:rFonts w:ascii="宋体" w:hAnsi="宋体" w:hint="eastAsia"/>
          <w:bCs/>
        </w:rPr>
        <w:t>十二、合同生效</w:t>
      </w:r>
      <w:bookmarkEnd w:id="104"/>
    </w:p>
    <w:p w14:paraId="5AD4031B">
      <w:pPr>
        <w:spacing w:line="360" w:lineRule="auto"/>
        <w:rPr>
          <w:rFonts w:ascii="宋体" w:hAnsi="宋体"/>
          <w:bCs/>
        </w:rPr>
      </w:pPr>
      <w:r>
        <w:rPr>
          <w:rFonts w:ascii="宋体" w:hAnsi="宋体" w:hint="eastAsia"/>
          <w:bCs/>
        </w:rPr>
        <w:t>本合同自</w:t>
      </w:r>
      <w:r>
        <w:rPr>
          <w:rFonts w:ascii="宋体" w:hAnsi="宋体" w:hint="eastAsia"/>
          <w:bCs/>
          <w:color w:val="00B0F0"/>
          <w:u w:val="single"/>
        </w:rPr>
        <w:t xml:space="preserve">                                   </w:t>
      </w:r>
      <w:r>
        <w:rPr>
          <w:rFonts w:ascii="宋体" w:hAnsi="宋体" w:hint="eastAsia"/>
          <w:bCs/>
        </w:rPr>
        <w:t>生效。</w:t>
      </w:r>
    </w:p>
    <w:p w14:paraId="44EABB71">
      <w:pPr>
        <w:spacing w:line="360" w:lineRule="auto"/>
        <w:rPr>
          <w:rFonts w:ascii="宋体" w:hAnsi="宋体"/>
          <w:b/>
          <w:lang w:eastAsia="zh-CN"/>
        </w:rPr>
      </w:pPr>
      <w:r>
        <w:rPr>
          <w:rFonts w:ascii="宋体" w:hAnsi="宋体" w:hint="eastAsia"/>
          <w:b/>
        </w:rPr>
        <w:t xml:space="preserve">    </w:t>
      </w:r>
      <w:bookmarkStart w:id="105" w:name="_Toc351203493"/>
      <w:r>
        <w:rPr>
          <w:rFonts w:ascii="宋体" w:hAnsi="宋体" w:hint="eastAsia"/>
          <w:bCs/>
          <w:lang w:eastAsia="zh-CN"/>
        </w:rPr>
        <w:t>十三、合同份数</w:t>
      </w:r>
      <w:bookmarkEnd w:id="105"/>
    </w:p>
    <w:p w14:paraId="5BB92659">
      <w:pPr>
        <w:spacing w:line="360" w:lineRule="auto"/>
        <w:rPr>
          <w:rFonts w:ascii="宋体" w:hAnsi="宋体"/>
          <w:bCs/>
          <w:lang w:eastAsia="zh-CN"/>
        </w:rPr>
      </w:pPr>
      <w:r>
        <w:rPr>
          <w:rFonts w:ascii="宋体" w:hAnsi="宋体" w:hint="eastAsia"/>
          <w:bCs/>
          <w:lang w:eastAsia="zh-CN"/>
        </w:rPr>
        <w:t>本合同一式</w:t>
      </w:r>
      <w:r>
        <w:rPr>
          <w:rFonts w:ascii="宋体" w:hAnsi="宋体" w:hint="eastAsia"/>
          <w:bCs/>
          <w:color w:val="00B0F0"/>
          <w:u w:val="single"/>
          <w:lang w:eastAsia="zh-CN"/>
        </w:rPr>
        <w:t xml:space="preserve">    </w:t>
      </w:r>
      <w:r>
        <w:rPr>
          <w:rFonts w:ascii="宋体" w:hAnsi="宋体" w:hint="eastAsia"/>
          <w:bCs/>
          <w:lang w:eastAsia="zh-CN"/>
        </w:rPr>
        <w:t>份，均具有同等法律效力，发包人执</w:t>
      </w:r>
      <w:r>
        <w:rPr>
          <w:rFonts w:ascii="宋体" w:hAnsi="宋体" w:hint="eastAsia"/>
          <w:bCs/>
          <w:color w:val="00B0F0"/>
          <w:u w:val="single"/>
          <w:lang w:eastAsia="zh-CN"/>
        </w:rPr>
        <w:t xml:space="preserve">    </w:t>
      </w:r>
      <w:r>
        <w:rPr>
          <w:rFonts w:ascii="宋体" w:hAnsi="宋体" w:hint="eastAsia"/>
          <w:bCs/>
          <w:lang w:eastAsia="zh-CN"/>
        </w:rPr>
        <w:t>份，承包人执</w:t>
      </w:r>
      <w:r>
        <w:rPr>
          <w:rFonts w:ascii="宋体" w:hAnsi="宋体" w:hint="eastAsia"/>
          <w:bCs/>
          <w:color w:val="00B0F0"/>
          <w:u w:val="single"/>
          <w:lang w:eastAsia="zh-CN"/>
        </w:rPr>
        <w:t xml:space="preserve">    </w:t>
      </w:r>
      <w:r>
        <w:rPr>
          <w:rFonts w:ascii="宋体" w:hAnsi="宋体" w:hint="eastAsia"/>
          <w:bCs/>
          <w:lang w:eastAsia="zh-CN"/>
        </w:rPr>
        <w:t>份。</w:t>
      </w:r>
    </w:p>
    <w:p w14:paraId="7E27EE25">
      <w:pPr>
        <w:spacing w:line="360" w:lineRule="auto"/>
        <w:rPr>
          <w:rFonts w:ascii="宋体" w:hAnsi="宋体"/>
          <w:lang w:eastAsia="zh-CN"/>
        </w:rPr>
      </w:pPr>
    </w:p>
    <w:p w14:paraId="3C8E13FF">
      <w:pPr>
        <w:spacing w:line="360" w:lineRule="auto"/>
        <w:rPr>
          <w:rFonts w:ascii="宋体" w:hAnsi="宋体"/>
          <w:lang w:eastAsia="zh-CN"/>
        </w:rPr>
      </w:pPr>
    </w:p>
    <w:p w14:paraId="489E7E76">
      <w:pPr>
        <w:spacing w:line="360" w:lineRule="auto"/>
        <w:rPr>
          <w:rFonts w:ascii="宋体" w:hAnsi="宋体"/>
          <w:lang w:eastAsia="zh-CN"/>
        </w:rPr>
      </w:pPr>
    </w:p>
    <w:p w14:paraId="69DF0D72">
      <w:pPr>
        <w:spacing w:line="360" w:lineRule="auto"/>
        <w:rPr>
          <w:rFonts w:ascii="宋体" w:hAnsi="宋体"/>
          <w:lang w:eastAsia="zh-CN"/>
        </w:rPr>
        <w:sectPr>
          <w:pgSz w:w="11906" w:h="16838"/>
          <w:pgMar w:top="1440" w:right="1800" w:bottom="1440" w:left="1800" w:header="851" w:footer="992" w:gutter="0"/>
          <w:cols w:num="1" w:space="720"/>
          <w:docGrid w:type="lines" w:linePitch="312" w:charSpace="0"/>
        </w:sectPr>
      </w:pPr>
    </w:p>
    <w:p w14:paraId="2BBD6AF7">
      <w:pPr>
        <w:spacing w:line="360" w:lineRule="auto"/>
        <w:rPr>
          <w:rFonts w:ascii="宋体" w:hAnsi="宋体"/>
          <w:lang w:eastAsia="zh-CN"/>
        </w:rPr>
      </w:pPr>
      <w:r>
        <w:rPr>
          <w:rFonts w:ascii="宋体" w:hAnsi="宋体" w:hint="eastAsia"/>
          <w:lang w:eastAsia="zh-CN"/>
        </w:rPr>
        <w:t>发包人：</w:t>
      </w:r>
      <w:r>
        <w:rPr>
          <w:rFonts w:ascii="宋体" w:hAnsi="宋体" w:hint="eastAsia"/>
          <w:color w:val="00B0F0"/>
          <w:u w:val="single"/>
          <w:lang w:eastAsia="zh-CN"/>
        </w:rPr>
        <w:t xml:space="preserve">                   </w:t>
      </w:r>
      <w:r>
        <w:rPr>
          <w:rFonts w:ascii="宋体" w:hAnsi="宋体" w:hint="eastAsia"/>
          <w:lang w:eastAsia="zh-CN"/>
        </w:rPr>
        <w:t>(公章)</w:t>
      </w:r>
    </w:p>
    <w:p w14:paraId="77549C52">
      <w:pPr>
        <w:spacing w:line="360" w:lineRule="auto"/>
        <w:rPr>
          <w:rFonts w:ascii="宋体" w:hAnsi="宋体"/>
          <w:lang w:eastAsia="zh-CN"/>
        </w:rPr>
      </w:pPr>
    </w:p>
    <w:p w14:paraId="43195773">
      <w:pPr>
        <w:spacing w:line="360" w:lineRule="auto"/>
        <w:rPr>
          <w:rFonts w:ascii="宋体" w:hAnsi="宋体"/>
          <w:lang w:eastAsia="zh-CN"/>
        </w:rPr>
      </w:pPr>
      <w:r>
        <w:rPr>
          <w:rFonts w:ascii="宋体" w:hAnsi="宋体" w:hint="eastAsia"/>
          <w:lang w:eastAsia="zh-CN"/>
        </w:rPr>
        <w:t>承包人：</w:t>
      </w:r>
      <w:r>
        <w:rPr>
          <w:rFonts w:ascii="宋体" w:hAnsi="宋体" w:hint="eastAsia"/>
          <w:color w:val="00B0F0"/>
          <w:u w:val="single"/>
          <w:lang w:eastAsia="zh-CN"/>
        </w:rPr>
        <w:t xml:space="preserve">                   </w:t>
      </w:r>
      <w:r>
        <w:rPr>
          <w:rFonts w:ascii="宋体" w:hAnsi="宋体" w:hint="eastAsia"/>
          <w:lang w:eastAsia="zh-CN"/>
        </w:rPr>
        <w:t>(公章)</w:t>
      </w:r>
    </w:p>
    <w:p w14:paraId="50E024DB">
      <w:pPr>
        <w:spacing w:line="360" w:lineRule="auto"/>
        <w:rPr>
          <w:rFonts w:ascii="宋体" w:hAnsi="宋体"/>
          <w:lang w:eastAsia="zh-CN"/>
        </w:rPr>
      </w:pPr>
    </w:p>
    <w:p w14:paraId="56E6ECA6">
      <w:pPr>
        <w:spacing w:line="360" w:lineRule="auto"/>
        <w:rPr>
          <w:rFonts w:ascii="宋体" w:hAnsi="宋体"/>
          <w:lang w:eastAsia="zh-CN"/>
        </w:rPr>
        <w:sectPr>
          <w:type w:val="continuous"/>
          <w:pgSz w:w="11906" w:h="16838"/>
          <w:pgMar w:top="1440" w:right="1800" w:bottom="1440" w:left="1800" w:header="851" w:footer="992" w:gutter="0"/>
          <w:cols w:num="2" w:space="425"/>
          <w:docGrid w:type="lines" w:linePitch="312" w:charSpace="0"/>
        </w:sectPr>
      </w:pPr>
    </w:p>
    <w:p w14:paraId="3B036C81">
      <w:pPr>
        <w:spacing w:line="360" w:lineRule="auto"/>
        <w:rPr>
          <w:rFonts w:ascii="宋体" w:hAnsi="宋体"/>
          <w:u w:val="single"/>
        </w:rPr>
      </w:pPr>
      <w:r>
        <w:rPr>
          <w:rFonts w:ascii="宋体" w:hAnsi="宋体" w:hint="eastAsia"/>
        </w:rPr>
        <w:t>法定代表人或其委托代理人：</w:t>
      </w:r>
      <w:r>
        <w:rPr>
          <w:rFonts w:ascii="宋体" w:hAnsi="宋体" w:hint="eastAsia"/>
          <w:color w:val="00B0F0"/>
          <w:u w:val="single"/>
        </w:rPr>
        <w:t xml:space="preserve">       </w:t>
      </w:r>
    </w:p>
    <w:p w14:paraId="26F475AA">
      <w:pPr>
        <w:spacing w:line="360" w:lineRule="auto"/>
        <w:ind w:firstLine="3000" w:firstLineChars="1250"/>
        <w:rPr>
          <w:rFonts w:ascii="宋体" w:hAnsi="宋体"/>
          <w:lang w:eastAsia="zh-CN"/>
        </w:rPr>
      </w:pPr>
      <w:r>
        <w:rPr>
          <w:rFonts w:ascii="宋体" w:hAnsi="宋体" w:hint="eastAsia"/>
          <w:lang w:eastAsia="zh-CN"/>
        </w:rPr>
        <w:t>（签字）</w:t>
      </w:r>
    </w:p>
    <w:p w14:paraId="6357FEB3">
      <w:pPr>
        <w:spacing w:line="360" w:lineRule="auto"/>
        <w:rPr>
          <w:rFonts w:ascii="宋体" w:hAnsi="宋体"/>
          <w:u w:val="single"/>
          <w:lang w:eastAsia="zh-CN"/>
        </w:rPr>
      </w:pPr>
      <w:r>
        <w:rPr>
          <w:rFonts w:ascii="宋体" w:hAnsi="宋体" w:hint="eastAsia"/>
          <w:lang w:eastAsia="zh-CN"/>
        </w:rPr>
        <w:t>组织机构代码：</w:t>
      </w:r>
      <w:r>
        <w:rPr>
          <w:rFonts w:ascii="宋体" w:hAnsi="宋体" w:hint="eastAsia"/>
          <w:color w:val="00B0F0"/>
          <w:u w:val="single"/>
          <w:lang w:eastAsia="zh-CN"/>
        </w:rPr>
        <w:t xml:space="preserve">                   </w:t>
      </w:r>
    </w:p>
    <w:p w14:paraId="6C116BC7">
      <w:pPr>
        <w:spacing w:line="360" w:lineRule="auto"/>
        <w:rPr>
          <w:rFonts w:ascii="宋体" w:hAnsi="宋体"/>
          <w:u w:val="single"/>
        </w:rPr>
      </w:pPr>
      <w:r>
        <w:rPr>
          <w:rFonts w:ascii="宋体" w:hAnsi="宋体" w:hint="eastAsia"/>
        </w:rPr>
        <w:t>法定代表人或其委托代理人：</w:t>
      </w:r>
      <w:r>
        <w:rPr>
          <w:rFonts w:ascii="宋体" w:hAnsi="宋体" w:hint="eastAsia"/>
          <w:color w:val="00B0F0"/>
          <w:u w:val="single"/>
        </w:rPr>
        <w:t xml:space="preserve">       </w:t>
      </w:r>
    </w:p>
    <w:p w14:paraId="7B6958B0">
      <w:pPr>
        <w:spacing w:line="360" w:lineRule="auto"/>
        <w:ind w:firstLine="3000" w:firstLineChars="1250"/>
        <w:rPr>
          <w:rFonts w:ascii="宋体" w:hAnsi="宋体"/>
          <w:lang w:eastAsia="zh-CN"/>
        </w:rPr>
      </w:pPr>
      <w:r>
        <w:rPr>
          <w:rFonts w:ascii="宋体" w:hAnsi="宋体" w:hint="eastAsia"/>
          <w:lang w:eastAsia="zh-CN"/>
        </w:rPr>
        <w:t>（签字）</w:t>
      </w:r>
    </w:p>
    <w:p w14:paraId="5B08F6EE">
      <w:pPr>
        <w:spacing w:line="360" w:lineRule="auto"/>
        <w:rPr>
          <w:rFonts w:ascii="宋体" w:hAnsi="宋体"/>
          <w:u w:val="single"/>
          <w:lang w:eastAsia="zh-CN"/>
        </w:rPr>
      </w:pPr>
      <w:r>
        <w:rPr>
          <w:rFonts w:ascii="宋体" w:hAnsi="宋体" w:hint="eastAsia"/>
          <w:lang w:eastAsia="zh-CN"/>
        </w:rPr>
        <w:t>组织机构代码：</w:t>
      </w:r>
      <w:r>
        <w:rPr>
          <w:rFonts w:ascii="宋体" w:hAnsi="宋体" w:hint="eastAsia"/>
          <w:color w:val="00B0F0"/>
          <w:u w:val="single"/>
          <w:lang w:eastAsia="zh-CN"/>
        </w:rPr>
        <w:t xml:space="preserve">                   </w:t>
      </w:r>
    </w:p>
    <w:p w14:paraId="7CE97EDA">
      <w:pPr>
        <w:spacing w:line="360" w:lineRule="auto"/>
        <w:rPr>
          <w:rFonts w:ascii="宋体" w:hAnsi="宋体"/>
          <w:lang w:eastAsia="zh-CN"/>
        </w:rPr>
        <w:sectPr>
          <w:type w:val="continuous"/>
          <w:pgSz w:w="11906" w:h="16838"/>
          <w:pgMar w:top="1440" w:right="1800" w:bottom="1440" w:left="1800" w:header="851" w:footer="992" w:gutter="0"/>
          <w:cols w:num="2" w:space="425"/>
          <w:docGrid w:type="lines" w:linePitch="312" w:charSpace="0"/>
        </w:sectPr>
      </w:pPr>
    </w:p>
    <w:p w14:paraId="14E9F2E2">
      <w:pPr>
        <w:spacing w:line="360" w:lineRule="auto"/>
        <w:rPr>
          <w:rFonts w:ascii="宋体" w:hAnsi="宋体"/>
          <w:u w:val="single"/>
          <w:lang w:eastAsia="zh-CN"/>
        </w:rPr>
      </w:pPr>
      <w:r>
        <w:rPr>
          <w:rFonts w:ascii="宋体" w:hAnsi="宋体" w:hint="eastAsia"/>
          <w:lang w:eastAsia="zh-CN"/>
        </w:rPr>
        <w:t>地址：</w:t>
      </w:r>
      <w:r>
        <w:rPr>
          <w:rFonts w:ascii="宋体" w:hAnsi="宋体" w:hint="eastAsia"/>
          <w:color w:val="00B0F0"/>
          <w:u w:val="single"/>
          <w:lang w:eastAsia="zh-CN"/>
        </w:rPr>
        <w:t xml:space="preserve">                           </w:t>
      </w:r>
    </w:p>
    <w:p w14:paraId="792C4ADA">
      <w:pPr>
        <w:spacing w:line="360" w:lineRule="auto"/>
        <w:rPr>
          <w:rFonts w:ascii="宋体" w:hAnsi="宋体"/>
          <w:u w:val="single"/>
          <w:lang w:eastAsia="zh-CN"/>
        </w:rPr>
      </w:pPr>
      <w:r>
        <w:rPr>
          <w:rFonts w:ascii="宋体" w:hAnsi="宋体" w:hint="eastAsia"/>
          <w:lang w:eastAsia="zh-CN"/>
        </w:rPr>
        <w:t>邮政编码：</w:t>
      </w:r>
      <w:r>
        <w:rPr>
          <w:rFonts w:ascii="宋体" w:hAnsi="宋体" w:hint="eastAsia"/>
          <w:color w:val="00B0F0"/>
          <w:u w:val="single"/>
          <w:lang w:eastAsia="zh-CN"/>
        </w:rPr>
        <w:t xml:space="preserve">                       </w:t>
      </w:r>
    </w:p>
    <w:p w14:paraId="1A2B4A27">
      <w:pPr>
        <w:spacing w:line="360" w:lineRule="auto"/>
        <w:rPr>
          <w:rFonts w:ascii="宋体" w:hAnsi="宋体"/>
          <w:u w:val="single"/>
          <w:lang w:eastAsia="zh-CN"/>
        </w:rPr>
      </w:pPr>
      <w:r>
        <w:rPr>
          <w:rFonts w:ascii="宋体" w:hAnsi="宋体" w:hint="eastAsia"/>
          <w:lang w:eastAsia="zh-CN"/>
        </w:rPr>
        <w:t>法定代表人：</w:t>
      </w:r>
      <w:r>
        <w:rPr>
          <w:rFonts w:ascii="宋体" w:hAnsi="宋体" w:hint="eastAsia"/>
          <w:color w:val="00B0F0"/>
          <w:u w:val="single"/>
          <w:lang w:eastAsia="zh-CN"/>
        </w:rPr>
        <w:t xml:space="preserve">                     </w:t>
      </w:r>
    </w:p>
    <w:p w14:paraId="65B2B72C">
      <w:pPr>
        <w:spacing w:line="360" w:lineRule="auto"/>
        <w:rPr>
          <w:rFonts w:ascii="宋体" w:hAnsi="宋体"/>
          <w:u w:val="single"/>
          <w:lang w:eastAsia="zh-CN"/>
        </w:rPr>
      </w:pPr>
      <w:r>
        <w:rPr>
          <w:rFonts w:ascii="宋体" w:hAnsi="宋体" w:hint="eastAsia"/>
          <w:lang w:eastAsia="zh-CN"/>
        </w:rPr>
        <w:t>地址：</w:t>
      </w:r>
      <w:r>
        <w:rPr>
          <w:rFonts w:ascii="宋体" w:hAnsi="宋体" w:hint="eastAsia"/>
          <w:color w:val="00B0F0"/>
          <w:u w:val="single"/>
          <w:lang w:eastAsia="zh-CN"/>
        </w:rPr>
        <w:t xml:space="preserve">                           </w:t>
      </w:r>
    </w:p>
    <w:p w14:paraId="0B560EC6">
      <w:pPr>
        <w:spacing w:line="360" w:lineRule="auto"/>
        <w:rPr>
          <w:rFonts w:ascii="宋体" w:hAnsi="宋体"/>
          <w:u w:val="single"/>
          <w:lang w:eastAsia="zh-CN"/>
        </w:rPr>
      </w:pPr>
      <w:r>
        <w:rPr>
          <w:rFonts w:ascii="宋体" w:hAnsi="宋体" w:hint="eastAsia"/>
          <w:lang w:eastAsia="zh-CN"/>
        </w:rPr>
        <w:t>邮政编码：</w:t>
      </w:r>
      <w:r>
        <w:rPr>
          <w:rFonts w:ascii="宋体" w:hAnsi="宋体" w:hint="eastAsia"/>
          <w:color w:val="00B0F0"/>
          <w:u w:val="single"/>
          <w:lang w:eastAsia="zh-CN"/>
        </w:rPr>
        <w:t xml:space="preserve">                       </w:t>
      </w:r>
    </w:p>
    <w:p w14:paraId="18F7C8AF">
      <w:pPr>
        <w:spacing w:line="360" w:lineRule="auto"/>
        <w:rPr>
          <w:rFonts w:ascii="宋体" w:hAnsi="宋体"/>
          <w:lang w:eastAsia="zh-CN"/>
        </w:rPr>
      </w:pPr>
      <w:r>
        <w:rPr>
          <w:rFonts w:ascii="宋体" w:hAnsi="宋体" w:hint="eastAsia"/>
          <w:lang w:eastAsia="zh-CN"/>
        </w:rPr>
        <w:t>法定代表人：</w:t>
      </w:r>
      <w:r>
        <w:rPr>
          <w:rFonts w:ascii="宋体" w:hAnsi="宋体" w:hint="eastAsia"/>
          <w:color w:val="00B0F0"/>
          <w:u w:val="single"/>
          <w:lang w:eastAsia="zh-CN"/>
        </w:rPr>
        <w:t xml:space="preserve">                     </w:t>
      </w:r>
    </w:p>
    <w:p w14:paraId="01B822AE">
      <w:pPr>
        <w:spacing w:line="360" w:lineRule="auto"/>
        <w:rPr>
          <w:rFonts w:ascii="宋体" w:hAnsi="宋体"/>
          <w:lang w:eastAsia="zh-CN"/>
        </w:rPr>
        <w:sectPr>
          <w:type w:val="continuous"/>
          <w:pgSz w:w="11906" w:h="16838"/>
          <w:pgMar w:top="1440" w:right="1800" w:bottom="1440" w:left="1800" w:header="851" w:footer="992" w:gutter="0"/>
          <w:cols w:num="2" w:space="425"/>
          <w:docGrid w:type="lines" w:linePitch="312" w:charSpace="0"/>
        </w:sectPr>
      </w:pPr>
    </w:p>
    <w:p w14:paraId="7A01899D">
      <w:pPr>
        <w:spacing w:line="360" w:lineRule="auto"/>
        <w:rPr>
          <w:rFonts w:ascii="宋体" w:hAnsi="宋体"/>
          <w:u w:val="single"/>
        </w:rPr>
      </w:pPr>
      <w:r>
        <w:rPr>
          <w:rFonts w:ascii="宋体" w:hAnsi="宋体" w:hint="eastAsia"/>
        </w:rPr>
        <w:t>委托代理人：</w:t>
      </w:r>
      <w:r>
        <w:rPr>
          <w:rFonts w:ascii="宋体" w:hAnsi="宋体" w:hint="eastAsia"/>
          <w:color w:val="00B0F0"/>
          <w:u w:val="single"/>
        </w:rPr>
        <w:t xml:space="preserve">                     </w:t>
      </w:r>
    </w:p>
    <w:p w14:paraId="1612AD4D">
      <w:pPr>
        <w:spacing w:line="360" w:lineRule="auto"/>
        <w:rPr>
          <w:rFonts w:ascii="宋体" w:hAnsi="宋体"/>
          <w:u w:val="single"/>
        </w:rPr>
      </w:pPr>
      <w:r>
        <w:rPr>
          <w:rFonts w:ascii="宋体" w:hAnsi="宋体" w:hint="eastAsia"/>
        </w:rPr>
        <w:t>委托代理人：</w:t>
      </w:r>
      <w:r>
        <w:rPr>
          <w:rFonts w:ascii="宋体" w:hAnsi="宋体" w:hint="eastAsia"/>
          <w:color w:val="00B0F0"/>
          <w:u w:val="single"/>
        </w:rPr>
        <w:t xml:space="preserve">                     </w:t>
      </w:r>
    </w:p>
    <w:p w14:paraId="500362B2">
      <w:pPr>
        <w:spacing w:line="360" w:lineRule="auto"/>
        <w:rPr>
          <w:rFonts w:ascii="宋体" w:hAnsi="宋体"/>
          <w:u w:val="single"/>
          <w:lang w:eastAsia="zh-CN"/>
        </w:rPr>
      </w:pPr>
      <w:r>
        <w:rPr>
          <w:rFonts w:ascii="宋体" w:hAnsi="宋体" w:hint="eastAsia"/>
          <w:lang w:eastAsia="zh-CN"/>
        </w:rPr>
        <w:t>电话：</w:t>
      </w:r>
      <w:r>
        <w:rPr>
          <w:rFonts w:ascii="宋体" w:hAnsi="宋体" w:hint="eastAsia"/>
          <w:color w:val="00B0F0"/>
          <w:u w:val="single"/>
          <w:lang w:eastAsia="zh-CN"/>
        </w:rPr>
        <w:t xml:space="preserve">                     </w:t>
      </w:r>
    </w:p>
    <w:p w14:paraId="75CFE99E">
      <w:pPr>
        <w:spacing w:line="360" w:lineRule="auto"/>
        <w:rPr>
          <w:rFonts w:ascii="宋体" w:hAnsi="宋体"/>
          <w:u w:val="single"/>
          <w:lang w:eastAsia="zh-CN"/>
        </w:rPr>
      </w:pPr>
      <w:r>
        <w:rPr>
          <w:rFonts w:ascii="宋体" w:hAnsi="宋体" w:hint="eastAsia"/>
          <w:lang w:eastAsia="zh-CN"/>
        </w:rPr>
        <w:t>电话：</w:t>
      </w:r>
      <w:r>
        <w:rPr>
          <w:rFonts w:ascii="宋体" w:hAnsi="宋体" w:hint="eastAsia"/>
          <w:color w:val="00B0F0"/>
          <w:u w:val="single"/>
          <w:lang w:eastAsia="zh-CN"/>
        </w:rPr>
        <w:t xml:space="preserve">                     </w:t>
      </w:r>
    </w:p>
    <w:p w14:paraId="6D42A01A">
      <w:pPr>
        <w:spacing w:line="360" w:lineRule="auto"/>
        <w:rPr>
          <w:rFonts w:ascii="宋体" w:hAnsi="宋体"/>
          <w:lang w:eastAsia="zh-CN"/>
        </w:rPr>
        <w:sectPr>
          <w:type w:val="continuous"/>
          <w:pgSz w:w="11906" w:h="16838"/>
          <w:pgMar w:top="1440" w:right="1800" w:bottom="1440" w:left="1800" w:header="851" w:footer="992" w:gutter="0"/>
          <w:cols w:num="2" w:space="425"/>
          <w:docGrid w:type="lines" w:linePitch="312" w:charSpace="0"/>
        </w:sectPr>
      </w:pPr>
    </w:p>
    <w:p w14:paraId="5E2FBC96">
      <w:pPr>
        <w:spacing w:line="360" w:lineRule="auto"/>
        <w:rPr>
          <w:rFonts w:ascii="宋体" w:hAnsi="宋体"/>
          <w:u w:val="single"/>
          <w:lang w:eastAsia="zh-CN"/>
        </w:rPr>
      </w:pPr>
      <w:r>
        <w:rPr>
          <w:rFonts w:ascii="宋体" w:hAnsi="宋体" w:hint="eastAsia"/>
          <w:lang w:eastAsia="zh-CN"/>
        </w:rPr>
        <w:t>传真：</w:t>
      </w:r>
      <w:r>
        <w:rPr>
          <w:rFonts w:ascii="宋体" w:hAnsi="宋体" w:hint="eastAsia"/>
          <w:color w:val="00B0F0"/>
          <w:u w:val="single"/>
          <w:lang w:eastAsia="zh-CN"/>
        </w:rPr>
        <w:t xml:space="preserve">                     </w:t>
      </w:r>
    </w:p>
    <w:p w14:paraId="0107BDE6">
      <w:pPr>
        <w:spacing w:line="360" w:lineRule="auto"/>
        <w:rPr>
          <w:rFonts w:ascii="宋体" w:hAnsi="宋体"/>
          <w:u w:val="single"/>
          <w:lang w:eastAsia="zh-CN"/>
        </w:rPr>
      </w:pPr>
      <w:r>
        <w:rPr>
          <w:rFonts w:ascii="宋体" w:hAnsi="宋体" w:hint="eastAsia"/>
          <w:lang w:eastAsia="zh-CN"/>
        </w:rPr>
        <w:t>电子信箱：</w:t>
      </w:r>
      <w:r>
        <w:rPr>
          <w:rFonts w:ascii="宋体" w:hAnsi="宋体" w:hint="eastAsia"/>
          <w:color w:val="00B0F0"/>
          <w:u w:val="single"/>
          <w:lang w:eastAsia="zh-CN"/>
        </w:rPr>
        <w:t xml:space="preserve">                     </w:t>
      </w:r>
    </w:p>
    <w:p w14:paraId="2C45498B">
      <w:pPr>
        <w:spacing w:line="360" w:lineRule="auto"/>
        <w:rPr>
          <w:rFonts w:ascii="宋体" w:hAnsi="宋体"/>
          <w:u w:val="single"/>
          <w:lang w:eastAsia="zh-CN"/>
        </w:rPr>
      </w:pPr>
      <w:r>
        <w:rPr>
          <w:rFonts w:ascii="宋体" w:hAnsi="宋体" w:hint="eastAsia"/>
          <w:lang w:eastAsia="zh-CN"/>
        </w:rPr>
        <w:t>开户银行：</w:t>
      </w:r>
      <w:r>
        <w:rPr>
          <w:rFonts w:ascii="宋体" w:hAnsi="宋体" w:hint="eastAsia"/>
          <w:color w:val="00B0F0"/>
          <w:u w:val="single"/>
          <w:lang w:eastAsia="zh-CN"/>
        </w:rPr>
        <w:t xml:space="preserve">                     </w:t>
      </w:r>
    </w:p>
    <w:p w14:paraId="6795E6E4">
      <w:pPr>
        <w:spacing w:line="360" w:lineRule="auto"/>
        <w:rPr>
          <w:rFonts w:ascii="宋体" w:hAnsi="宋体"/>
          <w:u w:val="single"/>
          <w:lang w:eastAsia="zh-CN"/>
        </w:rPr>
      </w:pPr>
      <w:r>
        <w:rPr>
          <w:rFonts w:ascii="宋体" w:hAnsi="宋体" w:hint="eastAsia"/>
          <w:lang w:eastAsia="zh-CN"/>
        </w:rPr>
        <w:t>账号：</w:t>
      </w:r>
      <w:r>
        <w:rPr>
          <w:rFonts w:ascii="宋体" w:hAnsi="宋体" w:hint="eastAsia"/>
          <w:color w:val="00B0F0"/>
          <w:u w:val="single"/>
          <w:lang w:eastAsia="zh-CN"/>
        </w:rPr>
        <w:t xml:space="preserve">                     </w:t>
      </w:r>
    </w:p>
    <w:p w14:paraId="7C2A6EBE">
      <w:pPr>
        <w:spacing w:line="360" w:lineRule="auto"/>
        <w:rPr>
          <w:rFonts w:ascii="宋体" w:hAnsi="宋体"/>
          <w:u w:val="single"/>
          <w:lang w:eastAsia="zh-CN"/>
        </w:rPr>
      </w:pPr>
      <w:r>
        <w:rPr>
          <w:rFonts w:ascii="宋体" w:hAnsi="宋体" w:hint="eastAsia"/>
          <w:lang w:eastAsia="zh-CN"/>
        </w:rPr>
        <w:t>传真：</w:t>
      </w:r>
      <w:r>
        <w:rPr>
          <w:rFonts w:ascii="宋体" w:hAnsi="宋体" w:hint="eastAsia"/>
          <w:color w:val="00B0F0"/>
          <w:u w:val="single"/>
          <w:lang w:eastAsia="zh-CN"/>
        </w:rPr>
        <w:t xml:space="preserve">                     </w:t>
      </w:r>
    </w:p>
    <w:p w14:paraId="311E4FED">
      <w:pPr>
        <w:spacing w:line="360" w:lineRule="auto"/>
        <w:rPr>
          <w:rFonts w:ascii="宋体" w:hAnsi="宋体"/>
          <w:u w:val="single"/>
          <w:lang w:eastAsia="zh-CN"/>
        </w:rPr>
      </w:pPr>
      <w:r>
        <w:rPr>
          <w:rFonts w:ascii="宋体" w:hAnsi="宋体" w:hint="eastAsia"/>
          <w:lang w:eastAsia="zh-CN"/>
        </w:rPr>
        <w:t>电子信箱：</w:t>
      </w:r>
      <w:r>
        <w:rPr>
          <w:rFonts w:ascii="宋体" w:hAnsi="宋体" w:hint="eastAsia"/>
          <w:color w:val="00B0F0"/>
          <w:u w:val="single"/>
          <w:lang w:eastAsia="zh-CN"/>
        </w:rPr>
        <w:t xml:space="preserve">                     </w:t>
      </w:r>
    </w:p>
    <w:p w14:paraId="23AC392C">
      <w:pPr>
        <w:spacing w:line="360" w:lineRule="auto"/>
        <w:rPr>
          <w:rFonts w:ascii="宋体" w:hAnsi="宋体"/>
          <w:u w:val="single"/>
          <w:lang w:eastAsia="zh-CN"/>
        </w:rPr>
      </w:pPr>
      <w:r>
        <w:rPr>
          <w:rFonts w:ascii="宋体" w:hAnsi="宋体" w:hint="eastAsia"/>
          <w:lang w:eastAsia="zh-CN"/>
        </w:rPr>
        <w:t>开户银行：</w:t>
      </w:r>
      <w:r>
        <w:rPr>
          <w:rFonts w:ascii="宋体" w:hAnsi="宋体" w:hint="eastAsia"/>
          <w:color w:val="00B0F0"/>
          <w:u w:val="single"/>
          <w:lang w:eastAsia="zh-CN"/>
        </w:rPr>
        <w:t xml:space="preserve">                     </w:t>
      </w:r>
    </w:p>
    <w:p w14:paraId="69B43469">
      <w:pPr>
        <w:spacing w:line="360" w:lineRule="auto"/>
        <w:rPr>
          <w:rFonts w:ascii="宋体" w:hAnsi="宋体"/>
          <w:u w:val="single"/>
          <w:lang w:eastAsia="zh-CN"/>
        </w:rPr>
      </w:pPr>
      <w:r>
        <w:rPr>
          <w:rFonts w:ascii="宋体" w:hAnsi="宋体" w:hint="eastAsia"/>
          <w:lang w:eastAsia="zh-CN"/>
        </w:rPr>
        <w:t>账号：</w:t>
      </w:r>
      <w:r>
        <w:rPr>
          <w:rFonts w:ascii="宋体" w:hAnsi="宋体" w:hint="eastAsia"/>
          <w:color w:val="00B0F0"/>
          <w:u w:val="single"/>
          <w:lang w:eastAsia="zh-CN"/>
        </w:rPr>
        <w:t xml:space="preserve">                     </w:t>
      </w:r>
    </w:p>
    <w:p w14:paraId="651631FB">
      <w:pPr>
        <w:spacing w:line="360" w:lineRule="auto"/>
        <w:rPr>
          <w:rFonts w:ascii="宋体" w:hAnsi="宋体"/>
          <w:lang w:eastAsia="zh-CN"/>
        </w:rPr>
        <w:sectPr>
          <w:type w:val="continuous"/>
          <w:pgSz w:w="11906" w:h="16838"/>
          <w:pgMar w:top="1440" w:right="1800" w:bottom="1440" w:left="1800" w:header="851" w:footer="992" w:gutter="0"/>
          <w:cols w:num="2" w:space="425"/>
          <w:docGrid w:type="lines" w:linePitch="312" w:charSpace="0"/>
        </w:sectPr>
      </w:pPr>
    </w:p>
    <w:p w14:paraId="13CEA31A">
      <w:pPr>
        <w:rPr>
          <w:rFonts w:ascii="宋体" w:hAnsi="宋体"/>
          <w:sz w:val="18"/>
          <w:szCs w:val="22"/>
          <w:lang w:eastAsia="zh-CN"/>
        </w:rPr>
      </w:pPr>
    </w:p>
    <w:p w14:paraId="55E6FE82">
      <w:pPr>
        <w:rPr>
          <w:rFonts w:ascii="宋体" w:hAnsi="宋体"/>
          <w:sz w:val="18"/>
          <w:lang w:eastAsia="zh-CN"/>
        </w:rPr>
      </w:pPr>
      <w:r>
        <w:rPr>
          <w:rFonts w:ascii="宋体" w:hAnsi="宋体" w:hint="eastAsia"/>
          <w:sz w:val="18"/>
          <w:lang w:eastAsia="zh-CN"/>
        </w:rPr>
        <w:br w:type="page"/>
      </w:r>
    </w:p>
    <w:p w14:paraId="3131B839">
      <w:pPr>
        <w:pStyle w:val="Heading2"/>
        <w:spacing w:line="36" w:lineRule="auto"/>
        <w:jc w:val="center"/>
        <w:rPr>
          <w:rFonts w:ascii="宋体" w:hAnsi="宋体"/>
          <w:sz w:val="32"/>
        </w:rPr>
      </w:pPr>
      <w:bookmarkStart w:id="106" w:name="_Toc256000083"/>
      <w:r>
        <w:rPr>
          <w:rFonts w:ascii="宋体" w:hAnsi="宋体" w:hint="eastAsia"/>
          <w:sz w:val="32"/>
        </w:rPr>
        <w:t>第二部分 通用合同条款</w:t>
      </w:r>
      <w:bookmarkEnd w:id="106"/>
    </w:p>
    <w:p w14:paraId="67042A17">
      <w:pPr>
        <w:spacing w:line="36" w:lineRule="auto"/>
        <w:rPr>
          <w:rFonts w:ascii="宋体" w:hAnsi="宋体"/>
          <w:sz w:val="26"/>
          <w:lang w:eastAsia="zh-CN"/>
        </w:rPr>
      </w:pPr>
    </w:p>
    <w:p w14:paraId="7CCCFE15">
      <w:pPr>
        <w:spacing w:line="360" w:lineRule="auto"/>
        <w:rPr>
          <w:rFonts w:ascii="宋体" w:hAnsi="宋体"/>
          <w:bCs/>
          <w:lang w:eastAsia="zh-CN"/>
        </w:rPr>
      </w:pPr>
      <w:bookmarkStart w:id="107" w:name="_Toc351203495"/>
      <w:r>
        <w:rPr>
          <w:rFonts w:ascii="宋体" w:hAnsi="宋体" w:hint="eastAsia"/>
          <w:bCs/>
          <w:lang w:eastAsia="zh-CN"/>
        </w:rPr>
        <w:t>1.</w:t>
      </w:r>
      <w:bookmarkStart w:id="108" w:name="_Toc303538976"/>
      <w:bookmarkEnd w:id="108"/>
      <w:bookmarkStart w:id="109" w:name="_Toc303538974"/>
      <w:bookmarkEnd w:id="109"/>
      <w:bookmarkStart w:id="110" w:name="_Toc303538975"/>
      <w:bookmarkEnd w:id="110"/>
      <w:bookmarkStart w:id="111" w:name="_Toc303538972"/>
      <w:bookmarkEnd w:id="111"/>
      <w:bookmarkStart w:id="112" w:name="_Toc303538973"/>
      <w:bookmarkEnd w:id="112"/>
      <w:bookmarkStart w:id="113" w:name="_Toc296503027"/>
      <w:bookmarkStart w:id="114" w:name="_Toc296346528"/>
      <w:r>
        <w:rPr>
          <w:rFonts w:ascii="宋体" w:hAnsi="宋体" w:hint="eastAsia"/>
          <w:bCs/>
          <w:lang w:eastAsia="zh-CN"/>
        </w:rPr>
        <w:t xml:space="preserve"> 一般约定</w:t>
      </w:r>
      <w:bookmarkEnd w:id="107"/>
      <w:bookmarkEnd w:id="113"/>
      <w:bookmarkEnd w:id="114"/>
    </w:p>
    <w:p w14:paraId="5F0E849B">
      <w:pPr>
        <w:spacing w:line="360" w:lineRule="auto"/>
        <w:rPr>
          <w:rFonts w:ascii="宋体" w:hAnsi="宋体"/>
          <w:bCs/>
          <w:lang w:eastAsia="zh-CN"/>
        </w:rPr>
      </w:pPr>
      <w:bookmarkStart w:id="115" w:name="_Toc296346529"/>
      <w:bookmarkStart w:id="116" w:name="_Toc337558728"/>
      <w:bookmarkStart w:id="117" w:name="_Toc296503028"/>
      <w:bookmarkStart w:id="118" w:name="_Toc351203496"/>
      <w:r>
        <w:rPr>
          <w:rFonts w:ascii="宋体" w:hAnsi="宋体" w:hint="eastAsia"/>
          <w:bCs/>
          <w:lang w:eastAsia="zh-CN"/>
        </w:rPr>
        <w:t>1.1词语定义</w:t>
      </w:r>
      <w:bookmarkEnd w:id="115"/>
      <w:bookmarkEnd w:id="116"/>
      <w:bookmarkEnd w:id="117"/>
      <w:r>
        <w:rPr>
          <w:rFonts w:ascii="宋体" w:hAnsi="宋体" w:hint="eastAsia"/>
          <w:bCs/>
          <w:lang w:eastAsia="zh-CN"/>
        </w:rPr>
        <w:t>与解释</w:t>
      </w:r>
      <w:bookmarkEnd w:id="118"/>
    </w:p>
    <w:p w14:paraId="409CE622">
      <w:pPr>
        <w:spacing w:line="360" w:lineRule="auto"/>
        <w:rPr>
          <w:rFonts w:ascii="宋体" w:hAnsi="宋体"/>
          <w:lang w:eastAsia="zh-CN"/>
        </w:rPr>
      </w:pPr>
      <w:r>
        <w:rPr>
          <w:rFonts w:ascii="宋体" w:hAnsi="宋体" w:hint="eastAsia"/>
          <w:lang w:eastAsia="zh-CN"/>
        </w:rPr>
        <w:t>合同协议书、通用合同条款、专用合同条款中的下列词语具有本款所赋予的含义：</w:t>
      </w:r>
    </w:p>
    <w:p w14:paraId="0A6888E0">
      <w:pPr>
        <w:spacing w:line="360" w:lineRule="auto"/>
        <w:rPr>
          <w:rFonts w:ascii="宋体" w:hAnsi="宋体"/>
          <w:lang w:eastAsia="zh-CN"/>
        </w:rPr>
      </w:pPr>
      <w:r>
        <w:rPr>
          <w:rFonts w:ascii="宋体" w:hAnsi="宋体" w:hint="eastAsia"/>
          <w:lang w:eastAsia="zh-CN"/>
        </w:rPr>
        <w:t>1.1.1 合同</w:t>
      </w:r>
    </w:p>
    <w:p w14:paraId="5B4D44D8">
      <w:pPr>
        <w:spacing w:line="360" w:lineRule="auto"/>
        <w:rPr>
          <w:rFonts w:ascii="宋体" w:hAnsi="宋体"/>
          <w:lang w:eastAsia="zh-CN"/>
        </w:rPr>
      </w:pPr>
      <w:r>
        <w:rPr>
          <w:rFonts w:ascii="宋体" w:hAnsi="宋体" w:hint="eastAsia"/>
          <w:lang w:eastAsia="zh-CN"/>
        </w:rPr>
        <w:t>1.1.1.1 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0A2E63E4">
      <w:pPr>
        <w:spacing w:line="360" w:lineRule="auto"/>
        <w:rPr>
          <w:rFonts w:ascii="宋体" w:hAnsi="宋体"/>
          <w:lang w:eastAsia="zh-CN"/>
        </w:rPr>
      </w:pPr>
      <w:r>
        <w:rPr>
          <w:rFonts w:ascii="宋体" w:hAnsi="宋体" w:hint="eastAsia"/>
          <w:lang w:eastAsia="zh-CN"/>
        </w:rPr>
        <w:t>1.1.1.2 合同协议书：是指构成合同的由发包人和承包人共同签署的称为“合同协议书”的书面文件。</w:t>
      </w:r>
    </w:p>
    <w:p w14:paraId="2D3DD84E">
      <w:pPr>
        <w:spacing w:line="360" w:lineRule="auto"/>
        <w:rPr>
          <w:rFonts w:ascii="宋体" w:hAnsi="宋体"/>
          <w:lang w:eastAsia="zh-CN"/>
        </w:rPr>
      </w:pPr>
      <w:r>
        <w:rPr>
          <w:rFonts w:ascii="宋体" w:hAnsi="宋体" w:hint="eastAsia"/>
          <w:lang w:eastAsia="zh-CN"/>
        </w:rPr>
        <w:t>1.1.1.3 中标通知书：是指构成合同的由发包人通知承包人中标的书面文件。</w:t>
      </w:r>
    </w:p>
    <w:p w14:paraId="286EEEF9">
      <w:pPr>
        <w:spacing w:line="360" w:lineRule="auto"/>
        <w:rPr>
          <w:rFonts w:ascii="宋体" w:hAnsi="宋体"/>
          <w:lang w:eastAsia="zh-CN"/>
        </w:rPr>
      </w:pPr>
      <w:r>
        <w:rPr>
          <w:rFonts w:ascii="宋体" w:hAnsi="宋体" w:hint="eastAsia"/>
          <w:lang w:eastAsia="zh-CN"/>
        </w:rPr>
        <w:t>1.1.1.4 投标函：是指构成合同的由承包人填写并签署的用于投标的称为“投标函”的文件。</w:t>
      </w:r>
    </w:p>
    <w:p w14:paraId="56D06F28">
      <w:pPr>
        <w:spacing w:line="360" w:lineRule="auto"/>
        <w:rPr>
          <w:rFonts w:ascii="宋体" w:hAnsi="宋体"/>
          <w:lang w:eastAsia="zh-CN"/>
        </w:rPr>
      </w:pPr>
      <w:r>
        <w:rPr>
          <w:rFonts w:ascii="宋体" w:hAnsi="宋体" w:hint="eastAsia"/>
          <w:lang w:eastAsia="zh-CN"/>
        </w:rPr>
        <w:t>1.1.1.5 投标函附录：是指构成合同的附在投标函后的称为“投标函附录”的文件。</w:t>
      </w:r>
    </w:p>
    <w:p w14:paraId="751B300A">
      <w:pPr>
        <w:spacing w:line="360" w:lineRule="auto"/>
        <w:rPr>
          <w:rFonts w:ascii="宋体" w:hAnsi="宋体"/>
          <w:lang w:eastAsia="zh-CN"/>
        </w:rPr>
      </w:pPr>
      <w:r>
        <w:rPr>
          <w:rFonts w:ascii="宋体" w:hAnsi="宋体" w:hint="eastAsia"/>
          <w:lang w:eastAsia="zh-CN"/>
        </w:rPr>
        <w:t>1.1.1.6 技术标准和要求：是指构成合同的施工应当遵守的或指导施工的国家、行业或地方的技术标准和要求，以及合同约定的技术标准和要求。</w:t>
      </w:r>
    </w:p>
    <w:p w14:paraId="2A5FBF6F">
      <w:pPr>
        <w:spacing w:line="360" w:lineRule="auto"/>
        <w:rPr>
          <w:rFonts w:ascii="宋体" w:hAnsi="宋体"/>
          <w:lang w:eastAsia="zh-CN"/>
        </w:rPr>
      </w:pPr>
      <w:r>
        <w:rPr>
          <w:rFonts w:ascii="宋体" w:hAnsi="宋体" w:hint="eastAsia"/>
          <w:lang w:eastAsia="zh-CN"/>
        </w:rPr>
        <w:t>1.1.1.7 图纸：是指构成合同的图纸，包括由发包人按照合同约定提供或经发包人批准的设计文件、施工图、鸟瞰图及模型等，以及在合同履行过程中形成的图纸文件。图纸应当按照法律规定审查合格。</w:t>
      </w:r>
    </w:p>
    <w:p w14:paraId="62EA5D91">
      <w:pPr>
        <w:spacing w:line="360" w:lineRule="auto"/>
        <w:rPr>
          <w:rFonts w:ascii="宋体" w:hAnsi="宋体"/>
          <w:lang w:eastAsia="zh-CN"/>
        </w:rPr>
      </w:pPr>
      <w:r>
        <w:rPr>
          <w:rFonts w:ascii="宋体" w:hAnsi="宋体" w:hint="eastAsia"/>
          <w:lang w:eastAsia="zh-CN"/>
        </w:rPr>
        <w:t>1.1.1.8 已标价工程量清单：是指构成合同的由承包人按照规定的格式和要求填写并标明价格的工程量清单，包括说明和表格。</w:t>
      </w:r>
    </w:p>
    <w:p w14:paraId="574C1CF4">
      <w:pPr>
        <w:spacing w:line="360" w:lineRule="auto"/>
        <w:rPr>
          <w:rFonts w:ascii="宋体" w:hAnsi="宋体"/>
          <w:lang w:eastAsia="zh-CN"/>
        </w:rPr>
      </w:pPr>
      <w:r>
        <w:rPr>
          <w:rFonts w:ascii="宋体" w:hAnsi="宋体" w:hint="eastAsia"/>
          <w:lang w:eastAsia="zh-CN"/>
        </w:rPr>
        <w:t>1.1.1.9 预算书：是指构成合同的由承包人按照发包人规定的格式和要求编制的工程预算文件。</w:t>
      </w:r>
    </w:p>
    <w:p w14:paraId="4D0DC97D">
      <w:pPr>
        <w:spacing w:line="360" w:lineRule="auto"/>
        <w:rPr>
          <w:rFonts w:ascii="宋体" w:hAnsi="宋体"/>
          <w:lang w:eastAsia="zh-CN"/>
        </w:rPr>
      </w:pPr>
      <w:r>
        <w:rPr>
          <w:rFonts w:ascii="宋体" w:hAnsi="宋体" w:hint="eastAsia"/>
          <w:lang w:eastAsia="zh-CN"/>
        </w:rPr>
        <w:t>1.1.1.10 其他合同文件：是指经合同当事人约定的与工程施工有关的具有合同约束力的文件或书面协议。合同当事人可以在专用合同条款中进行约定。</w:t>
      </w:r>
    </w:p>
    <w:p w14:paraId="779655C7">
      <w:pPr>
        <w:spacing w:line="360" w:lineRule="auto"/>
        <w:rPr>
          <w:rFonts w:ascii="宋体" w:hAnsi="宋体"/>
          <w:lang w:eastAsia="zh-CN"/>
        </w:rPr>
      </w:pPr>
      <w:r>
        <w:rPr>
          <w:rFonts w:ascii="宋体" w:hAnsi="宋体" w:hint="eastAsia"/>
          <w:lang w:eastAsia="zh-CN"/>
        </w:rPr>
        <w:t>1.1.2 合同当事人及其他相关方</w:t>
      </w:r>
    </w:p>
    <w:p w14:paraId="0570DDD6">
      <w:pPr>
        <w:spacing w:line="360" w:lineRule="auto"/>
        <w:rPr>
          <w:rFonts w:ascii="宋体" w:hAnsi="宋体"/>
          <w:lang w:eastAsia="zh-CN"/>
        </w:rPr>
      </w:pPr>
      <w:r>
        <w:rPr>
          <w:rFonts w:ascii="宋体" w:hAnsi="宋体" w:hint="eastAsia"/>
          <w:lang w:eastAsia="zh-CN"/>
        </w:rPr>
        <w:t>1.1.2.1 合同当事人：是指发包人和（或）承包人。</w:t>
      </w:r>
    </w:p>
    <w:p w14:paraId="4E7E25D2">
      <w:pPr>
        <w:spacing w:line="360" w:lineRule="auto"/>
        <w:rPr>
          <w:rFonts w:ascii="宋体" w:hAnsi="宋体"/>
          <w:lang w:eastAsia="zh-CN"/>
        </w:rPr>
      </w:pPr>
      <w:r>
        <w:rPr>
          <w:rFonts w:ascii="宋体" w:hAnsi="宋体" w:hint="eastAsia"/>
          <w:lang w:eastAsia="zh-CN"/>
        </w:rPr>
        <w:t>1.1.2.2 发包人：是指与承包人签订合同协议书的当事人及取得该当事人资格的合法继承人。</w:t>
      </w:r>
    </w:p>
    <w:p w14:paraId="7F4A41B0">
      <w:pPr>
        <w:spacing w:line="360" w:lineRule="auto"/>
        <w:rPr>
          <w:rFonts w:ascii="宋体" w:hAnsi="宋体"/>
          <w:lang w:eastAsia="zh-CN"/>
        </w:rPr>
      </w:pPr>
      <w:r>
        <w:rPr>
          <w:rFonts w:ascii="宋体" w:hAnsi="宋体" w:hint="eastAsia"/>
          <w:lang w:eastAsia="zh-CN"/>
        </w:rPr>
        <w:t>1.1.2.3 承包人：是指与发包人签订合同协议书的，具有相应工程施工承包资质的当事人及取得该当事人资格的合法继承人。</w:t>
      </w:r>
    </w:p>
    <w:p w14:paraId="78344CA0">
      <w:pPr>
        <w:spacing w:line="360" w:lineRule="auto"/>
        <w:rPr>
          <w:rFonts w:ascii="宋体" w:hAnsi="宋体"/>
          <w:lang w:eastAsia="zh-CN"/>
        </w:rPr>
      </w:pPr>
      <w:r>
        <w:rPr>
          <w:rFonts w:ascii="宋体" w:hAnsi="宋体" w:hint="eastAsia"/>
          <w:lang w:eastAsia="zh-CN"/>
        </w:rPr>
        <w:t>1.1.2.4 监理人：是指在专用合同条款中指明的，受发包人委托按照法律规定进行工程监督管理的法人或其他组织。</w:t>
      </w:r>
    </w:p>
    <w:p w14:paraId="0B034D90">
      <w:pPr>
        <w:spacing w:line="360" w:lineRule="auto"/>
        <w:rPr>
          <w:rFonts w:ascii="宋体" w:hAnsi="宋体"/>
          <w:lang w:eastAsia="zh-CN"/>
        </w:rPr>
      </w:pPr>
      <w:r>
        <w:rPr>
          <w:rFonts w:ascii="宋体" w:hAnsi="宋体" w:hint="eastAsia"/>
          <w:lang w:eastAsia="zh-CN"/>
        </w:rPr>
        <w:t>1.1.2.5 设计人：是指在专用合同条款中指明的，受发包人委托负责工程设计并具备相应工程设计资质的法人或其他组织。</w:t>
      </w:r>
    </w:p>
    <w:p w14:paraId="43F3F5AF">
      <w:pPr>
        <w:spacing w:line="360" w:lineRule="auto"/>
        <w:rPr>
          <w:rFonts w:ascii="宋体" w:hAnsi="宋体"/>
          <w:lang w:eastAsia="zh-CN"/>
        </w:rPr>
      </w:pPr>
      <w:r>
        <w:rPr>
          <w:rFonts w:ascii="宋体" w:hAnsi="宋体" w:hint="eastAsia"/>
          <w:lang w:eastAsia="zh-CN"/>
        </w:rPr>
        <w:t>1.1.2.6 分包人：</w:t>
      </w:r>
      <w:bookmarkStart w:id="119" w:name="#go5"/>
      <w:bookmarkEnd w:id="119"/>
      <w:r>
        <w:rPr>
          <w:rFonts w:ascii="宋体" w:hAnsi="宋体" w:hint="eastAsia"/>
          <w:lang w:eastAsia="zh-CN"/>
        </w:rPr>
        <w:t>是指按照法律规定和合同约定，分包部分工程或工作，并与承包人签订分包合同的具有相应资质的法人。</w:t>
      </w:r>
    </w:p>
    <w:p w14:paraId="462D4CA2">
      <w:pPr>
        <w:spacing w:line="360" w:lineRule="auto"/>
        <w:rPr>
          <w:rFonts w:ascii="宋体" w:hAnsi="宋体"/>
          <w:lang w:eastAsia="zh-CN"/>
        </w:rPr>
      </w:pPr>
      <w:r>
        <w:rPr>
          <w:rFonts w:ascii="宋体" w:hAnsi="宋体" w:hint="eastAsia"/>
          <w:lang w:eastAsia="zh-CN"/>
        </w:rPr>
        <w:t>1.1.2.7 发包人代表：是指由发包人任命并派驻施工现场在发包人授权范围内行使发包人权利的人。</w:t>
      </w:r>
    </w:p>
    <w:p w14:paraId="5FE0BC42">
      <w:pPr>
        <w:spacing w:line="360" w:lineRule="auto"/>
        <w:rPr>
          <w:rFonts w:ascii="宋体" w:hAnsi="宋体"/>
          <w:lang w:eastAsia="zh-CN"/>
        </w:rPr>
      </w:pPr>
      <w:r>
        <w:rPr>
          <w:rFonts w:ascii="宋体" w:hAnsi="宋体" w:hint="eastAsia"/>
          <w:lang w:eastAsia="zh-CN"/>
        </w:rPr>
        <w:t>1.1.2.8 项目经理：是指由承包人任命并派驻施工现场，在承包人授权范围内负责合同履行，且按照法律规定具有相应资格的项目负责人。</w:t>
      </w:r>
    </w:p>
    <w:p w14:paraId="4FF8B83C">
      <w:pPr>
        <w:spacing w:line="360" w:lineRule="auto"/>
        <w:rPr>
          <w:rFonts w:ascii="宋体" w:hAnsi="宋体"/>
          <w:lang w:eastAsia="zh-CN"/>
        </w:rPr>
      </w:pPr>
      <w:r>
        <w:rPr>
          <w:rFonts w:ascii="宋体" w:hAnsi="宋体" w:hint="eastAsia"/>
          <w:lang w:eastAsia="zh-CN"/>
        </w:rPr>
        <w:t>1.1.2.9 总监理工程师：是指由监理人任命并派驻施工现场进行工程监理的总负责人。</w:t>
      </w:r>
    </w:p>
    <w:p w14:paraId="70DB4A9D">
      <w:pPr>
        <w:spacing w:line="360" w:lineRule="auto"/>
        <w:rPr>
          <w:rFonts w:ascii="宋体" w:hAnsi="宋体"/>
          <w:lang w:eastAsia="zh-CN"/>
        </w:rPr>
      </w:pPr>
      <w:r>
        <w:rPr>
          <w:rFonts w:ascii="宋体" w:hAnsi="宋体" w:hint="eastAsia"/>
          <w:lang w:eastAsia="zh-CN"/>
        </w:rPr>
        <w:t>1.1.3 工程和设备</w:t>
      </w:r>
    </w:p>
    <w:p w14:paraId="4D6F225A">
      <w:pPr>
        <w:spacing w:line="360" w:lineRule="auto"/>
        <w:rPr>
          <w:rFonts w:ascii="宋体" w:hAnsi="宋体"/>
          <w:lang w:eastAsia="zh-CN"/>
        </w:rPr>
      </w:pPr>
      <w:r>
        <w:rPr>
          <w:rFonts w:ascii="宋体" w:hAnsi="宋体" w:hint="eastAsia"/>
          <w:lang w:eastAsia="zh-CN"/>
        </w:rPr>
        <w:t>1.1.3.1 工程：是指与合同协议书中工程承包范围对应的永久工程和（或）临时工程。</w:t>
      </w:r>
    </w:p>
    <w:p w14:paraId="11574FD3">
      <w:pPr>
        <w:spacing w:line="360" w:lineRule="auto"/>
        <w:rPr>
          <w:rFonts w:ascii="宋体" w:hAnsi="宋体"/>
          <w:lang w:eastAsia="zh-CN"/>
        </w:rPr>
      </w:pPr>
      <w:r>
        <w:rPr>
          <w:rFonts w:ascii="宋体" w:hAnsi="宋体" w:hint="eastAsia"/>
          <w:lang w:eastAsia="zh-CN"/>
        </w:rPr>
        <w:t>1.1.3.2 永久工程：是指按合同约定建造并移交给发包人的工程，包括工程设备。</w:t>
      </w:r>
    </w:p>
    <w:p w14:paraId="20ED1469">
      <w:pPr>
        <w:spacing w:line="360" w:lineRule="auto"/>
        <w:rPr>
          <w:rFonts w:ascii="宋体" w:hAnsi="宋体"/>
          <w:lang w:eastAsia="zh-CN"/>
        </w:rPr>
      </w:pPr>
      <w:r>
        <w:rPr>
          <w:rFonts w:ascii="宋体" w:hAnsi="宋体" w:hint="eastAsia"/>
          <w:lang w:eastAsia="zh-CN"/>
        </w:rPr>
        <w:t>1.1.3.3 临时工程：是指为完成合同约定的永久工程所修建的各类临时性工程，不包括施工设备。</w:t>
      </w:r>
    </w:p>
    <w:p w14:paraId="7DE62D83">
      <w:pPr>
        <w:spacing w:line="360" w:lineRule="auto"/>
        <w:rPr>
          <w:rFonts w:ascii="宋体" w:hAnsi="宋体"/>
          <w:lang w:eastAsia="zh-CN"/>
        </w:rPr>
      </w:pPr>
      <w:r>
        <w:rPr>
          <w:rFonts w:ascii="宋体" w:hAnsi="宋体" w:hint="eastAsia"/>
          <w:lang w:eastAsia="zh-CN"/>
        </w:rPr>
        <w:t>1.1.3.4 单位工程：是指在合同协议书中指明的，具备独立施工条件并能形成独立使用功能的永久工程。</w:t>
      </w:r>
    </w:p>
    <w:p w14:paraId="0D994023">
      <w:pPr>
        <w:spacing w:line="360" w:lineRule="auto"/>
        <w:rPr>
          <w:rFonts w:ascii="宋体" w:hAnsi="宋体"/>
          <w:lang w:eastAsia="zh-CN"/>
        </w:rPr>
      </w:pPr>
      <w:r>
        <w:rPr>
          <w:rFonts w:ascii="宋体" w:hAnsi="宋体" w:hint="eastAsia"/>
          <w:lang w:eastAsia="zh-CN"/>
        </w:rPr>
        <w:t>1.1.3.5 工程设备：是指构成永久工程的机电设备、金属结构设备、仪器及其他类似的设备和装置。</w:t>
      </w:r>
    </w:p>
    <w:p w14:paraId="40DFFB35">
      <w:pPr>
        <w:spacing w:line="360" w:lineRule="auto"/>
        <w:rPr>
          <w:rFonts w:ascii="宋体" w:hAnsi="宋体"/>
          <w:lang w:eastAsia="zh-CN"/>
        </w:rPr>
      </w:pPr>
      <w:r>
        <w:rPr>
          <w:rFonts w:ascii="宋体" w:hAnsi="宋体" w:hint="eastAsia"/>
          <w:lang w:eastAsia="zh-CN"/>
        </w:rPr>
        <w:t>1.1.3.6 施工设备：是指为完成合同约定的各项工作所需的设备、器具和其他物品，但不包括工程设备、临时工程和材料。</w:t>
      </w:r>
    </w:p>
    <w:p w14:paraId="069808C6">
      <w:pPr>
        <w:spacing w:line="360" w:lineRule="auto"/>
        <w:rPr>
          <w:rFonts w:ascii="宋体" w:hAnsi="宋体"/>
          <w:lang w:eastAsia="zh-CN"/>
        </w:rPr>
      </w:pPr>
      <w:r>
        <w:rPr>
          <w:rFonts w:ascii="宋体" w:hAnsi="宋体" w:hint="eastAsia"/>
          <w:lang w:eastAsia="zh-CN"/>
        </w:rPr>
        <w:t>1.1.3.7 施工现场：是指用于工程施工的场所，以及在专用合同条款中指明作为施工场所组成部分的其他场所，包括永久占地和临时占地。</w:t>
      </w:r>
    </w:p>
    <w:p w14:paraId="18F13452">
      <w:pPr>
        <w:spacing w:line="360" w:lineRule="auto"/>
        <w:rPr>
          <w:rFonts w:ascii="宋体" w:hAnsi="宋体"/>
          <w:lang w:eastAsia="zh-CN"/>
        </w:rPr>
      </w:pPr>
      <w:r>
        <w:rPr>
          <w:rFonts w:ascii="宋体" w:hAnsi="宋体" w:hint="eastAsia"/>
          <w:lang w:eastAsia="zh-CN"/>
        </w:rPr>
        <w:t>1.1.3.8临时设施：是指为完成合同约定的各项工作所服务的临时性生产和生活设施。</w:t>
      </w:r>
    </w:p>
    <w:p w14:paraId="5CDFE01F">
      <w:pPr>
        <w:spacing w:line="360" w:lineRule="auto"/>
        <w:rPr>
          <w:rFonts w:ascii="宋体" w:hAnsi="宋体"/>
          <w:lang w:eastAsia="zh-CN"/>
        </w:rPr>
      </w:pPr>
      <w:r>
        <w:rPr>
          <w:rFonts w:ascii="宋体" w:hAnsi="宋体" w:hint="eastAsia"/>
          <w:lang w:eastAsia="zh-CN"/>
        </w:rPr>
        <w:t>1.1.3.9 永久占地：是指专用合同条款中指明为实施工程需永久占用的土地。</w:t>
      </w:r>
    </w:p>
    <w:p w14:paraId="785E6BDF">
      <w:pPr>
        <w:spacing w:line="360" w:lineRule="auto"/>
        <w:rPr>
          <w:rFonts w:ascii="宋体" w:hAnsi="宋体"/>
          <w:lang w:eastAsia="zh-CN"/>
        </w:rPr>
      </w:pPr>
      <w:r>
        <w:rPr>
          <w:rFonts w:ascii="宋体" w:hAnsi="宋体" w:hint="eastAsia"/>
          <w:lang w:eastAsia="zh-CN"/>
        </w:rPr>
        <w:t>1.1.3.10 临时占地：是指专用合同条款中指明为实施工程需要临时占用的土地。</w:t>
      </w:r>
    </w:p>
    <w:p w14:paraId="46971B6A">
      <w:pPr>
        <w:spacing w:line="360" w:lineRule="auto"/>
        <w:rPr>
          <w:rFonts w:ascii="宋体" w:hAnsi="宋体"/>
          <w:lang w:eastAsia="zh-CN"/>
        </w:rPr>
      </w:pPr>
      <w:r>
        <w:rPr>
          <w:rFonts w:ascii="宋体" w:hAnsi="宋体" w:hint="eastAsia"/>
          <w:lang w:eastAsia="zh-CN"/>
        </w:rPr>
        <w:t>1.1.4 日期和期限</w:t>
      </w:r>
    </w:p>
    <w:p w14:paraId="6E952B25">
      <w:pPr>
        <w:spacing w:line="360" w:lineRule="auto"/>
        <w:rPr>
          <w:rFonts w:ascii="宋体" w:hAnsi="宋体"/>
          <w:lang w:eastAsia="zh-CN"/>
        </w:rPr>
      </w:pPr>
      <w:r>
        <w:rPr>
          <w:rFonts w:ascii="宋体" w:hAnsi="宋体" w:hint="eastAsia"/>
          <w:lang w:eastAsia="zh-CN"/>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44931A98">
      <w:pPr>
        <w:spacing w:line="360" w:lineRule="auto"/>
        <w:rPr>
          <w:rFonts w:ascii="宋体" w:hAnsi="宋体"/>
          <w:lang w:eastAsia="zh-CN"/>
        </w:rPr>
      </w:pPr>
      <w:r>
        <w:rPr>
          <w:rFonts w:ascii="宋体" w:hAnsi="宋体" w:hint="eastAsia"/>
          <w:lang w:eastAsia="zh-CN"/>
        </w:rPr>
        <w:t xml:space="preserve">1.1.4.2 竣工日期：包括计划竣工日期和实际竣工日期。计划竣工日期是指合同协议书约定的竣工日期；实际竣工日期按照第13.2.3项〔竣工日期〕的约定确定。 </w:t>
      </w:r>
    </w:p>
    <w:p w14:paraId="282F6044">
      <w:pPr>
        <w:spacing w:line="360" w:lineRule="auto"/>
        <w:rPr>
          <w:rFonts w:ascii="宋体" w:hAnsi="宋体"/>
          <w:lang w:eastAsia="zh-CN"/>
        </w:rPr>
      </w:pPr>
      <w:r>
        <w:rPr>
          <w:rFonts w:ascii="宋体" w:hAnsi="宋体" w:hint="eastAsia"/>
          <w:lang w:eastAsia="zh-CN"/>
        </w:rPr>
        <w:t>1.1.4.3 工期：是指在合同协议书约定的承包人完成工程所需的期限，包括按照合同约定所作的期限变更。</w:t>
      </w:r>
    </w:p>
    <w:p w14:paraId="10EBDC5F">
      <w:pPr>
        <w:spacing w:line="360" w:lineRule="auto"/>
        <w:rPr>
          <w:rFonts w:ascii="宋体" w:hAnsi="宋体"/>
          <w:lang w:eastAsia="zh-CN"/>
        </w:rPr>
      </w:pPr>
      <w:r>
        <w:rPr>
          <w:rFonts w:ascii="宋体" w:hAnsi="宋体" w:hint="eastAsia"/>
          <w:lang w:eastAsia="zh-CN"/>
        </w:rPr>
        <w:t>1.1.4.4 缺陷责任期：是指承包人按照合同约定承担缺陷修复义务，且发包人预留质量保证金（已缴纳履约保证金的除外）的期限，自工程实际竣工日期起计算。</w:t>
      </w:r>
    </w:p>
    <w:p w14:paraId="6AC4EB11">
      <w:pPr>
        <w:spacing w:line="360" w:lineRule="auto"/>
        <w:rPr>
          <w:rFonts w:ascii="宋体" w:hAnsi="宋体"/>
          <w:lang w:eastAsia="zh-CN"/>
        </w:rPr>
      </w:pPr>
      <w:r>
        <w:rPr>
          <w:rFonts w:ascii="宋体" w:hAnsi="宋体" w:hint="eastAsia"/>
          <w:lang w:eastAsia="zh-CN"/>
        </w:rPr>
        <w:t>1.1.4.5 保修期：是指承包人按照合同约定对工程承担保修责任的期限，从工程竣工验收合格之日起计算。</w:t>
      </w:r>
    </w:p>
    <w:p w14:paraId="28DC6BCD">
      <w:pPr>
        <w:spacing w:line="360" w:lineRule="auto"/>
        <w:rPr>
          <w:rFonts w:ascii="宋体" w:hAnsi="宋体"/>
          <w:lang w:eastAsia="zh-CN"/>
        </w:rPr>
      </w:pPr>
      <w:r>
        <w:rPr>
          <w:rFonts w:ascii="宋体" w:hAnsi="宋体" w:hint="eastAsia"/>
          <w:lang w:eastAsia="zh-CN"/>
        </w:rPr>
        <w:t>1.1.4.6 基准日期：招标发包的工程以投标截止日前28天的日期为基准日期，直接发包的工程以合同签订日前28天的日期为基准日期。</w:t>
      </w:r>
    </w:p>
    <w:p w14:paraId="19CB213A">
      <w:pPr>
        <w:spacing w:line="360" w:lineRule="auto"/>
        <w:rPr>
          <w:rFonts w:ascii="宋体" w:hAnsi="宋体"/>
          <w:lang w:eastAsia="zh-CN"/>
        </w:rPr>
      </w:pPr>
      <w:r>
        <w:rPr>
          <w:rFonts w:ascii="宋体" w:hAnsi="宋体" w:hint="eastAsia"/>
          <w:lang w:eastAsia="zh-CN"/>
        </w:rPr>
        <w:t>1.1.4.7 天：除特别指明外，均指日历天。合同中按天计算时间的，开始当天不计入，从次日开始计算，期限最后一天的截止时间为当天24:00时。</w:t>
      </w:r>
    </w:p>
    <w:p w14:paraId="55730223">
      <w:pPr>
        <w:spacing w:line="360" w:lineRule="auto"/>
        <w:rPr>
          <w:rFonts w:ascii="宋体" w:hAnsi="宋体"/>
          <w:lang w:eastAsia="zh-CN"/>
        </w:rPr>
      </w:pPr>
      <w:r>
        <w:rPr>
          <w:rFonts w:ascii="宋体" w:hAnsi="宋体" w:hint="eastAsia"/>
          <w:lang w:eastAsia="zh-CN"/>
        </w:rPr>
        <w:t>1.1.5 合同价格和费用</w:t>
      </w:r>
    </w:p>
    <w:p w14:paraId="1AF2DC8F">
      <w:pPr>
        <w:spacing w:line="360" w:lineRule="auto"/>
        <w:rPr>
          <w:rFonts w:ascii="宋体" w:hAnsi="宋体"/>
          <w:lang w:eastAsia="zh-CN"/>
        </w:rPr>
      </w:pPr>
      <w:r>
        <w:rPr>
          <w:rFonts w:ascii="宋体" w:hAnsi="宋体" w:hint="eastAsia"/>
          <w:lang w:eastAsia="zh-CN"/>
        </w:rPr>
        <w:t>1.1.5.1 签约合同价：是指发包人和承包人在合同协议书中确定的总金额，包括安全文明施工费、暂估价及暂列金额等。</w:t>
      </w:r>
    </w:p>
    <w:p w14:paraId="59AF59C2">
      <w:pPr>
        <w:spacing w:line="360" w:lineRule="auto"/>
        <w:rPr>
          <w:rFonts w:ascii="宋体" w:hAnsi="宋体"/>
          <w:lang w:eastAsia="zh-CN"/>
        </w:rPr>
      </w:pPr>
      <w:r>
        <w:rPr>
          <w:rFonts w:ascii="宋体" w:hAnsi="宋体" w:hint="eastAsia"/>
          <w:lang w:eastAsia="zh-CN"/>
        </w:rPr>
        <w:t>1.1.5.2 合同价格：是指发包人用于支付承包人按照合同约定完成承包范围内全部工作的金额，包括合同履行过程中按合同约定发生的价格变化。</w:t>
      </w:r>
    </w:p>
    <w:p w14:paraId="370A0D3D">
      <w:pPr>
        <w:spacing w:line="360" w:lineRule="auto"/>
        <w:rPr>
          <w:rFonts w:ascii="宋体" w:hAnsi="宋体"/>
          <w:lang w:eastAsia="zh-CN"/>
        </w:rPr>
      </w:pPr>
      <w:r>
        <w:rPr>
          <w:rFonts w:ascii="宋体" w:hAnsi="宋体" w:hint="eastAsia"/>
          <w:lang w:eastAsia="zh-CN"/>
        </w:rPr>
        <w:t>1.1.5.3 费用：是指为履行合同所发生的或将要发生的所有必需的开支，包括管理费和应分摊的其他费用，但不包括利润。</w:t>
      </w:r>
    </w:p>
    <w:p w14:paraId="5EAB4BA4">
      <w:pPr>
        <w:spacing w:line="360" w:lineRule="auto"/>
        <w:rPr>
          <w:rFonts w:ascii="宋体" w:hAnsi="宋体"/>
          <w:lang w:eastAsia="zh-CN"/>
        </w:rPr>
      </w:pPr>
      <w:r>
        <w:rPr>
          <w:rFonts w:ascii="宋体" w:hAnsi="宋体" w:hint="eastAsia"/>
          <w:lang w:eastAsia="zh-CN"/>
        </w:rPr>
        <w:t>1.1.5.4 暂估价：是指发包人在工程量清单或预算书中提供的用于支付必然发生但暂时不能确定价格的材料、工程设备的单价、专业工程以及服务工作的金额。</w:t>
      </w:r>
    </w:p>
    <w:p w14:paraId="6FC87C94">
      <w:pPr>
        <w:spacing w:line="360" w:lineRule="auto"/>
        <w:rPr>
          <w:rFonts w:ascii="宋体" w:hAnsi="宋体"/>
          <w:lang w:eastAsia="zh-CN"/>
        </w:rPr>
      </w:pPr>
      <w:r>
        <w:rPr>
          <w:rFonts w:ascii="宋体" w:hAnsi="宋体" w:hint="eastAsia"/>
          <w:lang w:eastAsia="zh-CN"/>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746E16FD">
      <w:pPr>
        <w:spacing w:line="360" w:lineRule="auto"/>
        <w:rPr>
          <w:rFonts w:ascii="宋体" w:hAnsi="宋体"/>
          <w:lang w:eastAsia="zh-CN"/>
        </w:rPr>
      </w:pPr>
      <w:r>
        <w:rPr>
          <w:rFonts w:ascii="宋体" w:hAnsi="宋体" w:hint="eastAsia"/>
          <w:lang w:eastAsia="zh-CN"/>
        </w:rPr>
        <w:t>1.1.5.6 计日工：是指合同履行过程中，承包人完成发包人提出的零星工作或需要采用计日工计价的变更工作时，按合同中约定的单价计价的一种方式。</w:t>
      </w:r>
    </w:p>
    <w:p w14:paraId="583BFC84">
      <w:pPr>
        <w:spacing w:line="360" w:lineRule="auto"/>
        <w:rPr>
          <w:rFonts w:ascii="宋体" w:hAnsi="宋体"/>
          <w:lang w:eastAsia="zh-CN"/>
        </w:rPr>
      </w:pPr>
      <w:r>
        <w:rPr>
          <w:rFonts w:ascii="宋体" w:hAnsi="宋体" w:hint="eastAsia"/>
          <w:lang w:eastAsia="zh-CN"/>
        </w:rPr>
        <w:t>1.1.5.7 质量保证金</w:t>
      </w:r>
      <w:bookmarkStart w:id="120" w:name="#go2"/>
      <w:bookmarkEnd w:id="120"/>
      <w:r>
        <w:rPr>
          <w:rFonts w:ascii="宋体" w:hAnsi="宋体" w:hint="eastAsia"/>
          <w:lang w:eastAsia="zh-CN"/>
        </w:rPr>
        <w:t>：是指按照第15.3款〔质量保证金〕约定承包人用于保证其在缺陷责任期内履行缺陷修补义务的担保。</w:t>
      </w:r>
    </w:p>
    <w:p w14:paraId="6195B4EF">
      <w:pPr>
        <w:spacing w:line="360" w:lineRule="auto"/>
        <w:rPr>
          <w:rFonts w:ascii="宋体" w:hAnsi="宋体"/>
          <w:lang w:eastAsia="zh-CN"/>
        </w:rPr>
      </w:pPr>
      <w:r>
        <w:rPr>
          <w:rFonts w:ascii="宋体" w:hAnsi="宋体" w:hint="eastAsia"/>
          <w:lang w:eastAsia="zh-CN"/>
        </w:rPr>
        <w:t>1.1.5.8 总价项目：是指在现行国家、行业以及地方的计量规则中无工程量计算规则，在已标价工程量清单或预算书中以总价或以费率形式计算的项目。</w:t>
      </w:r>
    </w:p>
    <w:p w14:paraId="08958212">
      <w:pPr>
        <w:spacing w:line="360" w:lineRule="auto"/>
        <w:rPr>
          <w:rFonts w:ascii="宋体" w:hAnsi="宋体"/>
          <w:lang w:eastAsia="zh-CN"/>
        </w:rPr>
      </w:pPr>
      <w:r>
        <w:rPr>
          <w:rFonts w:ascii="宋体" w:hAnsi="宋体" w:hint="eastAsia"/>
          <w:lang w:eastAsia="zh-CN"/>
        </w:rPr>
        <w:t>1.1.6 其他</w:t>
      </w:r>
    </w:p>
    <w:p w14:paraId="73B020BF">
      <w:pPr>
        <w:spacing w:line="360" w:lineRule="auto"/>
        <w:rPr>
          <w:rFonts w:ascii="宋体" w:hAnsi="宋体"/>
          <w:lang w:eastAsia="zh-CN"/>
        </w:rPr>
      </w:pPr>
      <w:r>
        <w:rPr>
          <w:rFonts w:ascii="宋体" w:hAnsi="宋体" w:hint="eastAsia"/>
          <w:lang w:eastAsia="zh-CN"/>
        </w:rPr>
        <w:t>1.1.6.1 书面形式：是指合同文件、信函、电报、传真等可以有形地表现所载内容的形式。</w:t>
      </w:r>
    </w:p>
    <w:p w14:paraId="5972953C">
      <w:pPr>
        <w:spacing w:line="360" w:lineRule="auto"/>
        <w:rPr>
          <w:rFonts w:ascii="宋体" w:hAnsi="宋体"/>
          <w:bCs/>
          <w:lang w:eastAsia="zh-CN"/>
        </w:rPr>
      </w:pPr>
      <w:bookmarkStart w:id="121" w:name="_Toc337558729"/>
      <w:bookmarkStart w:id="122" w:name="_Toc351203497"/>
      <w:bookmarkStart w:id="123" w:name="_Toc296503029"/>
      <w:bookmarkStart w:id="124" w:name="_Toc296346530"/>
      <w:r>
        <w:rPr>
          <w:rFonts w:ascii="宋体" w:hAnsi="宋体" w:hint="eastAsia"/>
          <w:bCs/>
          <w:lang w:eastAsia="zh-CN"/>
        </w:rPr>
        <w:t>1.2语言文字</w:t>
      </w:r>
      <w:bookmarkEnd w:id="121"/>
      <w:bookmarkEnd w:id="122"/>
      <w:bookmarkEnd w:id="123"/>
      <w:bookmarkEnd w:id="124"/>
    </w:p>
    <w:p w14:paraId="5F77DD4A">
      <w:pPr>
        <w:spacing w:line="360" w:lineRule="auto"/>
        <w:rPr>
          <w:rFonts w:ascii="宋体" w:hAnsi="宋体"/>
          <w:lang w:eastAsia="zh-CN"/>
        </w:rPr>
      </w:pPr>
      <w:r>
        <w:rPr>
          <w:rFonts w:ascii="宋体" w:hAnsi="宋体" w:hint="eastAsia"/>
          <w:lang w:eastAsia="zh-CN"/>
        </w:rPr>
        <w:t>合同以中国的汉语简体文字编写、解释和说明。合同当事人在专用合同条款中约定使用两种以上语言时，汉语为优先解释和说明合同的语言。</w:t>
      </w:r>
    </w:p>
    <w:p w14:paraId="6B8D5BB9">
      <w:pPr>
        <w:spacing w:line="360" w:lineRule="auto"/>
        <w:rPr>
          <w:rFonts w:ascii="宋体" w:hAnsi="宋体"/>
          <w:bCs/>
          <w:lang w:eastAsia="zh-CN"/>
        </w:rPr>
      </w:pPr>
      <w:bookmarkStart w:id="125" w:name="_Toc337558730"/>
      <w:bookmarkStart w:id="126" w:name="_Toc351203498"/>
      <w:bookmarkStart w:id="127" w:name="_Toc296503030"/>
      <w:bookmarkStart w:id="128" w:name="_Toc296346531"/>
      <w:r>
        <w:rPr>
          <w:rFonts w:ascii="宋体" w:hAnsi="宋体" w:hint="eastAsia"/>
          <w:bCs/>
          <w:lang w:eastAsia="zh-CN"/>
        </w:rPr>
        <w:t>1.3法律</w:t>
      </w:r>
      <w:bookmarkEnd w:id="125"/>
      <w:bookmarkEnd w:id="126"/>
      <w:bookmarkEnd w:id="127"/>
      <w:bookmarkEnd w:id="128"/>
    </w:p>
    <w:p w14:paraId="0EADADF5">
      <w:pPr>
        <w:spacing w:line="360" w:lineRule="auto"/>
        <w:rPr>
          <w:rFonts w:ascii="宋体" w:hAnsi="宋体"/>
          <w:lang w:eastAsia="zh-CN"/>
        </w:rPr>
      </w:pPr>
      <w:r>
        <w:rPr>
          <w:rFonts w:ascii="宋体" w:hAnsi="宋体" w:hint="eastAsia"/>
          <w:lang w:eastAsia="zh-CN"/>
        </w:rPr>
        <w:t>合同所称法律是指中华人民共和国法律、行政法规、部门规章，以及工程所在地的地方性法规、自治条例、单行条例和地方政府规章等。</w:t>
      </w:r>
    </w:p>
    <w:p w14:paraId="448ED953">
      <w:pPr>
        <w:spacing w:line="360" w:lineRule="auto"/>
        <w:rPr>
          <w:rFonts w:ascii="宋体" w:hAnsi="宋体"/>
          <w:lang w:eastAsia="zh-CN"/>
        </w:rPr>
      </w:pPr>
      <w:r>
        <w:rPr>
          <w:rFonts w:ascii="宋体" w:hAnsi="宋体" w:hint="eastAsia"/>
          <w:lang w:eastAsia="zh-CN"/>
        </w:rPr>
        <w:t>合同当事人可以在专用合同条款中约定合同适用的其他规范性文件。</w:t>
      </w:r>
    </w:p>
    <w:p w14:paraId="4DC787CC">
      <w:pPr>
        <w:spacing w:line="360" w:lineRule="auto"/>
        <w:rPr>
          <w:rFonts w:ascii="宋体" w:hAnsi="宋体"/>
          <w:bCs/>
          <w:lang w:eastAsia="zh-CN"/>
        </w:rPr>
      </w:pPr>
      <w:bookmarkStart w:id="129" w:name="_Toc351203499"/>
      <w:r>
        <w:rPr>
          <w:rFonts w:ascii="宋体" w:hAnsi="宋体" w:hint="eastAsia"/>
          <w:bCs/>
          <w:lang w:eastAsia="zh-CN"/>
        </w:rPr>
        <w:t>1.4 标准和规范</w:t>
      </w:r>
      <w:bookmarkEnd w:id="129"/>
    </w:p>
    <w:p w14:paraId="1BD97FD2">
      <w:pPr>
        <w:spacing w:line="360" w:lineRule="auto"/>
        <w:rPr>
          <w:rFonts w:ascii="宋体" w:hAnsi="宋体"/>
          <w:lang w:eastAsia="zh-CN"/>
        </w:rPr>
      </w:pPr>
      <w:r>
        <w:rPr>
          <w:rFonts w:ascii="宋体" w:hAnsi="宋体" w:hint="eastAsia"/>
          <w:lang w:eastAsia="zh-CN"/>
        </w:rPr>
        <w:t>1.4.1 适用于工程的国家标准、行业标准、工程所在地的地方性标准，以及相应的规范、规程等，合同当事人有特别要求的，应在专用合同条款中约定。</w:t>
      </w:r>
    </w:p>
    <w:p w14:paraId="4CFB8A83">
      <w:pPr>
        <w:spacing w:line="360" w:lineRule="auto"/>
        <w:rPr>
          <w:rFonts w:ascii="宋体" w:hAnsi="宋体"/>
          <w:lang w:eastAsia="zh-CN"/>
        </w:rPr>
      </w:pPr>
      <w:r>
        <w:rPr>
          <w:rFonts w:ascii="宋体" w:hAnsi="宋体" w:hint="eastAsia"/>
          <w:lang w:eastAsia="zh-CN"/>
        </w:rPr>
        <w:t>1.4.2 发包人要求使用国外标准、规范的，发包人负责提供原文版本和中文译本，并在专用合同条款中约定提供标准规范的名称、份数和时间。</w:t>
      </w:r>
    </w:p>
    <w:p w14:paraId="22D9D349">
      <w:pPr>
        <w:spacing w:line="360" w:lineRule="auto"/>
        <w:rPr>
          <w:rFonts w:ascii="宋体" w:hAnsi="宋体"/>
          <w:lang w:eastAsia="zh-CN"/>
        </w:rPr>
      </w:pPr>
      <w:r>
        <w:rPr>
          <w:rFonts w:ascii="宋体" w:hAnsi="宋体" w:hint="eastAsia"/>
          <w:lang w:eastAsia="zh-CN"/>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0208E7B1">
      <w:pPr>
        <w:spacing w:line="360" w:lineRule="auto"/>
        <w:rPr>
          <w:rFonts w:ascii="宋体" w:hAnsi="宋体"/>
          <w:bCs/>
          <w:lang w:eastAsia="zh-CN"/>
        </w:rPr>
      </w:pPr>
      <w:bookmarkStart w:id="130" w:name="_Toc351203500"/>
      <w:r>
        <w:rPr>
          <w:rFonts w:ascii="宋体" w:hAnsi="宋体" w:hint="eastAsia"/>
          <w:bCs/>
          <w:lang w:eastAsia="zh-CN"/>
        </w:rPr>
        <w:t>1</w:t>
      </w:r>
      <w:bookmarkStart w:id="131" w:name="_Toc337558731"/>
      <w:bookmarkStart w:id="132" w:name="_Toc296346532"/>
      <w:bookmarkStart w:id="133" w:name="_Toc296503031"/>
      <w:r>
        <w:rPr>
          <w:rFonts w:ascii="宋体" w:hAnsi="宋体" w:hint="eastAsia"/>
          <w:bCs/>
          <w:lang w:eastAsia="zh-CN"/>
        </w:rPr>
        <w:t>.5 合同文件的优先顺序</w:t>
      </w:r>
      <w:bookmarkEnd w:id="130"/>
    </w:p>
    <w:bookmarkEnd w:id="131"/>
    <w:bookmarkEnd w:id="132"/>
    <w:bookmarkEnd w:id="133"/>
    <w:p w14:paraId="677842CE">
      <w:pPr>
        <w:spacing w:line="360" w:lineRule="auto"/>
        <w:rPr>
          <w:rFonts w:ascii="宋体" w:hAnsi="宋体"/>
          <w:lang w:eastAsia="zh-CN"/>
        </w:rPr>
      </w:pPr>
      <w:r>
        <w:rPr>
          <w:rFonts w:ascii="宋体" w:hAnsi="宋体" w:hint="eastAsia"/>
          <w:lang w:eastAsia="zh-CN"/>
        </w:rPr>
        <w:t>组成合同的各项文件应互相解释，互为说明。除专用合同条款另有约定外，解释合同文件的优先顺序如下：</w:t>
      </w:r>
    </w:p>
    <w:p w14:paraId="2713EE42">
      <w:pPr>
        <w:spacing w:line="360" w:lineRule="auto"/>
        <w:rPr>
          <w:rFonts w:ascii="宋体" w:hAnsi="宋体"/>
          <w:lang w:eastAsia="zh-CN"/>
        </w:rPr>
      </w:pPr>
      <w:r>
        <w:rPr>
          <w:rFonts w:ascii="宋体" w:hAnsi="宋体" w:hint="eastAsia"/>
          <w:lang w:eastAsia="zh-CN"/>
        </w:rPr>
        <w:t>（1）合同协议书；</w:t>
      </w:r>
    </w:p>
    <w:p w14:paraId="51C93895">
      <w:pPr>
        <w:spacing w:line="360" w:lineRule="auto"/>
        <w:rPr>
          <w:rFonts w:ascii="宋体" w:hAnsi="宋体"/>
          <w:lang w:eastAsia="zh-CN"/>
        </w:rPr>
      </w:pPr>
      <w:r>
        <w:rPr>
          <w:rFonts w:ascii="宋体" w:hAnsi="宋体" w:hint="eastAsia"/>
          <w:lang w:eastAsia="zh-CN"/>
        </w:rPr>
        <w:t>（2）中标通知书（如果有）；</w:t>
      </w:r>
    </w:p>
    <w:p w14:paraId="28373B4F">
      <w:pPr>
        <w:spacing w:line="360" w:lineRule="auto"/>
        <w:rPr>
          <w:rFonts w:ascii="宋体" w:hAnsi="宋体"/>
          <w:lang w:eastAsia="zh-CN"/>
        </w:rPr>
      </w:pPr>
      <w:r>
        <w:rPr>
          <w:rFonts w:ascii="宋体" w:hAnsi="宋体" w:hint="eastAsia"/>
          <w:lang w:eastAsia="zh-CN"/>
        </w:rPr>
        <w:t>（3）投标函及其附录（如果有）；</w:t>
      </w:r>
    </w:p>
    <w:p w14:paraId="0B25B873">
      <w:pPr>
        <w:spacing w:line="360" w:lineRule="auto"/>
        <w:rPr>
          <w:rFonts w:ascii="宋体" w:hAnsi="宋体"/>
          <w:lang w:eastAsia="zh-CN"/>
        </w:rPr>
      </w:pPr>
      <w:r>
        <w:rPr>
          <w:rFonts w:ascii="宋体" w:hAnsi="宋体" w:hint="eastAsia"/>
          <w:lang w:eastAsia="zh-CN"/>
        </w:rPr>
        <w:t>（4）专用合同条款及其附件；</w:t>
      </w:r>
    </w:p>
    <w:p w14:paraId="28AE4A31">
      <w:pPr>
        <w:spacing w:line="360" w:lineRule="auto"/>
        <w:rPr>
          <w:rFonts w:ascii="宋体" w:hAnsi="宋体"/>
          <w:lang w:eastAsia="zh-CN"/>
        </w:rPr>
      </w:pPr>
      <w:r>
        <w:rPr>
          <w:rFonts w:ascii="宋体" w:hAnsi="宋体" w:hint="eastAsia"/>
          <w:lang w:eastAsia="zh-CN"/>
        </w:rPr>
        <w:t>（5）通用合同条款；</w:t>
      </w:r>
    </w:p>
    <w:p w14:paraId="7EF93A7A">
      <w:pPr>
        <w:spacing w:line="360" w:lineRule="auto"/>
        <w:rPr>
          <w:rFonts w:ascii="宋体" w:hAnsi="宋体"/>
          <w:lang w:eastAsia="zh-CN"/>
        </w:rPr>
      </w:pPr>
      <w:r>
        <w:rPr>
          <w:rFonts w:ascii="宋体" w:hAnsi="宋体" w:hint="eastAsia"/>
          <w:lang w:eastAsia="zh-CN"/>
        </w:rPr>
        <w:t>（6）技术标准和要求；</w:t>
      </w:r>
    </w:p>
    <w:p w14:paraId="1CA93FC6">
      <w:pPr>
        <w:spacing w:line="360" w:lineRule="auto"/>
        <w:rPr>
          <w:rFonts w:ascii="宋体" w:hAnsi="宋体"/>
          <w:lang w:eastAsia="zh-CN"/>
        </w:rPr>
      </w:pPr>
      <w:r>
        <w:rPr>
          <w:rFonts w:ascii="宋体" w:hAnsi="宋体" w:hint="eastAsia"/>
          <w:lang w:eastAsia="zh-CN"/>
        </w:rPr>
        <w:t>（7）图纸；</w:t>
      </w:r>
    </w:p>
    <w:p w14:paraId="32C48AC3">
      <w:pPr>
        <w:spacing w:line="360" w:lineRule="auto"/>
        <w:rPr>
          <w:rFonts w:ascii="宋体" w:hAnsi="宋体"/>
          <w:lang w:eastAsia="zh-CN"/>
        </w:rPr>
      </w:pPr>
      <w:r>
        <w:rPr>
          <w:rFonts w:ascii="宋体" w:hAnsi="宋体" w:hint="eastAsia"/>
          <w:lang w:eastAsia="zh-CN"/>
        </w:rPr>
        <w:t>（8）已标价工程量清单或预算书；</w:t>
      </w:r>
    </w:p>
    <w:p w14:paraId="34069D48">
      <w:pPr>
        <w:spacing w:line="360" w:lineRule="auto"/>
        <w:rPr>
          <w:rFonts w:ascii="宋体" w:hAnsi="宋体"/>
          <w:lang w:eastAsia="zh-CN"/>
        </w:rPr>
      </w:pPr>
      <w:r>
        <w:rPr>
          <w:rFonts w:ascii="宋体" w:hAnsi="宋体" w:hint="eastAsia"/>
          <w:lang w:eastAsia="zh-CN"/>
        </w:rPr>
        <w:t>（9）其他合同文件。</w:t>
      </w:r>
    </w:p>
    <w:p w14:paraId="46830C94">
      <w:pPr>
        <w:spacing w:line="360" w:lineRule="auto"/>
        <w:rPr>
          <w:rFonts w:ascii="宋体" w:hAnsi="宋体"/>
          <w:lang w:eastAsia="zh-CN"/>
        </w:rPr>
      </w:pPr>
      <w:r>
        <w:rPr>
          <w:rFonts w:ascii="宋体" w:hAnsi="宋体" w:hint="eastAsia"/>
          <w:lang w:eastAsia="zh-CN"/>
        </w:rPr>
        <w:t>上述各项合同文件包括合同当事人就该项合同文件所作出的补充和修改，属于同一类内容的文件，应以最新签署的为准。</w:t>
      </w:r>
    </w:p>
    <w:p w14:paraId="5B5245F3">
      <w:pPr>
        <w:spacing w:line="360" w:lineRule="auto"/>
        <w:rPr>
          <w:rFonts w:ascii="宋体" w:hAnsi="宋体"/>
          <w:lang w:eastAsia="zh-CN"/>
        </w:rPr>
      </w:pPr>
      <w:r>
        <w:rPr>
          <w:rFonts w:ascii="宋体" w:hAnsi="宋体" w:hint="eastAsia"/>
          <w:lang w:eastAsia="zh-CN"/>
        </w:rPr>
        <w:t>在合同订立及履行过程中形成的与合同有关的文件均构成合同文件组成部分，并根据其性质确定优先解释顺序。</w:t>
      </w:r>
    </w:p>
    <w:p w14:paraId="14D05683">
      <w:pPr>
        <w:spacing w:line="360" w:lineRule="auto"/>
        <w:rPr>
          <w:rFonts w:ascii="宋体" w:hAnsi="宋体"/>
          <w:bCs/>
          <w:lang w:eastAsia="zh-CN"/>
        </w:rPr>
      </w:pPr>
      <w:bookmarkStart w:id="134" w:name="_Toc351203501"/>
      <w:r>
        <w:rPr>
          <w:rFonts w:ascii="宋体" w:hAnsi="宋体" w:hint="eastAsia"/>
          <w:bCs/>
          <w:lang w:eastAsia="zh-CN"/>
        </w:rPr>
        <w:t>1</w:t>
      </w:r>
      <w:bookmarkStart w:id="135" w:name="_Toc296346533"/>
      <w:bookmarkStart w:id="136" w:name="_Toc337558732"/>
      <w:bookmarkStart w:id="137" w:name="_Toc296503032"/>
      <w:r>
        <w:rPr>
          <w:rFonts w:ascii="宋体" w:hAnsi="宋体" w:hint="eastAsia"/>
          <w:bCs/>
          <w:lang w:eastAsia="zh-CN"/>
        </w:rPr>
        <w:t>.6图纸和承包人文件</w:t>
      </w:r>
      <w:bookmarkEnd w:id="134"/>
    </w:p>
    <w:bookmarkEnd w:id="135"/>
    <w:bookmarkEnd w:id="136"/>
    <w:bookmarkEnd w:id="137"/>
    <w:p w14:paraId="73FC5219">
      <w:pPr>
        <w:spacing w:line="360" w:lineRule="auto"/>
        <w:rPr>
          <w:rFonts w:ascii="宋体" w:hAnsi="宋体"/>
          <w:lang w:eastAsia="zh-CN"/>
        </w:rPr>
      </w:pPr>
      <w:r>
        <w:rPr>
          <w:rFonts w:ascii="宋体" w:hAnsi="宋体" w:hint="eastAsia"/>
          <w:lang w:eastAsia="zh-CN"/>
        </w:rPr>
        <w:t>1.6.1 图纸的提供和交底</w:t>
      </w:r>
    </w:p>
    <w:p w14:paraId="16EED528">
      <w:pPr>
        <w:spacing w:line="360" w:lineRule="auto"/>
        <w:rPr>
          <w:rFonts w:ascii="宋体" w:hAnsi="宋体"/>
          <w:lang w:eastAsia="zh-CN"/>
        </w:rPr>
      </w:pPr>
      <w:r>
        <w:rPr>
          <w:rFonts w:ascii="宋体" w:hAnsi="宋体" w:hint="eastAsia"/>
          <w:lang w:eastAsia="zh-CN"/>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50E51D94">
      <w:pPr>
        <w:spacing w:line="360" w:lineRule="auto"/>
        <w:rPr>
          <w:rFonts w:ascii="宋体" w:hAnsi="宋体"/>
          <w:lang w:eastAsia="zh-CN"/>
        </w:rPr>
      </w:pPr>
      <w:r>
        <w:rPr>
          <w:rFonts w:ascii="宋体" w:hAnsi="宋体" w:hint="eastAsia"/>
          <w:lang w:eastAsia="zh-CN"/>
        </w:rPr>
        <w:t>因发包人未按合同约定提供图纸导致承包人费用增加和（或）工期延误的，按照第7.5.1项〔因发包人原因导致工期延误〕约定办理。</w:t>
      </w:r>
    </w:p>
    <w:p w14:paraId="61E00D5D">
      <w:pPr>
        <w:spacing w:line="360" w:lineRule="auto"/>
        <w:rPr>
          <w:rFonts w:ascii="宋体" w:hAnsi="宋体"/>
          <w:lang w:eastAsia="zh-CN"/>
        </w:rPr>
      </w:pPr>
      <w:r>
        <w:rPr>
          <w:rFonts w:ascii="宋体" w:hAnsi="宋体" w:hint="eastAsia"/>
          <w:lang w:eastAsia="zh-CN"/>
        </w:rPr>
        <w:t>1.6.2 图纸的错误</w:t>
      </w:r>
    </w:p>
    <w:p w14:paraId="4F528003">
      <w:pPr>
        <w:spacing w:line="360" w:lineRule="auto"/>
        <w:rPr>
          <w:rFonts w:ascii="宋体" w:hAnsi="宋体"/>
          <w:lang w:eastAsia="zh-CN"/>
        </w:rPr>
      </w:pPr>
      <w:r>
        <w:rPr>
          <w:rFonts w:ascii="宋体" w:hAnsi="宋体" w:hint="eastAsia"/>
          <w:lang w:eastAsia="zh-CN"/>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17AB90CD">
      <w:pPr>
        <w:spacing w:line="360" w:lineRule="auto"/>
        <w:rPr>
          <w:rFonts w:ascii="宋体" w:hAnsi="宋体"/>
          <w:lang w:eastAsia="zh-CN"/>
        </w:rPr>
      </w:pPr>
      <w:r>
        <w:rPr>
          <w:rFonts w:ascii="宋体" w:hAnsi="宋体" w:hint="eastAsia"/>
          <w:lang w:eastAsia="zh-CN"/>
        </w:rPr>
        <w:t>1.6.3 图纸的修改和补充</w:t>
      </w:r>
    </w:p>
    <w:p w14:paraId="5A144D1D">
      <w:pPr>
        <w:spacing w:line="360" w:lineRule="auto"/>
        <w:rPr>
          <w:rFonts w:ascii="宋体" w:hAnsi="宋体"/>
          <w:lang w:eastAsia="zh-CN"/>
        </w:rPr>
      </w:pPr>
      <w:r>
        <w:rPr>
          <w:rFonts w:ascii="宋体" w:hAnsi="宋体" w:hint="eastAsia"/>
          <w:lang w:eastAsia="zh-CN"/>
        </w:rPr>
        <w:t>图纸需要修改和补充的，应经图纸原设计人及审批部门同意，并由监理人在工程或工程相应部位施工前将修改后的图纸或补充图纸提交给承包人，承包人应按修改或补充后的图纸施工。</w:t>
      </w:r>
    </w:p>
    <w:p w14:paraId="3316480D">
      <w:pPr>
        <w:spacing w:line="360" w:lineRule="auto"/>
        <w:rPr>
          <w:rFonts w:ascii="宋体" w:hAnsi="宋体"/>
          <w:lang w:eastAsia="zh-CN"/>
        </w:rPr>
      </w:pPr>
      <w:r>
        <w:rPr>
          <w:rFonts w:ascii="宋体" w:hAnsi="宋体" w:hint="eastAsia"/>
          <w:lang w:eastAsia="zh-CN"/>
        </w:rPr>
        <w:t>1.6.4 承包人文件</w:t>
      </w:r>
    </w:p>
    <w:p w14:paraId="2FD5F52F">
      <w:pPr>
        <w:spacing w:line="360" w:lineRule="auto"/>
        <w:rPr>
          <w:rFonts w:ascii="宋体" w:hAnsi="宋体"/>
          <w:lang w:eastAsia="zh-CN"/>
        </w:rPr>
      </w:pPr>
      <w:r>
        <w:rPr>
          <w:rFonts w:ascii="宋体" w:hAnsi="宋体" w:hint="eastAsia"/>
          <w:lang w:eastAsia="zh-CN"/>
        </w:rPr>
        <w:t>承包人应按照专用合同条款的约定提供应当由其编制的与工程施工有关的文件，并按照专用合同条款约定的期限、数量和形式提交监理人，并由监理人报送发包人。</w:t>
      </w:r>
    </w:p>
    <w:p w14:paraId="56201DF7">
      <w:pPr>
        <w:spacing w:line="360" w:lineRule="auto"/>
        <w:rPr>
          <w:rFonts w:ascii="宋体" w:hAnsi="宋体"/>
          <w:lang w:eastAsia="zh-CN"/>
        </w:rPr>
      </w:pPr>
      <w:r>
        <w:rPr>
          <w:rFonts w:ascii="宋体" w:hAnsi="宋体" w:hint="eastAsia"/>
          <w:lang w:eastAsia="zh-CN"/>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48477AF9">
      <w:pPr>
        <w:spacing w:line="360" w:lineRule="auto"/>
        <w:rPr>
          <w:rFonts w:ascii="宋体" w:hAnsi="宋体"/>
          <w:lang w:eastAsia="zh-CN"/>
        </w:rPr>
      </w:pPr>
      <w:r>
        <w:rPr>
          <w:rFonts w:ascii="宋体" w:hAnsi="宋体" w:hint="eastAsia"/>
          <w:lang w:eastAsia="zh-CN"/>
        </w:rPr>
        <w:t>1.6.5 图纸和承包人文件的保管</w:t>
      </w:r>
    </w:p>
    <w:p w14:paraId="0446807F">
      <w:pPr>
        <w:spacing w:line="360" w:lineRule="auto"/>
        <w:rPr>
          <w:rFonts w:ascii="宋体" w:hAnsi="宋体"/>
          <w:lang w:eastAsia="zh-CN"/>
        </w:rPr>
      </w:pPr>
      <w:r>
        <w:rPr>
          <w:rFonts w:ascii="宋体" w:hAnsi="宋体" w:hint="eastAsia"/>
          <w:lang w:eastAsia="zh-CN"/>
        </w:rPr>
        <w:t>除专用合同条款另有约定外，承包人应在施工现场另外保存一套完整的图纸和承包人文件，供发包人、监理人及有关人员进行工程检查时使用。</w:t>
      </w:r>
    </w:p>
    <w:p w14:paraId="09B11B9D">
      <w:pPr>
        <w:spacing w:line="360" w:lineRule="auto"/>
        <w:rPr>
          <w:rFonts w:ascii="宋体" w:hAnsi="宋体"/>
          <w:bCs/>
          <w:lang w:eastAsia="zh-CN"/>
        </w:rPr>
      </w:pPr>
      <w:bookmarkStart w:id="138" w:name="_Toc351203502"/>
      <w:r>
        <w:rPr>
          <w:rFonts w:ascii="宋体" w:hAnsi="宋体" w:hint="eastAsia"/>
          <w:bCs/>
          <w:lang w:eastAsia="zh-CN"/>
        </w:rPr>
        <w:t>1</w:t>
      </w:r>
      <w:bookmarkStart w:id="139" w:name="_Toc296346534"/>
      <w:bookmarkStart w:id="140" w:name="_Toc337558733"/>
      <w:bookmarkStart w:id="141" w:name="_Toc296503033"/>
      <w:r>
        <w:rPr>
          <w:rFonts w:ascii="宋体" w:hAnsi="宋体" w:hint="eastAsia"/>
          <w:bCs/>
          <w:lang w:eastAsia="zh-CN"/>
        </w:rPr>
        <w:t>.7联络</w:t>
      </w:r>
      <w:bookmarkEnd w:id="138"/>
    </w:p>
    <w:bookmarkEnd w:id="139"/>
    <w:bookmarkEnd w:id="140"/>
    <w:bookmarkEnd w:id="141"/>
    <w:p w14:paraId="151E4A07">
      <w:pPr>
        <w:spacing w:line="360" w:lineRule="auto"/>
        <w:rPr>
          <w:rFonts w:ascii="宋体" w:hAnsi="宋体"/>
          <w:lang w:eastAsia="zh-CN"/>
        </w:rPr>
      </w:pPr>
      <w:r>
        <w:rPr>
          <w:rFonts w:ascii="宋体" w:hAnsi="宋体" w:hint="eastAsia"/>
          <w:lang w:eastAsia="zh-CN"/>
        </w:rPr>
        <w:t>1.7.1 与合同有关的通知、批准、证明、证书、指示、指令、要求、请求、同意、意见、确定和决定等，均应采用书面形式，并应在合同约定的期限内送达接收人和送达地点。</w:t>
      </w:r>
    </w:p>
    <w:p w14:paraId="2CA49DEC">
      <w:pPr>
        <w:spacing w:line="360" w:lineRule="auto"/>
        <w:rPr>
          <w:rFonts w:ascii="宋体" w:hAnsi="宋体"/>
          <w:lang w:eastAsia="zh-CN"/>
        </w:rPr>
      </w:pPr>
      <w:r>
        <w:rPr>
          <w:rFonts w:ascii="宋体" w:hAnsi="宋体" w:hint="eastAsia"/>
          <w:lang w:eastAsia="zh-CN"/>
        </w:rPr>
        <w:t>1.7.2 发包人和承包人应在专用合同条款中约定各自的送达接收人和送达地点。任何一方合同当事人指定的接收人或送达地点发生变动的，应提前3天以书面形式通知对方。</w:t>
      </w:r>
    </w:p>
    <w:p w14:paraId="0552AE5D">
      <w:pPr>
        <w:spacing w:line="360" w:lineRule="auto"/>
        <w:rPr>
          <w:rFonts w:ascii="宋体" w:hAnsi="宋体"/>
          <w:lang w:eastAsia="zh-CN"/>
        </w:rPr>
      </w:pPr>
      <w:r>
        <w:rPr>
          <w:rFonts w:ascii="宋体" w:hAnsi="宋体" w:hint="eastAsia"/>
          <w:lang w:eastAsia="zh-CN"/>
        </w:rPr>
        <w:t>1.7.3 发包人和承包人应当及时签收另一方送达至送达地点和指定接收人的来往信函。拒不签收的，由此增加的费用和（或）延误的工期由拒绝接收一方承担。</w:t>
      </w:r>
    </w:p>
    <w:p w14:paraId="40ADC28D">
      <w:pPr>
        <w:spacing w:line="360" w:lineRule="auto"/>
        <w:rPr>
          <w:rFonts w:ascii="宋体" w:hAnsi="宋体"/>
          <w:bCs/>
          <w:lang w:eastAsia="zh-CN"/>
        </w:rPr>
      </w:pPr>
      <w:bookmarkStart w:id="142" w:name="_Toc351203503"/>
      <w:r>
        <w:rPr>
          <w:rFonts w:ascii="宋体" w:hAnsi="宋体" w:hint="eastAsia"/>
          <w:bCs/>
          <w:lang w:eastAsia="zh-CN"/>
        </w:rPr>
        <w:t>1</w:t>
      </w:r>
      <w:bookmarkStart w:id="143" w:name="_Toc337558734"/>
      <w:bookmarkStart w:id="144" w:name="_Toc296503035"/>
      <w:bookmarkStart w:id="145" w:name="_Toc296346536"/>
      <w:r>
        <w:rPr>
          <w:rFonts w:ascii="宋体" w:hAnsi="宋体" w:hint="eastAsia"/>
          <w:bCs/>
          <w:lang w:eastAsia="zh-CN"/>
        </w:rPr>
        <w:t>.8严禁贿赂</w:t>
      </w:r>
      <w:bookmarkEnd w:id="142"/>
    </w:p>
    <w:bookmarkEnd w:id="143"/>
    <w:bookmarkEnd w:id="144"/>
    <w:bookmarkEnd w:id="145"/>
    <w:p w14:paraId="3E7D7D7F">
      <w:pPr>
        <w:spacing w:line="360" w:lineRule="auto"/>
        <w:rPr>
          <w:rFonts w:ascii="宋体" w:hAnsi="宋体"/>
          <w:lang w:eastAsia="zh-CN"/>
        </w:rPr>
      </w:pPr>
      <w:r>
        <w:rPr>
          <w:rFonts w:ascii="宋体" w:hAnsi="宋体" w:hint="eastAsia"/>
          <w:lang w:eastAsia="zh-CN"/>
        </w:rPr>
        <w:t>合同当事人不得以贿赂或变相贿赂的方式，谋取非法利益或损害对方权益。因一方合同当事人的贿赂造成对方损失的，应赔偿损失，并承担相应的法律责任。</w:t>
      </w:r>
    </w:p>
    <w:p w14:paraId="77C3E370">
      <w:pPr>
        <w:spacing w:line="360" w:lineRule="auto"/>
        <w:rPr>
          <w:rFonts w:ascii="宋体" w:hAnsi="宋体"/>
          <w:lang w:eastAsia="zh-CN"/>
        </w:rPr>
      </w:pPr>
      <w:r>
        <w:rPr>
          <w:rFonts w:ascii="宋体" w:hAnsi="宋体" w:hint="eastAsia"/>
          <w:lang w:eastAsia="zh-CN"/>
        </w:rPr>
        <w:t>承包人不得与监理人或发包人聘请的第三方串通损害发包人利益。未经发包人书面同意，承包人不得为监理人提供合同约定以外的通讯设备、交通工具及其他任何形式的利益，不得向监理人支付报酬。</w:t>
      </w:r>
    </w:p>
    <w:p w14:paraId="3CE809E7">
      <w:pPr>
        <w:spacing w:line="360" w:lineRule="auto"/>
        <w:rPr>
          <w:rFonts w:ascii="宋体" w:hAnsi="宋体"/>
          <w:bCs/>
          <w:lang w:eastAsia="zh-CN"/>
        </w:rPr>
      </w:pPr>
      <w:bookmarkStart w:id="146" w:name="_Toc351203504"/>
      <w:r>
        <w:rPr>
          <w:rFonts w:ascii="宋体" w:hAnsi="宋体" w:hint="eastAsia"/>
          <w:bCs/>
          <w:lang w:eastAsia="zh-CN"/>
        </w:rPr>
        <w:t>1</w:t>
      </w:r>
      <w:bookmarkStart w:id="147" w:name="_Toc296346537"/>
      <w:bookmarkStart w:id="148" w:name="_Toc296503036"/>
      <w:bookmarkStart w:id="149" w:name="_Toc337558735"/>
      <w:r>
        <w:rPr>
          <w:rFonts w:ascii="宋体" w:hAnsi="宋体" w:hint="eastAsia"/>
          <w:bCs/>
          <w:lang w:eastAsia="zh-CN"/>
        </w:rPr>
        <w:t>.9化石、文物</w:t>
      </w:r>
      <w:bookmarkEnd w:id="146"/>
    </w:p>
    <w:bookmarkEnd w:id="147"/>
    <w:bookmarkEnd w:id="148"/>
    <w:bookmarkEnd w:id="149"/>
    <w:p w14:paraId="70207DF9">
      <w:pPr>
        <w:spacing w:line="360" w:lineRule="auto"/>
        <w:rPr>
          <w:rFonts w:ascii="宋体" w:hAnsi="宋体"/>
          <w:lang w:eastAsia="zh-CN"/>
        </w:rPr>
      </w:pPr>
      <w:r>
        <w:rPr>
          <w:rFonts w:ascii="宋体" w:hAnsi="宋体" w:hint="eastAsia"/>
          <w:lang w:eastAsia="zh-CN"/>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68B79E7C">
      <w:pPr>
        <w:spacing w:line="360" w:lineRule="auto"/>
        <w:rPr>
          <w:rFonts w:ascii="宋体" w:hAnsi="宋体"/>
          <w:lang w:eastAsia="zh-CN"/>
        </w:rPr>
      </w:pPr>
      <w:r>
        <w:rPr>
          <w:rFonts w:ascii="宋体" w:hAnsi="宋体" w:hint="eastAsia"/>
          <w:lang w:eastAsia="zh-CN"/>
        </w:rPr>
        <w:t>发包人、监理人和承包人应按有关政府行政管理部门要求采取妥善的保护措施，由此增加的费用和（或）延误的工期由发包人承担。</w:t>
      </w:r>
    </w:p>
    <w:p w14:paraId="747B1E09">
      <w:pPr>
        <w:spacing w:line="360" w:lineRule="auto"/>
        <w:rPr>
          <w:rFonts w:ascii="宋体" w:hAnsi="宋体"/>
          <w:lang w:eastAsia="zh-CN"/>
        </w:rPr>
      </w:pPr>
      <w:r>
        <w:rPr>
          <w:rFonts w:ascii="宋体" w:hAnsi="宋体" w:hint="eastAsia"/>
          <w:lang w:eastAsia="zh-CN"/>
        </w:rPr>
        <w:t>承包人发现文物后不及时报告或隐瞒不报，致使文物丢失或损坏的，应赔偿损失，并承担相应的法律责任。</w:t>
      </w:r>
    </w:p>
    <w:p w14:paraId="54F39EBA">
      <w:pPr>
        <w:spacing w:line="360" w:lineRule="auto"/>
        <w:rPr>
          <w:rFonts w:ascii="宋体" w:hAnsi="宋体"/>
          <w:bCs/>
          <w:lang w:eastAsia="zh-CN"/>
        </w:rPr>
      </w:pPr>
      <w:bookmarkStart w:id="150" w:name="_Toc351203505"/>
      <w:r>
        <w:rPr>
          <w:rFonts w:ascii="宋体" w:hAnsi="宋体" w:hint="eastAsia"/>
          <w:bCs/>
          <w:lang w:eastAsia="zh-CN"/>
        </w:rPr>
        <w:t>1</w:t>
      </w:r>
      <w:bookmarkStart w:id="151" w:name="_Toc337558736"/>
      <w:r>
        <w:rPr>
          <w:rFonts w:ascii="宋体" w:hAnsi="宋体" w:hint="eastAsia"/>
          <w:bCs/>
          <w:lang w:eastAsia="zh-CN"/>
        </w:rPr>
        <w:t>.10交通运输</w:t>
      </w:r>
      <w:bookmarkEnd w:id="150"/>
    </w:p>
    <w:bookmarkEnd w:id="151"/>
    <w:p w14:paraId="1BFB4CF0">
      <w:pPr>
        <w:spacing w:line="360" w:lineRule="auto"/>
        <w:rPr>
          <w:rFonts w:ascii="宋体" w:hAnsi="宋体"/>
          <w:lang w:eastAsia="zh-CN"/>
        </w:rPr>
      </w:pPr>
      <w:r>
        <w:rPr>
          <w:rFonts w:ascii="宋体" w:hAnsi="宋体" w:hint="eastAsia"/>
          <w:lang w:eastAsia="zh-CN"/>
        </w:rPr>
        <w:t>1.10.1 出入现场的权利</w:t>
      </w:r>
    </w:p>
    <w:p w14:paraId="643B42DA">
      <w:pPr>
        <w:spacing w:line="360" w:lineRule="auto"/>
        <w:rPr>
          <w:rFonts w:ascii="宋体" w:hAnsi="宋体"/>
          <w:lang w:eastAsia="zh-CN"/>
        </w:rPr>
      </w:pPr>
      <w:r>
        <w:rPr>
          <w:rFonts w:ascii="宋体" w:hAnsi="宋体" w:hint="eastAsia"/>
          <w:lang w:eastAsia="zh-CN"/>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62D5E9E2">
      <w:pPr>
        <w:spacing w:line="360" w:lineRule="auto"/>
        <w:rPr>
          <w:rFonts w:ascii="宋体" w:hAnsi="宋体"/>
          <w:lang w:eastAsia="zh-CN"/>
        </w:rPr>
      </w:pPr>
      <w:r>
        <w:rPr>
          <w:rFonts w:ascii="宋体" w:hAnsi="宋体" w:hint="eastAsia"/>
          <w:lang w:eastAsia="zh-CN"/>
        </w:rPr>
        <w:t>承包人应在订立合同前查勘施工现场，并根据工程规模及技术参数合理预见工程施工所需的进出施工现场的方式、手段、路径等。因承包人未合理预见所增加的费用和（或）延误的工期由承包人承担。</w:t>
      </w:r>
    </w:p>
    <w:p w14:paraId="04943DD5">
      <w:pPr>
        <w:spacing w:line="360" w:lineRule="auto"/>
        <w:rPr>
          <w:rFonts w:ascii="宋体" w:hAnsi="宋体"/>
          <w:lang w:eastAsia="zh-CN"/>
        </w:rPr>
      </w:pPr>
      <w:r>
        <w:rPr>
          <w:rFonts w:ascii="宋体" w:hAnsi="宋体" w:hint="eastAsia"/>
          <w:lang w:eastAsia="zh-CN"/>
        </w:rPr>
        <w:t>1.10.2 场外交通</w:t>
      </w:r>
    </w:p>
    <w:p w14:paraId="41D365DA">
      <w:pPr>
        <w:spacing w:line="360" w:lineRule="auto"/>
        <w:rPr>
          <w:rFonts w:ascii="宋体" w:hAnsi="宋体"/>
          <w:lang w:eastAsia="zh-CN"/>
        </w:rPr>
      </w:pPr>
      <w:r>
        <w:rPr>
          <w:rFonts w:ascii="宋体" w:hAnsi="宋体" w:hint="eastAsia"/>
          <w:lang w:eastAsia="zh-CN"/>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662F598A">
      <w:pPr>
        <w:spacing w:line="360" w:lineRule="auto"/>
        <w:rPr>
          <w:rFonts w:ascii="宋体" w:hAnsi="宋体"/>
          <w:lang w:eastAsia="zh-CN"/>
        </w:rPr>
      </w:pPr>
      <w:r>
        <w:rPr>
          <w:rFonts w:ascii="宋体" w:hAnsi="宋体" w:hint="eastAsia"/>
          <w:lang w:eastAsia="zh-CN"/>
        </w:rPr>
        <w:t>1.10.3场内交通</w:t>
      </w:r>
    </w:p>
    <w:p w14:paraId="06DD4EE6">
      <w:pPr>
        <w:spacing w:line="360" w:lineRule="auto"/>
        <w:rPr>
          <w:rFonts w:ascii="宋体" w:hAnsi="宋体"/>
          <w:lang w:eastAsia="zh-CN"/>
        </w:rPr>
      </w:pPr>
      <w:r>
        <w:rPr>
          <w:rFonts w:ascii="宋体" w:hAnsi="宋体" w:hint="eastAsia"/>
          <w:lang w:eastAsia="zh-CN"/>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52297A5A">
      <w:pPr>
        <w:spacing w:line="360" w:lineRule="auto"/>
        <w:rPr>
          <w:rFonts w:ascii="宋体" w:hAnsi="宋体"/>
          <w:lang w:eastAsia="zh-CN"/>
        </w:rPr>
      </w:pPr>
      <w:r>
        <w:rPr>
          <w:rFonts w:ascii="宋体" w:hAnsi="宋体" w:hint="eastAsia"/>
          <w:lang w:eastAsia="zh-CN"/>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635189A9">
      <w:pPr>
        <w:spacing w:line="360" w:lineRule="auto"/>
        <w:rPr>
          <w:rFonts w:ascii="宋体" w:hAnsi="宋体"/>
          <w:lang w:eastAsia="zh-CN"/>
        </w:rPr>
      </w:pPr>
      <w:r>
        <w:rPr>
          <w:rFonts w:ascii="宋体" w:hAnsi="宋体" w:hint="eastAsia"/>
          <w:lang w:eastAsia="zh-CN"/>
        </w:rPr>
        <w:t>场外交通和场内交通的边界由合同当事人在专用合同条款中约定。</w:t>
      </w:r>
    </w:p>
    <w:p w14:paraId="6D9CF705">
      <w:pPr>
        <w:spacing w:line="360" w:lineRule="auto"/>
        <w:rPr>
          <w:rFonts w:ascii="宋体" w:hAnsi="宋体"/>
          <w:lang w:eastAsia="zh-CN"/>
        </w:rPr>
      </w:pPr>
      <w:r>
        <w:rPr>
          <w:rFonts w:ascii="宋体" w:hAnsi="宋体" w:hint="eastAsia"/>
          <w:lang w:eastAsia="zh-CN"/>
        </w:rPr>
        <w:t>1.10.4 超大件和超重件的运输</w:t>
      </w:r>
    </w:p>
    <w:p w14:paraId="3ABC2AFF">
      <w:pPr>
        <w:spacing w:line="360" w:lineRule="auto"/>
        <w:rPr>
          <w:rFonts w:ascii="宋体" w:hAnsi="宋体"/>
          <w:lang w:eastAsia="zh-CN"/>
        </w:rPr>
      </w:pPr>
      <w:r>
        <w:rPr>
          <w:rFonts w:ascii="宋体" w:hAnsi="宋体" w:hint="eastAsia"/>
          <w:lang w:eastAsia="zh-CN"/>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416F229">
      <w:pPr>
        <w:spacing w:line="360" w:lineRule="auto"/>
        <w:rPr>
          <w:rFonts w:ascii="宋体" w:hAnsi="宋体"/>
          <w:lang w:eastAsia="zh-CN"/>
        </w:rPr>
      </w:pPr>
      <w:r>
        <w:rPr>
          <w:rFonts w:ascii="宋体" w:hAnsi="宋体" w:hint="eastAsia"/>
          <w:lang w:eastAsia="zh-CN"/>
        </w:rPr>
        <w:t>1.10.5 道路和桥梁的损坏责任</w:t>
      </w:r>
    </w:p>
    <w:p w14:paraId="4950D56D">
      <w:pPr>
        <w:spacing w:line="360" w:lineRule="auto"/>
        <w:rPr>
          <w:rFonts w:ascii="宋体" w:hAnsi="宋体"/>
          <w:lang w:eastAsia="zh-CN"/>
        </w:rPr>
      </w:pPr>
      <w:r>
        <w:rPr>
          <w:rFonts w:ascii="宋体" w:hAnsi="宋体" w:hint="eastAsia"/>
          <w:lang w:eastAsia="zh-CN"/>
        </w:rPr>
        <w:t>因承包人运输造成施工场地内外公共道路和桥梁损坏的，由承包人承担修复损坏的全部费用和可能引起的赔偿。</w:t>
      </w:r>
    </w:p>
    <w:p w14:paraId="332820E2">
      <w:pPr>
        <w:spacing w:line="360" w:lineRule="auto"/>
        <w:rPr>
          <w:rFonts w:ascii="宋体" w:hAnsi="宋体"/>
          <w:lang w:eastAsia="zh-CN"/>
        </w:rPr>
      </w:pPr>
      <w:r>
        <w:rPr>
          <w:rFonts w:ascii="宋体" w:hAnsi="宋体" w:hint="eastAsia"/>
          <w:lang w:eastAsia="zh-CN"/>
        </w:rPr>
        <w:t>1.10.6 水路和航空运输</w:t>
      </w:r>
    </w:p>
    <w:p w14:paraId="5ADC383D">
      <w:pPr>
        <w:spacing w:line="360" w:lineRule="auto"/>
        <w:rPr>
          <w:rFonts w:ascii="宋体" w:hAnsi="宋体"/>
          <w:lang w:eastAsia="zh-CN"/>
        </w:rPr>
      </w:pPr>
      <w:r>
        <w:rPr>
          <w:rFonts w:ascii="宋体" w:hAnsi="宋体" w:hint="eastAsia"/>
          <w:lang w:eastAsia="zh-CN"/>
        </w:rPr>
        <w:t>本款前述各项的内容适用于水路运输和航空运输，其中“道路”一词的涵义包括河道、航线、船闸、机场、码头、堤防以及水路或航空运输中其他相似结构物；“车辆”一词的涵义包括船舶和飞机等。</w:t>
      </w:r>
    </w:p>
    <w:p w14:paraId="08850692">
      <w:pPr>
        <w:spacing w:line="360" w:lineRule="auto"/>
        <w:rPr>
          <w:rFonts w:ascii="宋体" w:hAnsi="宋体"/>
          <w:bCs/>
          <w:lang w:eastAsia="zh-CN"/>
        </w:rPr>
      </w:pPr>
      <w:bookmarkStart w:id="152" w:name="_Toc351203506"/>
      <w:r>
        <w:rPr>
          <w:rFonts w:ascii="宋体" w:hAnsi="宋体" w:hint="eastAsia"/>
          <w:bCs/>
          <w:lang w:eastAsia="zh-CN"/>
        </w:rPr>
        <w:t>1</w:t>
      </w:r>
      <w:bookmarkStart w:id="153" w:name="_Toc337558737"/>
      <w:bookmarkStart w:id="154" w:name="_Toc296346538"/>
      <w:bookmarkStart w:id="155" w:name="_Toc296503037"/>
      <w:r>
        <w:rPr>
          <w:rFonts w:ascii="宋体" w:hAnsi="宋体" w:hint="eastAsia"/>
          <w:bCs/>
          <w:lang w:eastAsia="zh-CN"/>
        </w:rPr>
        <w:t>.11知识产权</w:t>
      </w:r>
      <w:bookmarkEnd w:id="152"/>
      <w:r>
        <w:rPr>
          <w:rFonts w:ascii="宋体" w:hAnsi="宋体" w:hint="eastAsia"/>
          <w:bCs/>
          <w:lang w:eastAsia="zh-CN"/>
        </w:rPr>
        <w:t xml:space="preserve"> </w:t>
      </w:r>
      <w:bookmarkEnd w:id="153"/>
    </w:p>
    <w:bookmarkEnd w:id="154"/>
    <w:bookmarkEnd w:id="155"/>
    <w:p w14:paraId="304C496F">
      <w:pPr>
        <w:spacing w:line="360" w:lineRule="auto"/>
        <w:rPr>
          <w:rFonts w:ascii="宋体" w:hAnsi="宋体"/>
          <w:lang w:eastAsia="zh-CN"/>
        </w:rPr>
      </w:pPr>
      <w:r>
        <w:rPr>
          <w:rFonts w:ascii="宋体" w:hAnsi="宋体" w:hint="eastAsia"/>
          <w:lang w:eastAsia="zh-CN"/>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5CD3312D">
      <w:pPr>
        <w:spacing w:line="360" w:lineRule="auto"/>
        <w:rPr>
          <w:rFonts w:ascii="宋体" w:hAnsi="宋体"/>
          <w:lang w:eastAsia="zh-CN"/>
        </w:rPr>
      </w:pPr>
      <w:r>
        <w:rPr>
          <w:rFonts w:ascii="宋体" w:hAnsi="宋体" w:hint="eastAsia"/>
          <w:lang w:eastAsia="zh-CN"/>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09E56804">
      <w:pPr>
        <w:spacing w:line="360" w:lineRule="auto"/>
        <w:rPr>
          <w:rFonts w:ascii="宋体" w:hAnsi="宋体"/>
          <w:lang w:eastAsia="zh-CN"/>
        </w:rPr>
      </w:pPr>
      <w:r>
        <w:rPr>
          <w:rFonts w:ascii="宋体" w:hAnsi="宋体" w:hint="eastAsia"/>
          <w:lang w:eastAsia="zh-CN"/>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29FEBB8E">
      <w:pPr>
        <w:spacing w:line="360" w:lineRule="auto"/>
        <w:rPr>
          <w:rFonts w:ascii="宋体" w:hAnsi="宋体"/>
          <w:lang w:eastAsia="zh-CN"/>
        </w:rPr>
      </w:pPr>
      <w:r>
        <w:rPr>
          <w:rFonts w:ascii="宋体" w:hAnsi="宋体" w:hint="eastAsia"/>
          <w:lang w:eastAsia="zh-CN"/>
        </w:rPr>
        <w:t>1.11.4 除专用合同条款另有约定外，承包人在合同签订前和签订时已确定采用的专利、专有技术、技术秘密的使用费已包含在签约合同价中。</w:t>
      </w:r>
    </w:p>
    <w:p w14:paraId="611B2529">
      <w:pPr>
        <w:spacing w:line="360" w:lineRule="auto"/>
        <w:rPr>
          <w:rFonts w:ascii="宋体" w:hAnsi="宋体"/>
          <w:bCs/>
          <w:lang w:eastAsia="zh-CN"/>
        </w:rPr>
      </w:pPr>
      <w:bookmarkStart w:id="156" w:name="_Toc351203507"/>
      <w:r>
        <w:rPr>
          <w:rFonts w:ascii="宋体" w:hAnsi="宋体" w:hint="eastAsia"/>
          <w:bCs/>
          <w:lang w:eastAsia="zh-CN"/>
        </w:rPr>
        <w:t>1</w:t>
      </w:r>
      <w:bookmarkStart w:id="157" w:name="_Toc337558738"/>
      <w:r>
        <w:rPr>
          <w:rFonts w:ascii="宋体" w:hAnsi="宋体" w:hint="eastAsia"/>
          <w:bCs/>
          <w:lang w:eastAsia="zh-CN"/>
        </w:rPr>
        <w:t>.12保密</w:t>
      </w:r>
      <w:bookmarkEnd w:id="156"/>
    </w:p>
    <w:bookmarkEnd w:id="157"/>
    <w:p w14:paraId="241D0AA8">
      <w:pPr>
        <w:spacing w:line="360" w:lineRule="auto"/>
        <w:rPr>
          <w:rFonts w:ascii="宋体" w:hAnsi="宋体"/>
          <w:lang w:eastAsia="zh-CN"/>
        </w:rPr>
      </w:pPr>
      <w:r>
        <w:rPr>
          <w:rFonts w:ascii="宋体" w:hAnsi="宋体" w:hint="eastAsia"/>
          <w:lang w:eastAsia="zh-CN"/>
        </w:rPr>
        <w:t>除法律规定或合同另有约定外，未经发包人同意，承包人不得将发包人提供的图纸、文件以及声明需要保密的资料信息等商业秘密泄露给第三方。</w:t>
      </w:r>
    </w:p>
    <w:p w14:paraId="17C057C6">
      <w:pPr>
        <w:spacing w:line="360" w:lineRule="auto"/>
        <w:rPr>
          <w:rFonts w:ascii="宋体" w:hAnsi="宋体"/>
          <w:lang w:eastAsia="zh-CN"/>
        </w:rPr>
      </w:pPr>
      <w:r>
        <w:rPr>
          <w:rFonts w:ascii="宋体" w:hAnsi="宋体" w:hint="eastAsia"/>
          <w:lang w:eastAsia="zh-CN"/>
        </w:rPr>
        <w:t>除法律规定或合同另有约定外，未经承包人同意，发包人不得将承包人提供的技术秘密及声明需要保密的资料信息等商业秘密泄露给第三方。</w:t>
      </w:r>
    </w:p>
    <w:p w14:paraId="2DE3A70F">
      <w:pPr>
        <w:spacing w:line="360" w:lineRule="auto"/>
        <w:rPr>
          <w:rFonts w:ascii="宋体" w:hAnsi="宋体"/>
          <w:bCs/>
          <w:lang w:eastAsia="zh-CN"/>
        </w:rPr>
      </w:pPr>
      <w:bookmarkStart w:id="158" w:name="_Toc351203508"/>
      <w:r>
        <w:rPr>
          <w:rFonts w:ascii="宋体" w:hAnsi="宋体" w:hint="eastAsia"/>
          <w:bCs/>
          <w:lang w:eastAsia="zh-CN"/>
        </w:rPr>
        <w:t>1.13工程量清单错误的修正</w:t>
      </w:r>
      <w:bookmarkEnd w:id="158"/>
    </w:p>
    <w:p w14:paraId="0181AD36">
      <w:pPr>
        <w:spacing w:line="360" w:lineRule="auto"/>
        <w:rPr>
          <w:rFonts w:ascii="宋体" w:hAnsi="宋体"/>
          <w:lang w:eastAsia="zh-CN"/>
        </w:rPr>
      </w:pPr>
      <w:r>
        <w:rPr>
          <w:rFonts w:ascii="宋体" w:hAnsi="宋体" w:hint="eastAsia"/>
          <w:lang w:eastAsia="zh-CN"/>
        </w:rPr>
        <w:t>除专用合同条款另有约定外，发包人提供的工程量清单，应被认为是准确的和完整的。出现下列情形之一时，发包人应予以修正，并相应调整合同价格：</w:t>
      </w:r>
    </w:p>
    <w:p w14:paraId="7C03A74E">
      <w:pPr>
        <w:spacing w:line="360" w:lineRule="auto"/>
        <w:rPr>
          <w:rFonts w:ascii="宋体" w:hAnsi="宋体"/>
          <w:lang w:eastAsia="zh-CN"/>
        </w:rPr>
      </w:pPr>
      <w:r>
        <w:rPr>
          <w:rFonts w:ascii="宋体" w:hAnsi="宋体" w:hint="eastAsia"/>
          <w:lang w:eastAsia="zh-CN"/>
        </w:rPr>
        <w:t>（1）工程量清单存在缺项、漏项的；</w:t>
      </w:r>
    </w:p>
    <w:p w14:paraId="7CFFCA5B">
      <w:pPr>
        <w:spacing w:line="360" w:lineRule="auto"/>
        <w:rPr>
          <w:rFonts w:ascii="宋体" w:hAnsi="宋体"/>
          <w:lang w:eastAsia="zh-CN"/>
        </w:rPr>
      </w:pPr>
      <w:r>
        <w:rPr>
          <w:rFonts w:ascii="宋体" w:hAnsi="宋体" w:hint="eastAsia"/>
          <w:lang w:eastAsia="zh-CN"/>
        </w:rPr>
        <w:t>（2）工程量清单偏差超出专用合同条款约定的工程量偏差范围的；</w:t>
      </w:r>
    </w:p>
    <w:p w14:paraId="1C529A03">
      <w:pPr>
        <w:spacing w:line="360" w:lineRule="auto"/>
        <w:rPr>
          <w:rFonts w:ascii="宋体" w:hAnsi="宋体"/>
          <w:lang w:eastAsia="zh-CN"/>
        </w:rPr>
      </w:pPr>
      <w:r>
        <w:rPr>
          <w:rFonts w:ascii="宋体" w:hAnsi="宋体" w:hint="eastAsia"/>
          <w:lang w:eastAsia="zh-CN"/>
        </w:rPr>
        <w:t>（3）未按照国家现行计量规范强制性规定计量的。</w:t>
      </w:r>
    </w:p>
    <w:p w14:paraId="400F27B0">
      <w:pPr>
        <w:spacing w:line="360" w:lineRule="auto"/>
        <w:rPr>
          <w:rFonts w:ascii="宋体" w:hAnsi="宋体"/>
          <w:bCs/>
          <w:lang w:eastAsia="zh-CN"/>
        </w:rPr>
      </w:pPr>
      <w:bookmarkStart w:id="159" w:name="_Toc351203509"/>
      <w:r>
        <w:rPr>
          <w:rFonts w:ascii="宋体" w:hAnsi="宋体" w:hint="eastAsia"/>
          <w:bCs/>
          <w:lang w:eastAsia="zh-CN"/>
        </w:rPr>
        <w:t>2</w:t>
      </w:r>
      <w:bookmarkStart w:id="160" w:name="_Toc296503038"/>
      <w:bookmarkStart w:id="161" w:name="_Toc337558739"/>
      <w:bookmarkStart w:id="162" w:name="_Toc296346539"/>
      <w:bookmarkStart w:id="163" w:name="OLE_LINK2"/>
      <w:bookmarkStart w:id="164" w:name="OLE_LINK1"/>
      <w:r>
        <w:rPr>
          <w:rFonts w:ascii="宋体" w:hAnsi="宋体" w:hint="eastAsia"/>
          <w:bCs/>
          <w:lang w:eastAsia="zh-CN"/>
        </w:rPr>
        <w:t>. 发包人</w:t>
      </w:r>
      <w:bookmarkEnd w:id="159"/>
    </w:p>
    <w:bookmarkEnd w:id="160"/>
    <w:bookmarkEnd w:id="161"/>
    <w:bookmarkEnd w:id="162"/>
    <w:p w14:paraId="7C9E8250">
      <w:pPr>
        <w:spacing w:line="360" w:lineRule="auto"/>
        <w:rPr>
          <w:rFonts w:ascii="宋体" w:hAnsi="宋体"/>
          <w:bCs/>
          <w:lang w:eastAsia="zh-CN"/>
        </w:rPr>
      </w:pPr>
      <w:bookmarkStart w:id="165" w:name="_Toc351203510"/>
      <w:r>
        <w:rPr>
          <w:rFonts w:ascii="宋体" w:hAnsi="宋体" w:hint="eastAsia"/>
          <w:bCs/>
          <w:lang w:eastAsia="zh-CN"/>
        </w:rPr>
        <w:t>2</w:t>
      </w:r>
      <w:bookmarkStart w:id="166" w:name="_Toc296503039"/>
      <w:bookmarkStart w:id="167" w:name="_Toc337558740"/>
      <w:bookmarkStart w:id="168" w:name="_Toc296346540"/>
      <w:r>
        <w:rPr>
          <w:rFonts w:ascii="宋体" w:hAnsi="宋体" w:hint="eastAsia"/>
          <w:bCs/>
          <w:lang w:eastAsia="zh-CN"/>
        </w:rPr>
        <w:t>.1 许可或批准</w:t>
      </w:r>
      <w:bookmarkEnd w:id="165"/>
    </w:p>
    <w:p w14:paraId="383461A6">
      <w:pPr>
        <w:spacing w:line="360" w:lineRule="auto"/>
        <w:rPr>
          <w:rFonts w:ascii="宋体" w:hAnsi="宋体"/>
          <w:lang w:eastAsia="zh-CN"/>
        </w:rPr>
      </w:pPr>
      <w:r>
        <w:rPr>
          <w:rFonts w:ascii="宋体" w:hAnsi="宋体" w:hint="eastAsia"/>
          <w:lang w:eastAsia="zh-CN"/>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4ECF9CC3">
      <w:pPr>
        <w:spacing w:line="360" w:lineRule="auto"/>
        <w:rPr>
          <w:rFonts w:ascii="宋体" w:hAnsi="宋体"/>
          <w:lang w:eastAsia="zh-CN"/>
        </w:rPr>
      </w:pPr>
      <w:r>
        <w:rPr>
          <w:rFonts w:ascii="宋体" w:hAnsi="宋体" w:hint="eastAsia"/>
          <w:lang w:eastAsia="zh-CN"/>
        </w:rPr>
        <w:t>因发包人原因未能及时办理完毕前述许可、批准或备案，由发包人承担由此增加的费用和（或）延误的工期，并支付承包人合理的利润。</w:t>
      </w:r>
    </w:p>
    <w:p w14:paraId="382DEB6C">
      <w:pPr>
        <w:spacing w:line="360" w:lineRule="auto"/>
        <w:rPr>
          <w:rFonts w:ascii="宋体" w:hAnsi="宋体"/>
          <w:bCs/>
          <w:lang w:eastAsia="zh-CN"/>
        </w:rPr>
      </w:pPr>
      <w:bookmarkStart w:id="169" w:name="_Toc351203511"/>
      <w:r>
        <w:rPr>
          <w:rFonts w:ascii="宋体" w:hAnsi="宋体" w:hint="eastAsia"/>
          <w:bCs/>
          <w:lang w:eastAsia="zh-CN"/>
        </w:rPr>
        <w:t>2.2 发包人代表</w:t>
      </w:r>
      <w:bookmarkEnd w:id="169"/>
    </w:p>
    <w:p w14:paraId="11485051">
      <w:pPr>
        <w:spacing w:line="360" w:lineRule="auto"/>
        <w:rPr>
          <w:rFonts w:ascii="宋体" w:hAnsi="宋体"/>
          <w:lang w:eastAsia="zh-CN"/>
        </w:rPr>
      </w:pPr>
      <w:r>
        <w:rPr>
          <w:rFonts w:ascii="宋体" w:hAnsi="宋体" w:hint="eastAsia"/>
          <w:lang w:eastAsia="zh-CN"/>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0F9FD5CB">
      <w:pPr>
        <w:spacing w:line="360" w:lineRule="auto"/>
        <w:rPr>
          <w:rFonts w:ascii="宋体" w:hAnsi="宋体"/>
          <w:lang w:eastAsia="zh-CN"/>
        </w:rPr>
      </w:pPr>
      <w:r>
        <w:rPr>
          <w:rFonts w:ascii="宋体" w:hAnsi="宋体" w:hint="eastAsia"/>
          <w:lang w:eastAsia="zh-CN"/>
        </w:rPr>
        <w:t>发包人代表不能按照合同约定履行其职责及义务，并导致合同无法继续正常履行的，承包人可以要求发包人撤换发包人代表。</w:t>
      </w:r>
    </w:p>
    <w:p w14:paraId="0460AB05">
      <w:pPr>
        <w:spacing w:line="360" w:lineRule="auto"/>
        <w:rPr>
          <w:rFonts w:ascii="宋体" w:hAnsi="宋体"/>
          <w:lang w:eastAsia="zh-CN"/>
        </w:rPr>
      </w:pPr>
      <w:r>
        <w:rPr>
          <w:rFonts w:ascii="宋体" w:hAnsi="宋体" w:hint="eastAsia"/>
          <w:lang w:eastAsia="zh-CN"/>
        </w:rPr>
        <w:t>不属于法定必须监理的工程，监理人的职权可以由发包人代表或发包人指定的其他人员行使。</w:t>
      </w:r>
    </w:p>
    <w:p w14:paraId="45B24799">
      <w:pPr>
        <w:spacing w:line="360" w:lineRule="auto"/>
        <w:rPr>
          <w:rFonts w:ascii="宋体" w:hAnsi="宋体"/>
          <w:bCs/>
          <w:lang w:eastAsia="zh-CN"/>
        </w:rPr>
      </w:pPr>
      <w:bookmarkStart w:id="170" w:name="_Toc351203512"/>
      <w:r>
        <w:rPr>
          <w:rFonts w:ascii="宋体" w:hAnsi="宋体" w:hint="eastAsia"/>
          <w:bCs/>
          <w:lang w:eastAsia="zh-CN"/>
        </w:rPr>
        <w:t>2.3 发包人人员</w:t>
      </w:r>
      <w:bookmarkEnd w:id="170"/>
    </w:p>
    <w:p w14:paraId="6336CBFA">
      <w:pPr>
        <w:spacing w:line="360" w:lineRule="auto"/>
        <w:rPr>
          <w:rFonts w:ascii="宋体" w:hAnsi="宋体"/>
          <w:lang w:eastAsia="zh-CN"/>
        </w:rPr>
      </w:pPr>
      <w:r>
        <w:rPr>
          <w:rFonts w:ascii="宋体" w:hAnsi="宋体" w:hint="eastAsia"/>
          <w:lang w:eastAsia="zh-CN"/>
        </w:rPr>
        <w:t>发包人应要求在施工现场的发包人人员遵守法律及有关安全、质量、环境保护、文明施工等规定，并保障承包人免于承受因发包人人员未遵守上述要求给承包人造成的损失和责任。</w:t>
      </w:r>
    </w:p>
    <w:p w14:paraId="02F5FB1F">
      <w:pPr>
        <w:spacing w:line="360" w:lineRule="auto"/>
        <w:rPr>
          <w:rFonts w:ascii="宋体" w:hAnsi="宋体"/>
          <w:lang w:eastAsia="zh-CN"/>
        </w:rPr>
      </w:pPr>
      <w:r>
        <w:rPr>
          <w:rFonts w:ascii="宋体" w:hAnsi="宋体" w:hint="eastAsia"/>
          <w:lang w:eastAsia="zh-CN"/>
        </w:rPr>
        <w:t>发包人人员包括发包人代表及其他由发包人派驻施工现场的人员。</w:t>
      </w:r>
      <w:bookmarkEnd w:id="166"/>
      <w:bookmarkEnd w:id="167"/>
      <w:bookmarkEnd w:id="168"/>
    </w:p>
    <w:p w14:paraId="643F915B">
      <w:pPr>
        <w:spacing w:line="360" w:lineRule="auto"/>
        <w:rPr>
          <w:rFonts w:ascii="宋体" w:hAnsi="宋体"/>
          <w:bCs/>
          <w:lang w:eastAsia="zh-CN"/>
        </w:rPr>
      </w:pPr>
      <w:bookmarkStart w:id="171" w:name="_Toc351203513"/>
      <w:r>
        <w:rPr>
          <w:rFonts w:ascii="宋体" w:hAnsi="宋体" w:hint="eastAsia"/>
          <w:bCs/>
          <w:lang w:eastAsia="zh-CN"/>
        </w:rPr>
        <w:t>2</w:t>
      </w:r>
      <w:bookmarkStart w:id="172" w:name="_Toc337558741"/>
      <w:bookmarkStart w:id="173" w:name="_Toc296503040"/>
      <w:bookmarkStart w:id="174" w:name="_Toc296346541"/>
      <w:r>
        <w:rPr>
          <w:rFonts w:ascii="宋体" w:hAnsi="宋体" w:hint="eastAsia"/>
          <w:bCs/>
          <w:lang w:eastAsia="zh-CN"/>
        </w:rPr>
        <w:t>.4 施工现场、施工条件和基础资料的提供</w:t>
      </w:r>
      <w:bookmarkEnd w:id="171"/>
      <w:r>
        <w:rPr>
          <w:rFonts w:ascii="宋体" w:hAnsi="宋体" w:hint="eastAsia"/>
          <w:bCs/>
          <w:lang w:eastAsia="zh-CN"/>
        </w:rPr>
        <w:t xml:space="preserve"> </w:t>
      </w:r>
      <w:bookmarkEnd w:id="172"/>
      <w:bookmarkEnd w:id="173"/>
      <w:bookmarkEnd w:id="174"/>
      <w:r>
        <w:rPr>
          <w:rFonts w:ascii="宋体" w:hAnsi="宋体" w:hint="eastAsia"/>
          <w:bCs/>
          <w:lang w:eastAsia="zh-CN"/>
        </w:rPr>
        <w:t xml:space="preserve"> </w:t>
      </w:r>
    </w:p>
    <w:p w14:paraId="7291DC94">
      <w:pPr>
        <w:spacing w:line="360" w:lineRule="auto"/>
        <w:rPr>
          <w:rFonts w:ascii="宋体" w:hAnsi="宋体"/>
          <w:lang w:eastAsia="zh-CN"/>
        </w:rPr>
      </w:pPr>
      <w:r>
        <w:rPr>
          <w:rFonts w:ascii="宋体" w:hAnsi="宋体" w:hint="eastAsia"/>
          <w:lang w:eastAsia="zh-CN"/>
        </w:rPr>
        <w:t>2.4.1 提供施工现场</w:t>
      </w:r>
    </w:p>
    <w:p w14:paraId="1A271E35">
      <w:pPr>
        <w:spacing w:line="360" w:lineRule="auto"/>
        <w:rPr>
          <w:rFonts w:ascii="宋体" w:hAnsi="宋体"/>
          <w:lang w:eastAsia="zh-CN"/>
        </w:rPr>
      </w:pPr>
      <w:r>
        <w:rPr>
          <w:rFonts w:ascii="宋体" w:hAnsi="宋体" w:hint="eastAsia"/>
          <w:lang w:eastAsia="zh-CN"/>
        </w:rPr>
        <w:t>除</w:t>
      </w:r>
      <w:bookmarkEnd w:id="163"/>
      <w:bookmarkEnd w:id="164"/>
      <w:r>
        <w:rPr>
          <w:rFonts w:ascii="宋体" w:hAnsi="宋体" w:hint="eastAsia"/>
          <w:lang w:eastAsia="zh-CN"/>
        </w:rPr>
        <w:t>专用合同条款另有约定外，发包人应最迟于开工日期7天前向承包人移交施工现场。</w:t>
      </w:r>
    </w:p>
    <w:p w14:paraId="59D05BC5">
      <w:pPr>
        <w:spacing w:line="360" w:lineRule="auto"/>
        <w:rPr>
          <w:rFonts w:ascii="宋体" w:hAnsi="宋体"/>
          <w:lang w:eastAsia="zh-CN"/>
        </w:rPr>
      </w:pPr>
      <w:r>
        <w:rPr>
          <w:rFonts w:ascii="宋体" w:hAnsi="宋体" w:hint="eastAsia"/>
          <w:lang w:eastAsia="zh-CN"/>
        </w:rPr>
        <w:t>2.4.2 提供施工条件</w:t>
      </w:r>
    </w:p>
    <w:p w14:paraId="7833C61B">
      <w:pPr>
        <w:spacing w:line="360" w:lineRule="auto"/>
        <w:rPr>
          <w:rFonts w:ascii="宋体" w:hAnsi="宋体"/>
          <w:lang w:eastAsia="zh-CN"/>
        </w:rPr>
      </w:pPr>
      <w:r>
        <w:rPr>
          <w:rFonts w:ascii="宋体" w:hAnsi="宋体" w:hint="eastAsia"/>
          <w:lang w:eastAsia="zh-CN"/>
        </w:rPr>
        <w:t>除专用合同条款另有约定外，发包人应负责提供施工所需要的条件，包括：</w:t>
      </w:r>
    </w:p>
    <w:p w14:paraId="7508C22E">
      <w:pPr>
        <w:spacing w:line="360" w:lineRule="auto"/>
        <w:rPr>
          <w:rFonts w:ascii="宋体" w:hAnsi="宋体"/>
          <w:lang w:eastAsia="zh-CN"/>
        </w:rPr>
      </w:pPr>
      <w:r>
        <w:rPr>
          <w:rFonts w:ascii="宋体" w:hAnsi="宋体" w:hint="eastAsia"/>
          <w:lang w:eastAsia="zh-CN"/>
        </w:rPr>
        <w:t>（1）将施工用水、电力、通讯线路等施工所必需的条件接至施工现场内；</w:t>
      </w:r>
    </w:p>
    <w:p w14:paraId="19C41A23">
      <w:pPr>
        <w:spacing w:line="360" w:lineRule="auto"/>
        <w:rPr>
          <w:rFonts w:ascii="宋体" w:hAnsi="宋体"/>
          <w:lang w:eastAsia="zh-CN"/>
        </w:rPr>
      </w:pPr>
      <w:r>
        <w:rPr>
          <w:rFonts w:ascii="宋体" w:hAnsi="宋体" w:hint="eastAsia"/>
          <w:lang w:eastAsia="zh-CN"/>
        </w:rPr>
        <w:t>（2）保证向承包人提供正常施工所需要的进入施工现场的交通条件；</w:t>
      </w:r>
    </w:p>
    <w:p w14:paraId="511CC458">
      <w:pPr>
        <w:spacing w:line="360" w:lineRule="auto"/>
        <w:rPr>
          <w:rFonts w:ascii="宋体" w:hAnsi="宋体"/>
          <w:lang w:eastAsia="zh-CN"/>
        </w:rPr>
      </w:pPr>
      <w:r>
        <w:rPr>
          <w:rFonts w:ascii="宋体" w:hAnsi="宋体" w:hint="eastAsia"/>
          <w:lang w:eastAsia="zh-CN"/>
        </w:rPr>
        <w:t>（3）协调处理施工现场周围地下管线和邻近建筑物、构筑物、古树名木的保护工作，并承担相关费用；</w:t>
      </w:r>
    </w:p>
    <w:p w14:paraId="66546B7C">
      <w:pPr>
        <w:spacing w:line="360" w:lineRule="auto"/>
        <w:rPr>
          <w:rFonts w:ascii="宋体" w:hAnsi="宋体"/>
          <w:lang w:eastAsia="zh-CN"/>
        </w:rPr>
      </w:pPr>
      <w:r>
        <w:rPr>
          <w:rFonts w:ascii="宋体" w:hAnsi="宋体" w:hint="eastAsia"/>
          <w:lang w:eastAsia="zh-CN"/>
        </w:rPr>
        <w:t>（4）按照专用合同条款约定应提供的其他设施和条件。</w:t>
      </w:r>
    </w:p>
    <w:p w14:paraId="26B6528A">
      <w:pPr>
        <w:spacing w:line="360" w:lineRule="auto"/>
        <w:rPr>
          <w:rFonts w:ascii="宋体" w:hAnsi="宋体"/>
          <w:lang w:eastAsia="zh-CN"/>
        </w:rPr>
      </w:pPr>
      <w:r>
        <w:rPr>
          <w:rFonts w:ascii="宋体" w:hAnsi="宋体" w:hint="eastAsia"/>
          <w:lang w:eastAsia="zh-CN"/>
        </w:rPr>
        <w:t>2.4.3 提供基础资料</w:t>
      </w:r>
    </w:p>
    <w:p w14:paraId="1A167631">
      <w:pPr>
        <w:spacing w:line="360" w:lineRule="auto"/>
        <w:rPr>
          <w:rFonts w:ascii="宋体" w:hAnsi="宋体"/>
          <w:lang w:eastAsia="zh-CN"/>
        </w:rPr>
      </w:pPr>
      <w:r>
        <w:rPr>
          <w:rFonts w:ascii="宋体" w:hAnsi="宋体" w:hint="eastAsia"/>
          <w:lang w:eastAsia="zh-CN"/>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3D437AF">
      <w:pPr>
        <w:spacing w:line="360" w:lineRule="auto"/>
        <w:rPr>
          <w:rFonts w:ascii="宋体" w:hAnsi="宋体"/>
          <w:lang w:eastAsia="zh-CN"/>
        </w:rPr>
      </w:pPr>
      <w:r>
        <w:rPr>
          <w:rFonts w:ascii="宋体" w:hAnsi="宋体" w:hint="eastAsia"/>
          <w:lang w:eastAsia="zh-CN"/>
        </w:rPr>
        <w:t>按照法律规定确需在开工后方能提供的基础资料，发包人应尽其努力及时地在相应工程施工前的合理期限内提供，合理期限应以不影响承包人的正常施工为限。</w:t>
      </w:r>
    </w:p>
    <w:p w14:paraId="5FB2D27B">
      <w:pPr>
        <w:spacing w:line="360" w:lineRule="auto"/>
        <w:rPr>
          <w:rFonts w:ascii="宋体" w:hAnsi="宋体"/>
          <w:lang w:eastAsia="zh-CN"/>
        </w:rPr>
      </w:pPr>
      <w:r>
        <w:rPr>
          <w:rFonts w:ascii="宋体" w:hAnsi="宋体" w:hint="eastAsia"/>
          <w:lang w:eastAsia="zh-CN"/>
        </w:rPr>
        <w:t>2.4.4 逾期提供的责任</w:t>
      </w:r>
    </w:p>
    <w:p w14:paraId="5441CE4E">
      <w:pPr>
        <w:spacing w:line="360" w:lineRule="auto"/>
        <w:rPr>
          <w:rFonts w:ascii="宋体" w:hAnsi="宋体"/>
          <w:lang w:eastAsia="zh-CN"/>
        </w:rPr>
      </w:pPr>
      <w:r>
        <w:rPr>
          <w:rFonts w:ascii="宋体" w:hAnsi="宋体" w:hint="eastAsia"/>
          <w:lang w:eastAsia="zh-CN"/>
        </w:rPr>
        <w:t>因发包人原因未能按合同约定及时向承包人提供施工现场、施工条件、基础资料的，由发包人承担由此增加的费用和（或）延误的工期。</w:t>
      </w:r>
    </w:p>
    <w:p w14:paraId="150FF047">
      <w:pPr>
        <w:spacing w:line="360" w:lineRule="auto"/>
        <w:rPr>
          <w:rFonts w:ascii="宋体" w:hAnsi="宋体"/>
          <w:bCs/>
          <w:lang w:eastAsia="zh-CN"/>
        </w:rPr>
      </w:pPr>
      <w:bookmarkStart w:id="175" w:name="_Toc351203514"/>
      <w:r>
        <w:rPr>
          <w:rFonts w:ascii="宋体" w:hAnsi="宋体" w:hint="eastAsia"/>
          <w:bCs/>
          <w:lang w:eastAsia="zh-CN"/>
        </w:rPr>
        <w:t>2</w:t>
      </w:r>
      <w:bookmarkStart w:id="176" w:name="_Toc296503042"/>
      <w:bookmarkStart w:id="177" w:name="_Toc337558745"/>
      <w:bookmarkStart w:id="178" w:name="_Toc296346543"/>
      <w:r>
        <w:rPr>
          <w:rFonts w:ascii="宋体" w:hAnsi="宋体" w:hint="eastAsia"/>
          <w:bCs/>
          <w:lang w:eastAsia="zh-CN"/>
        </w:rPr>
        <w:t>.5 资</w:t>
      </w:r>
      <w:bookmarkEnd w:id="176"/>
      <w:bookmarkEnd w:id="177"/>
      <w:bookmarkEnd w:id="178"/>
      <w:r>
        <w:rPr>
          <w:rFonts w:ascii="宋体" w:hAnsi="宋体" w:hint="eastAsia"/>
          <w:bCs/>
          <w:lang w:eastAsia="zh-CN"/>
        </w:rPr>
        <w:t>金来源证明及支付担保</w:t>
      </w:r>
      <w:bookmarkEnd w:id="175"/>
    </w:p>
    <w:p w14:paraId="6F7299F5">
      <w:pPr>
        <w:spacing w:line="360" w:lineRule="auto"/>
        <w:rPr>
          <w:rFonts w:ascii="宋体" w:hAnsi="宋体"/>
          <w:lang w:eastAsia="zh-CN"/>
        </w:rPr>
      </w:pPr>
      <w:r>
        <w:rPr>
          <w:rFonts w:ascii="宋体" w:hAnsi="宋体" w:hint="eastAsia"/>
          <w:lang w:eastAsia="zh-CN"/>
        </w:rPr>
        <w:t>除专用合同条款另有约定外，发包人应在收到承包人要求提供资金来源证明的书面通知后28天内，向承包人提供能够按照合同约定支付合同价款的相应资金来源证明。</w:t>
      </w:r>
    </w:p>
    <w:p w14:paraId="42657355">
      <w:pPr>
        <w:spacing w:line="360" w:lineRule="auto"/>
        <w:rPr>
          <w:rFonts w:ascii="宋体" w:hAnsi="宋体"/>
          <w:lang w:eastAsia="zh-CN"/>
        </w:rPr>
      </w:pPr>
      <w:r>
        <w:rPr>
          <w:rFonts w:ascii="宋体" w:hAnsi="宋体" w:hint="eastAsia"/>
          <w:lang w:eastAsia="zh-CN"/>
        </w:rPr>
        <w:t>除专用合同条款另有约定外，发包人要求承包人提供履约担保的，发包人应当向承包人提供支付担保。支付担保可以采用银行保函或担保公司担保等形式，具体由合同当事人在专用合同条款中约定。</w:t>
      </w:r>
    </w:p>
    <w:p w14:paraId="51B0BD10">
      <w:pPr>
        <w:spacing w:line="360" w:lineRule="auto"/>
        <w:rPr>
          <w:rFonts w:ascii="宋体" w:hAnsi="宋体"/>
          <w:bCs/>
          <w:lang w:eastAsia="zh-CN"/>
        </w:rPr>
      </w:pPr>
      <w:bookmarkStart w:id="179" w:name="_Toc351203515"/>
      <w:r>
        <w:rPr>
          <w:rFonts w:ascii="宋体" w:hAnsi="宋体" w:hint="eastAsia"/>
          <w:bCs/>
          <w:lang w:eastAsia="zh-CN"/>
        </w:rPr>
        <w:t>2.6 支付合同价款</w:t>
      </w:r>
      <w:bookmarkEnd w:id="179"/>
    </w:p>
    <w:p w14:paraId="1C7DF75E">
      <w:pPr>
        <w:spacing w:line="360" w:lineRule="auto"/>
        <w:rPr>
          <w:rFonts w:ascii="宋体" w:hAnsi="宋体"/>
          <w:lang w:eastAsia="zh-CN"/>
        </w:rPr>
      </w:pPr>
      <w:r>
        <w:rPr>
          <w:rFonts w:ascii="宋体" w:hAnsi="宋体" w:hint="eastAsia"/>
          <w:lang w:eastAsia="zh-CN"/>
        </w:rPr>
        <w:t>发包人应按合同约定向承包人及时支付合同价款。</w:t>
      </w:r>
    </w:p>
    <w:p w14:paraId="31C4476C">
      <w:pPr>
        <w:spacing w:line="360" w:lineRule="auto"/>
        <w:rPr>
          <w:rFonts w:ascii="宋体" w:hAnsi="宋体"/>
          <w:bCs/>
          <w:lang w:eastAsia="zh-CN"/>
        </w:rPr>
      </w:pPr>
      <w:bookmarkStart w:id="180" w:name="_Toc351203516"/>
      <w:r>
        <w:rPr>
          <w:rFonts w:ascii="宋体" w:hAnsi="宋体" w:hint="eastAsia"/>
          <w:bCs/>
          <w:lang w:eastAsia="zh-CN"/>
        </w:rPr>
        <w:t>2.7 组织竣工验收</w:t>
      </w:r>
      <w:bookmarkEnd w:id="180"/>
    </w:p>
    <w:p w14:paraId="78ACD174">
      <w:pPr>
        <w:spacing w:line="360" w:lineRule="auto"/>
        <w:rPr>
          <w:rFonts w:ascii="宋体" w:hAnsi="宋体"/>
          <w:lang w:eastAsia="zh-CN"/>
        </w:rPr>
      </w:pPr>
      <w:r>
        <w:rPr>
          <w:rFonts w:ascii="宋体" w:hAnsi="宋体" w:hint="eastAsia"/>
          <w:lang w:eastAsia="zh-CN"/>
        </w:rPr>
        <w:t>发包人应按合同约定及时组织竣工验收。</w:t>
      </w:r>
    </w:p>
    <w:p w14:paraId="71EA02B7">
      <w:pPr>
        <w:spacing w:line="360" w:lineRule="auto"/>
        <w:rPr>
          <w:rFonts w:ascii="宋体" w:hAnsi="宋体"/>
          <w:bCs/>
          <w:lang w:eastAsia="zh-CN"/>
        </w:rPr>
      </w:pPr>
      <w:bookmarkStart w:id="181" w:name="_Toc351203517"/>
      <w:r>
        <w:rPr>
          <w:rFonts w:ascii="宋体" w:hAnsi="宋体" w:hint="eastAsia"/>
          <w:bCs/>
          <w:lang w:eastAsia="zh-CN"/>
        </w:rPr>
        <w:t>2.8 现场统一管理协议</w:t>
      </w:r>
      <w:bookmarkEnd w:id="181"/>
    </w:p>
    <w:p w14:paraId="18FB7082">
      <w:pPr>
        <w:spacing w:line="360" w:lineRule="auto"/>
        <w:rPr>
          <w:rFonts w:ascii="宋体" w:hAnsi="宋体"/>
          <w:lang w:eastAsia="zh-CN"/>
        </w:rPr>
      </w:pPr>
      <w:r>
        <w:rPr>
          <w:rFonts w:ascii="宋体" w:hAnsi="宋体" w:hint="eastAsia"/>
          <w:lang w:eastAsia="zh-CN"/>
        </w:rPr>
        <w:t>发包人应与承包人、由发包人直接发包的专业工程的承包人签订施工现场统一管理协议，明确各方的权利义务。施工现场统一管理协议作为专用合同条款的附件。</w:t>
      </w:r>
    </w:p>
    <w:p w14:paraId="07E089F4">
      <w:pPr>
        <w:spacing w:line="360" w:lineRule="auto"/>
        <w:rPr>
          <w:rFonts w:ascii="宋体" w:hAnsi="宋体"/>
          <w:bCs/>
          <w:lang w:eastAsia="zh-CN"/>
        </w:rPr>
      </w:pPr>
      <w:bookmarkStart w:id="182" w:name="_Toc351203518"/>
      <w:r>
        <w:rPr>
          <w:rFonts w:ascii="宋体" w:hAnsi="宋体" w:hint="eastAsia"/>
          <w:bCs/>
          <w:lang w:eastAsia="zh-CN"/>
        </w:rPr>
        <w:t>3</w:t>
      </w:r>
      <w:bookmarkStart w:id="183" w:name="_Toc296503045"/>
      <w:bookmarkStart w:id="184" w:name="_Toc337558746"/>
      <w:bookmarkStart w:id="185" w:name="_Toc296346546"/>
      <w:r>
        <w:rPr>
          <w:rFonts w:ascii="宋体" w:hAnsi="宋体" w:hint="eastAsia"/>
          <w:bCs/>
          <w:lang w:eastAsia="zh-CN"/>
        </w:rPr>
        <w:t>. 承包人</w:t>
      </w:r>
      <w:bookmarkEnd w:id="182"/>
    </w:p>
    <w:bookmarkEnd w:id="183"/>
    <w:bookmarkEnd w:id="184"/>
    <w:bookmarkEnd w:id="185"/>
    <w:p w14:paraId="15495EED">
      <w:pPr>
        <w:spacing w:line="360" w:lineRule="auto"/>
        <w:rPr>
          <w:rFonts w:ascii="宋体" w:hAnsi="宋体"/>
          <w:bCs/>
          <w:lang w:eastAsia="zh-CN"/>
        </w:rPr>
      </w:pPr>
      <w:bookmarkStart w:id="186" w:name="_Toc351203519"/>
      <w:r>
        <w:rPr>
          <w:rFonts w:ascii="宋体" w:hAnsi="宋体" w:hint="eastAsia"/>
          <w:bCs/>
          <w:lang w:eastAsia="zh-CN"/>
        </w:rPr>
        <w:t>3</w:t>
      </w:r>
      <w:bookmarkStart w:id="187" w:name="_Toc296503046"/>
      <w:bookmarkStart w:id="188" w:name="_Toc296346547"/>
      <w:bookmarkStart w:id="189" w:name="_Toc337558747"/>
      <w:r>
        <w:rPr>
          <w:rFonts w:ascii="宋体" w:hAnsi="宋体" w:hint="eastAsia"/>
          <w:bCs/>
          <w:lang w:eastAsia="zh-CN"/>
        </w:rPr>
        <w:t>.1 承包人的一般义务</w:t>
      </w:r>
      <w:bookmarkEnd w:id="186"/>
    </w:p>
    <w:bookmarkEnd w:id="187"/>
    <w:bookmarkEnd w:id="188"/>
    <w:bookmarkEnd w:id="189"/>
    <w:p w14:paraId="2C24253D">
      <w:pPr>
        <w:spacing w:line="360" w:lineRule="auto"/>
        <w:rPr>
          <w:rFonts w:ascii="宋体" w:hAnsi="宋体"/>
          <w:lang w:eastAsia="zh-CN"/>
        </w:rPr>
      </w:pPr>
      <w:r>
        <w:rPr>
          <w:rFonts w:ascii="宋体" w:hAnsi="宋体" w:hint="eastAsia"/>
          <w:lang w:eastAsia="zh-CN"/>
        </w:rPr>
        <w:t>承包人在履行合同过程中应遵守法律和工程建设标准规范，并履行以下义务：</w:t>
      </w:r>
    </w:p>
    <w:p w14:paraId="6195D14D">
      <w:pPr>
        <w:spacing w:line="360" w:lineRule="auto"/>
        <w:rPr>
          <w:rFonts w:ascii="宋体" w:hAnsi="宋体"/>
          <w:lang w:eastAsia="zh-CN"/>
        </w:rPr>
      </w:pPr>
      <w:r>
        <w:rPr>
          <w:rFonts w:ascii="宋体" w:hAnsi="宋体" w:hint="eastAsia"/>
          <w:lang w:eastAsia="zh-CN"/>
        </w:rPr>
        <w:t>（1）办理法律规定应由承包人办理的许可和批准，并将办理结果书面报送发包人留存；</w:t>
      </w:r>
    </w:p>
    <w:p w14:paraId="79C6C0C4">
      <w:pPr>
        <w:spacing w:line="360" w:lineRule="auto"/>
        <w:rPr>
          <w:rFonts w:ascii="宋体" w:hAnsi="宋体"/>
          <w:lang w:eastAsia="zh-CN"/>
        </w:rPr>
      </w:pPr>
      <w:r>
        <w:rPr>
          <w:rFonts w:ascii="宋体" w:hAnsi="宋体" w:hint="eastAsia"/>
          <w:lang w:eastAsia="zh-CN"/>
        </w:rPr>
        <w:t>（2）按法律规定和合同约定完成工程，并在保修期内承担保修义务；</w:t>
      </w:r>
    </w:p>
    <w:p w14:paraId="42EF8D08">
      <w:pPr>
        <w:spacing w:line="360" w:lineRule="auto"/>
        <w:rPr>
          <w:rFonts w:ascii="宋体" w:hAnsi="宋体"/>
          <w:lang w:eastAsia="zh-CN"/>
        </w:rPr>
      </w:pPr>
      <w:r>
        <w:rPr>
          <w:rFonts w:ascii="宋体" w:hAnsi="宋体" w:hint="eastAsia"/>
          <w:lang w:eastAsia="zh-CN"/>
        </w:rPr>
        <w:t>（3）按法律规定和合同约定采取施工安全和环境保护措施，办理工伤保险，确保工程及人员、材料、设备和设施的安全；</w:t>
      </w:r>
    </w:p>
    <w:p w14:paraId="67A29874">
      <w:pPr>
        <w:spacing w:line="360" w:lineRule="auto"/>
        <w:rPr>
          <w:rFonts w:ascii="宋体" w:hAnsi="宋体"/>
          <w:lang w:eastAsia="zh-CN"/>
        </w:rPr>
      </w:pPr>
      <w:r>
        <w:rPr>
          <w:rFonts w:ascii="宋体" w:hAnsi="宋体" w:hint="eastAsia"/>
          <w:lang w:eastAsia="zh-CN"/>
        </w:rPr>
        <w:t>（4）按合同约定的工作内容和施工进度要求，编制施工组织设计和施工措施计划，并对所有施工作业和施工方法的完备性和安全可靠性负责；</w:t>
      </w:r>
    </w:p>
    <w:p w14:paraId="19FD60BD">
      <w:pPr>
        <w:spacing w:line="360" w:lineRule="auto"/>
        <w:rPr>
          <w:rFonts w:ascii="宋体" w:hAnsi="宋体"/>
          <w:lang w:eastAsia="zh-CN"/>
        </w:rPr>
      </w:pPr>
      <w:r>
        <w:rPr>
          <w:rFonts w:ascii="宋体" w:hAnsi="宋体" w:hint="eastAsia"/>
          <w:lang w:eastAsia="zh-CN"/>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01C641EB">
      <w:pPr>
        <w:spacing w:line="360" w:lineRule="auto"/>
        <w:rPr>
          <w:rFonts w:ascii="宋体" w:hAnsi="宋体"/>
          <w:lang w:eastAsia="zh-CN"/>
        </w:rPr>
      </w:pPr>
      <w:r>
        <w:rPr>
          <w:rFonts w:ascii="宋体" w:hAnsi="宋体" w:hint="eastAsia"/>
          <w:lang w:eastAsia="zh-CN"/>
        </w:rPr>
        <w:t>（6）按照第6.3款〔环境保护〕约定负责施工场地及其周边环境与生态的保护工作；</w:t>
      </w:r>
    </w:p>
    <w:p w14:paraId="085787DB">
      <w:pPr>
        <w:spacing w:line="360" w:lineRule="auto"/>
        <w:rPr>
          <w:rFonts w:ascii="宋体" w:hAnsi="宋体"/>
          <w:lang w:eastAsia="zh-CN"/>
        </w:rPr>
      </w:pPr>
      <w:r>
        <w:rPr>
          <w:rFonts w:ascii="宋体" w:hAnsi="宋体" w:hint="eastAsia"/>
          <w:lang w:eastAsia="zh-CN"/>
        </w:rPr>
        <w:t>（7）按第6.1款〔安全文明施工〕约定采取施工安全措施，确保工程及其人员、材料、设备和设施的安全，防止因工程施工造成的人身伤害和财产损失；</w:t>
      </w:r>
    </w:p>
    <w:p w14:paraId="0DE1514E">
      <w:pPr>
        <w:spacing w:line="360" w:lineRule="auto"/>
        <w:rPr>
          <w:rFonts w:ascii="宋体" w:hAnsi="宋体"/>
          <w:lang w:eastAsia="zh-CN"/>
        </w:rPr>
      </w:pPr>
      <w:r>
        <w:rPr>
          <w:rFonts w:ascii="宋体" w:hAnsi="宋体" w:hint="eastAsia"/>
          <w:lang w:eastAsia="zh-CN"/>
        </w:rPr>
        <w:t>（8）将发包人按合同约定支付的各项价款专用于合同工程，且应及时支付其雇用人员工资，并及时向分包人支付合同价款；</w:t>
      </w:r>
    </w:p>
    <w:p w14:paraId="51BE3D2D">
      <w:pPr>
        <w:spacing w:line="360" w:lineRule="auto"/>
        <w:rPr>
          <w:rFonts w:ascii="宋体" w:hAnsi="宋体"/>
          <w:lang w:eastAsia="zh-CN"/>
        </w:rPr>
      </w:pPr>
      <w:r>
        <w:rPr>
          <w:rFonts w:ascii="宋体" w:hAnsi="宋体" w:hint="eastAsia"/>
          <w:lang w:eastAsia="zh-CN"/>
        </w:rPr>
        <w:t>（9）按照法律规定和合同约定编制竣工资料，完成竣工资料立卷及归档，并按专用合同条款约定的竣工资料的套数、内容、时间等要求移交发包人；</w:t>
      </w:r>
    </w:p>
    <w:p w14:paraId="79F85DB1">
      <w:pPr>
        <w:spacing w:line="360" w:lineRule="auto"/>
        <w:rPr>
          <w:rFonts w:ascii="宋体" w:hAnsi="宋体"/>
          <w:lang w:eastAsia="zh-CN"/>
        </w:rPr>
      </w:pPr>
      <w:r>
        <w:rPr>
          <w:rFonts w:ascii="宋体" w:hAnsi="宋体" w:hint="eastAsia"/>
          <w:lang w:eastAsia="zh-CN"/>
        </w:rPr>
        <w:t>（10）应履行的其他义务。</w:t>
      </w:r>
    </w:p>
    <w:p w14:paraId="6FD6C403">
      <w:pPr>
        <w:spacing w:line="360" w:lineRule="auto"/>
        <w:rPr>
          <w:rFonts w:ascii="宋体" w:hAnsi="宋体"/>
          <w:bCs/>
          <w:lang w:eastAsia="zh-CN"/>
        </w:rPr>
      </w:pPr>
      <w:bookmarkStart w:id="190" w:name="_Toc351203520"/>
      <w:r>
        <w:rPr>
          <w:rFonts w:ascii="宋体" w:hAnsi="宋体" w:hint="eastAsia"/>
          <w:bCs/>
          <w:lang w:eastAsia="zh-CN"/>
        </w:rPr>
        <w:t>3</w:t>
      </w:r>
      <w:bookmarkStart w:id="191" w:name="_Toc296503047"/>
      <w:bookmarkStart w:id="192" w:name="_Toc296346548"/>
      <w:bookmarkStart w:id="193" w:name="_Toc337558748"/>
      <w:r>
        <w:rPr>
          <w:rFonts w:ascii="宋体" w:hAnsi="宋体" w:hint="eastAsia"/>
          <w:bCs/>
          <w:lang w:eastAsia="zh-CN"/>
        </w:rPr>
        <w:t xml:space="preserve">.2 </w:t>
      </w:r>
      <w:bookmarkEnd w:id="190"/>
      <w:r>
        <w:rPr>
          <w:rFonts w:ascii="宋体" w:hAnsi="宋体" w:hint="eastAsia"/>
          <w:bCs/>
          <w:lang w:eastAsia="zh-CN"/>
        </w:rPr>
        <w:t>项目经理</w:t>
      </w:r>
    </w:p>
    <w:bookmarkEnd w:id="191"/>
    <w:bookmarkEnd w:id="192"/>
    <w:bookmarkEnd w:id="193"/>
    <w:p w14:paraId="33BEFCBD">
      <w:pPr>
        <w:spacing w:line="360" w:lineRule="auto"/>
        <w:rPr>
          <w:rFonts w:ascii="宋体" w:hAnsi="宋体"/>
          <w:lang w:eastAsia="zh-CN"/>
        </w:rPr>
      </w:pPr>
      <w:r>
        <w:rPr>
          <w:rFonts w:ascii="宋体" w:hAnsi="宋体" w:hint="eastAsia"/>
          <w:lang w:eastAsia="zh-CN"/>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7F772A9D">
      <w:pPr>
        <w:spacing w:line="360" w:lineRule="auto"/>
        <w:rPr>
          <w:rFonts w:ascii="宋体" w:hAnsi="宋体"/>
          <w:lang w:eastAsia="zh-CN"/>
        </w:rPr>
      </w:pPr>
      <w:r>
        <w:rPr>
          <w:rFonts w:ascii="宋体" w:hAnsi="宋体" w:hint="eastAsia"/>
          <w:lang w:eastAsia="zh-CN"/>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697082C5">
      <w:pPr>
        <w:spacing w:line="360" w:lineRule="auto"/>
        <w:rPr>
          <w:rFonts w:ascii="宋体" w:hAnsi="宋体"/>
          <w:lang w:eastAsia="zh-CN"/>
        </w:rPr>
      </w:pPr>
      <w:r>
        <w:rPr>
          <w:rFonts w:ascii="宋体" w:hAnsi="宋体" w:hint="eastAsia"/>
          <w:lang w:eastAsia="zh-CN"/>
        </w:rPr>
        <w:t>承包人违反上述约定的，应按照专用合同条款的约定，承担违约责任。</w:t>
      </w:r>
    </w:p>
    <w:p w14:paraId="61324648">
      <w:pPr>
        <w:spacing w:line="360" w:lineRule="auto"/>
        <w:rPr>
          <w:rFonts w:ascii="宋体" w:hAnsi="宋体"/>
          <w:lang w:eastAsia="zh-CN"/>
        </w:rPr>
      </w:pPr>
      <w:r>
        <w:rPr>
          <w:rFonts w:ascii="宋体" w:hAnsi="宋体" w:hint="eastAsia"/>
          <w:lang w:eastAsia="zh-CN"/>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4F0DE4E1">
      <w:pPr>
        <w:spacing w:line="360" w:lineRule="auto"/>
        <w:rPr>
          <w:rFonts w:ascii="宋体" w:hAnsi="宋体"/>
          <w:lang w:eastAsia="zh-CN"/>
        </w:rPr>
      </w:pPr>
      <w:r>
        <w:rPr>
          <w:rFonts w:ascii="宋体" w:hAnsi="宋体" w:hint="eastAsia"/>
          <w:lang w:eastAsia="zh-CN"/>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5DB5F71A">
      <w:pPr>
        <w:spacing w:line="360" w:lineRule="auto"/>
        <w:rPr>
          <w:rFonts w:ascii="宋体" w:hAnsi="宋体"/>
          <w:lang w:eastAsia="zh-CN"/>
        </w:rPr>
      </w:pPr>
      <w:r>
        <w:rPr>
          <w:rFonts w:ascii="宋体" w:hAnsi="宋体" w:hint="eastAsia"/>
          <w:lang w:eastAsia="zh-CN"/>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24BC6784">
      <w:pPr>
        <w:spacing w:line="360" w:lineRule="auto"/>
        <w:rPr>
          <w:rFonts w:ascii="宋体" w:hAnsi="宋体"/>
          <w:lang w:eastAsia="zh-CN"/>
        </w:rPr>
      </w:pPr>
      <w:r>
        <w:rPr>
          <w:rFonts w:ascii="宋体" w:hAnsi="宋体" w:hint="eastAsia"/>
          <w:lang w:eastAsia="zh-CN"/>
        </w:rPr>
        <w:t>3.2.5 项目经理因特殊情况授权其下属人员履行其某项工作职责的，该下属人员应具备履行相应职责的能力，并应提前7天将上述人员的姓名和授权范围书面通知监理人，并征得发包人书面同意。</w:t>
      </w:r>
    </w:p>
    <w:p w14:paraId="390214F8">
      <w:pPr>
        <w:spacing w:line="360" w:lineRule="auto"/>
        <w:rPr>
          <w:rFonts w:ascii="宋体" w:hAnsi="宋体"/>
          <w:bCs/>
          <w:lang w:eastAsia="zh-CN"/>
        </w:rPr>
      </w:pPr>
      <w:bookmarkStart w:id="194" w:name="_Toc351203521"/>
      <w:r>
        <w:rPr>
          <w:rFonts w:ascii="宋体" w:hAnsi="宋体" w:hint="eastAsia"/>
          <w:bCs/>
          <w:lang w:eastAsia="zh-CN"/>
        </w:rPr>
        <w:t>3</w:t>
      </w:r>
      <w:bookmarkStart w:id="195" w:name="_Toc296346549"/>
      <w:bookmarkStart w:id="196" w:name="_Toc296503048"/>
      <w:bookmarkStart w:id="197" w:name="_Toc337558749"/>
      <w:r>
        <w:rPr>
          <w:rFonts w:ascii="宋体" w:hAnsi="宋体" w:hint="eastAsia"/>
          <w:bCs/>
          <w:lang w:eastAsia="zh-CN"/>
        </w:rPr>
        <w:t xml:space="preserve">.3 </w:t>
      </w:r>
      <w:bookmarkEnd w:id="195"/>
      <w:bookmarkEnd w:id="196"/>
      <w:r>
        <w:rPr>
          <w:rFonts w:ascii="宋体" w:hAnsi="宋体" w:hint="eastAsia"/>
          <w:bCs/>
          <w:lang w:eastAsia="zh-CN"/>
        </w:rPr>
        <w:t>承包人人员</w:t>
      </w:r>
      <w:bookmarkEnd w:id="194"/>
    </w:p>
    <w:bookmarkEnd w:id="197"/>
    <w:p w14:paraId="6A811347">
      <w:pPr>
        <w:spacing w:line="360" w:lineRule="auto"/>
        <w:rPr>
          <w:rFonts w:ascii="宋体" w:hAnsi="宋体"/>
          <w:lang w:eastAsia="zh-CN"/>
        </w:rPr>
      </w:pPr>
      <w:r>
        <w:rPr>
          <w:rFonts w:ascii="宋体" w:hAnsi="宋体" w:hint="eastAsia"/>
          <w:lang w:eastAsia="zh-CN"/>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4FA76FEA">
      <w:pPr>
        <w:spacing w:line="360" w:lineRule="auto"/>
        <w:rPr>
          <w:rFonts w:ascii="宋体" w:hAnsi="宋体"/>
          <w:lang w:eastAsia="zh-CN"/>
        </w:rPr>
      </w:pPr>
      <w:r>
        <w:rPr>
          <w:rFonts w:ascii="宋体" w:hAnsi="宋体" w:hint="eastAsia"/>
          <w:lang w:eastAsia="zh-CN"/>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25D08A66">
      <w:pPr>
        <w:spacing w:line="360" w:lineRule="auto"/>
        <w:rPr>
          <w:rFonts w:ascii="宋体" w:hAnsi="宋体"/>
          <w:lang w:eastAsia="zh-CN"/>
        </w:rPr>
      </w:pPr>
      <w:r>
        <w:rPr>
          <w:rFonts w:ascii="宋体" w:hAnsi="宋体" w:hint="eastAsia"/>
          <w:lang w:eastAsia="zh-CN"/>
        </w:rPr>
        <w:t>特殊工种作业人员均应持有相应的资格证明，监理人可以随时检查。</w:t>
      </w:r>
    </w:p>
    <w:p w14:paraId="158A78E1">
      <w:pPr>
        <w:spacing w:line="360" w:lineRule="auto"/>
        <w:rPr>
          <w:rFonts w:ascii="宋体" w:hAnsi="宋体"/>
          <w:lang w:eastAsia="zh-CN"/>
        </w:rPr>
      </w:pPr>
      <w:r>
        <w:rPr>
          <w:rFonts w:ascii="宋体" w:hAnsi="宋体" w:hint="eastAsia"/>
          <w:lang w:eastAsia="zh-CN"/>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4362CB47">
      <w:pPr>
        <w:spacing w:line="360" w:lineRule="auto"/>
        <w:rPr>
          <w:rFonts w:ascii="宋体" w:hAnsi="宋体"/>
          <w:lang w:eastAsia="zh-CN"/>
        </w:rPr>
      </w:pPr>
      <w:r>
        <w:rPr>
          <w:rFonts w:ascii="宋体" w:hAnsi="宋体" w:hint="eastAsia"/>
          <w:lang w:eastAsia="zh-CN"/>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146711C5">
      <w:pPr>
        <w:spacing w:line="360" w:lineRule="auto"/>
        <w:rPr>
          <w:rFonts w:ascii="宋体" w:hAnsi="宋体"/>
          <w:lang w:eastAsia="zh-CN"/>
        </w:rPr>
      </w:pPr>
      <w:r>
        <w:rPr>
          <w:rFonts w:ascii="宋体" w:hAnsi="宋体" w:hint="eastAsia"/>
          <w:lang w:eastAsia="zh-CN"/>
        </w:rPr>
        <w:t>3.3.5 承包人擅自更换主要施工管理人员，或前述人员未经监理人或发包人同意擅自离开施工现场的，应按照专用合同条款约定承担违约责任。</w:t>
      </w:r>
    </w:p>
    <w:p w14:paraId="6519827B">
      <w:pPr>
        <w:spacing w:line="360" w:lineRule="auto"/>
        <w:rPr>
          <w:rFonts w:ascii="宋体" w:hAnsi="宋体"/>
          <w:bCs/>
          <w:lang w:eastAsia="zh-CN"/>
        </w:rPr>
      </w:pPr>
      <w:bookmarkStart w:id="198" w:name="_Toc351203522"/>
      <w:r>
        <w:rPr>
          <w:rFonts w:ascii="宋体" w:hAnsi="宋体" w:hint="eastAsia"/>
          <w:bCs/>
          <w:lang w:eastAsia="zh-CN"/>
        </w:rPr>
        <w:t>3</w:t>
      </w:r>
      <w:bookmarkStart w:id="199" w:name="_Toc296346551"/>
      <w:bookmarkStart w:id="200" w:name="_Toc296503050"/>
      <w:bookmarkStart w:id="201" w:name="_Toc337558750"/>
      <w:r>
        <w:rPr>
          <w:rFonts w:ascii="宋体" w:hAnsi="宋体" w:hint="eastAsia"/>
          <w:bCs/>
          <w:lang w:eastAsia="zh-CN"/>
        </w:rPr>
        <w:t>.4 承包人现场查勘</w:t>
      </w:r>
      <w:bookmarkEnd w:id="198"/>
    </w:p>
    <w:bookmarkEnd w:id="199"/>
    <w:bookmarkEnd w:id="200"/>
    <w:bookmarkEnd w:id="201"/>
    <w:p w14:paraId="3F89E71E">
      <w:pPr>
        <w:spacing w:line="360" w:lineRule="auto"/>
        <w:rPr>
          <w:rFonts w:ascii="宋体" w:hAnsi="宋体"/>
          <w:lang w:eastAsia="zh-CN"/>
        </w:rPr>
      </w:pPr>
      <w:r>
        <w:rPr>
          <w:rFonts w:ascii="宋体" w:hAnsi="宋体" w:hint="eastAsia"/>
          <w:lang w:eastAsia="zh-CN"/>
        </w:rPr>
        <w:t>承包人应对基于发包人按照第2.4.3项〔提供基础资料〕提交的基础资料所做出的解释和推断负责，但因基础资料存在错误、遗漏导致承包人解释或推断失实的，由发包人承担责任。</w:t>
      </w:r>
    </w:p>
    <w:p w14:paraId="442FEFAB">
      <w:pPr>
        <w:spacing w:line="360" w:lineRule="auto"/>
        <w:rPr>
          <w:rFonts w:ascii="宋体" w:hAnsi="宋体"/>
          <w:lang w:eastAsia="zh-CN"/>
        </w:rPr>
      </w:pPr>
      <w:r>
        <w:rPr>
          <w:rFonts w:ascii="宋体" w:hAnsi="宋体" w:hint="eastAsia"/>
          <w:lang w:eastAsia="zh-CN"/>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1F2E4417">
      <w:pPr>
        <w:spacing w:line="360" w:lineRule="auto"/>
        <w:rPr>
          <w:rFonts w:ascii="宋体" w:hAnsi="宋体"/>
          <w:bCs/>
          <w:lang w:eastAsia="zh-CN"/>
        </w:rPr>
      </w:pPr>
      <w:bookmarkStart w:id="202" w:name="_Toc351203523"/>
      <w:r>
        <w:rPr>
          <w:rFonts w:ascii="宋体" w:hAnsi="宋体" w:hint="eastAsia"/>
          <w:bCs/>
          <w:lang w:eastAsia="zh-CN"/>
        </w:rPr>
        <w:t>3</w:t>
      </w:r>
      <w:bookmarkStart w:id="203" w:name="_Toc296346552"/>
      <w:bookmarkStart w:id="204" w:name="_Toc296503051"/>
      <w:bookmarkStart w:id="205" w:name="_Toc337558751"/>
      <w:r>
        <w:rPr>
          <w:rFonts w:ascii="宋体" w:hAnsi="宋体" w:hint="eastAsia"/>
          <w:bCs/>
          <w:lang w:eastAsia="zh-CN"/>
        </w:rPr>
        <w:t>.5 分包</w:t>
      </w:r>
      <w:bookmarkEnd w:id="202"/>
    </w:p>
    <w:bookmarkEnd w:id="203"/>
    <w:bookmarkEnd w:id="204"/>
    <w:bookmarkEnd w:id="205"/>
    <w:p w14:paraId="32686304">
      <w:pPr>
        <w:spacing w:line="360" w:lineRule="auto"/>
        <w:rPr>
          <w:rFonts w:ascii="宋体" w:hAnsi="宋体"/>
          <w:lang w:eastAsia="zh-CN"/>
        </w:rPr>
      </w:pPr>
      <w:r>
        <w:rPr>
          <w:rFonts w:ascii="宋体" w:hAnsi="宋体" w:hint="eastAsia"/>
          <w:lang w:eastAsia="zh-CN"/>
        </w:rPr>
        <w:t>3.5.1 分包的一般约定</w:t>
      </w:r>
    </w:p>
    <w:p w14:paraId="68AAF46F">
      <w:pPr>
        <w:spacing w:line="360" w:lineRule="auto"/>
        <w:rPr>
          <w:rFonts w:ascii="宋体" w:hAnsi="宋体"/>
          <w:lang w:eastAsia="zh-CN"/>
        </w:rPr>
      </w:pPr>
      <w:r>
        <w:rPr>
          <w:rFonts w:ascii="宋体" w:hAnsi="宋体" w:hint="eastAsia"/>
          <w:lang w:eastAsia="zh-CN"/>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0963FC54">
      <w:pPr>
        <w:spacing w:line="360" w:lineRule="auto"/>
        <w:rPr>
          <w:rFonts w:ascii="宋体" w:hAnsi="宋体"/>
          <w:lang w:eastAsia="zh-CN"/>
        </w:rPr>
      </w:pPr>
      <w:r>
        <w:rPr>
          <w:rFonts w:ascii="宋体" w:hAnsi="宋体" w:hint="eastAsia"/>
          <w:lang w:eastAsia="zh-CN"/>
        </w:rPr>
        <w:t>承包人不得以劳务分包的名义转包或违法分包工程。</w:t>
      </w:r>
    </w:p>
    <w:p w14:paraId="0E393F47">
      <w:pPr>
        <w:spacing w:line="360" w:lineRule="auto"/>
        <w:rPr>
          <w:rFonts w:ascii="宋体" w:hAnsi="宋体"/>
          <w:lang w:eastAsia="zh-CN"/>
        </w:rPr>
      </w:pPr>
      <w:r>
        <w:rPr>
          <w:rFonts w:ascii="宋体" w:hAnsi="宋体" w:hint="eastAsia"/>
          <w:lang w:eastAsia="zh-CN"/>
        </w:rPr>
        <w:t>3.5.2 分包的确定</w:t>
      </w:r>
    </w:p>
    <w:p w14:paraId="52B9CEE5">
      <w:pPr>
        <w:spacing w:line="360" w:lineRule="auto"/>
        <w:rPr>
          <w:rFonts w:ascii="宋体" w:hAnsi="宋体"/>
          <w:lang w:eastAsia="zh-CN"/>
        </w:rPr>
      </w:pPr>
      <w:r>
        <w:rPr>
          <w:rFonts w:ascii="宋体" w:hAnsi="宋体" w:hint="eastAsia"/>
          <w:lang w:eastAsia="zh-CN"/>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033BB72A">
      <w:pPr>
        <w:spacing w:line="360" w:lineRule="auto"/>
        <w:rPr>
          <w:rFonts w:ascii="宋体" w:hAnsi="宋体"/>
          <w:lang w:eastAsia="zh-CN"/>
        </w:rPr>
      </w:pPr>
      <w:r>
        <w:rPr>
          <w:rFonts w:ascii="宋体" w:hAnsi="宋体" w:hint="eastAsia"/>
          <w:lang w:eastAsia="zh-CN"/>
        </w:rPr>
        <w:t>3.5.3 分包管理</w:t>
      </w:r>
    </w:p>
    <w:p w14:paraId="3F1CFEDC">
      <w:pPr>
        <w:spacing w:line="360" w:lineRule="auto"/>
        <w:rPr>
          <w:rFonts w:ascii="宋体" w:hAnsi="宋体"/>
          <w:lang w:eastAsia="zh-CN"/>
        </w:rPr>
      </w:pPr>
      <w:r>
        <w:rPr>
          <w:rFonts w:ascii="宋体" w:hAnsi="宋体" w:hint="eastAsia"/>
          <w:lang w:eastAsia="zh-CN"/>
        </w:rPr>
        <w:t>承包人应向监理人提交分包人的主要施工管理人员表，并对分包人的施工人员进行实名制管理，包括但不限于进出场管理、登记造册以及各种证照的办理。</w:t>
      </w:r>
    </w:p>
    <w:p w14:paraId="7FCFC40B">
      <w:pPr>
        <w:spacing w:line="360" w:lineRule="auto"/>
        <w:rPr>
          <w:rFonts w:ascii="宋体" w:hAnsi="宋体"/>
          <w:lang w:eastAsia="zh-CN"/>
        </w:rPr>
      </w:pPr>
      <w:r>
        <w:rPr>
          <w:rFonts w:ascii="宋体" w:hAnsi="宋体" w:hint="eastAsia"/>
          <w:lang w:eastAsia="zh-CN"/>
        </w:rPr>
        <w:t>3.5.4 分包合同价款</w:t>
      </w:r>
    </w:p>
    <w:p w14:paraId="012CD16D">
      <w:pPr>
        <w:spacing w:line="360" w:lineRule="auto"/>
        <w:rPr>
          <w:rFonts w:ascii="宋体" w:hAnsi="宋体"/>
          <w:lang w:eastAsia="zh-CN"/>
        </w:rPr>
      </w:pPr>
      <w:r>
        <w:rPr>
          <w:rFonts w:ascii="宋体" w:hAnsi="宋体" w:hint="eastAsia"/>
          <w:lang w:eastAsia="zh-CN"/>
        </w:rPr>
        <w:t>（1）除本项第（2）目约定的情况或专用合同条款另有约定外，分包合同价款由承包人与分包人结算，未经承包人同意，发包人不得向分包人支付分包工程价款；</w:t>
      </w:r>
    </w:p>
    <w:p w14:paraId="68301DAB">
      <w:pPr>
        <w:spacing w:line="360" w:lineRule="auto"/>
        <w:rPr>
          <w:rFonts w:ascii="宋体" w:hAnsi="宋体"/>
          <w:lang w:eastAsia="zh-CN"/>
        </w:rPr>
      </w:pPr>
      <w:r>
        <w:rPr>
          <w:rFonts w:ascii="宋体" w:hAnsi="宋体" w:hint="eastAsia"/>
          <w:lang w:eastAsia="zh-CN"/>
        </w:rPr>
        <w:t>（2）生效法律文书要求发包人向分包人支付分包合同价款的，发包人有权从应付承包人工程款中扣除该部分款项。</w:t>
      </w:r>
    </w:p>
    <w:p w14:paraId="4B9672F5">
      <w:pPr>
        <w:spacing w:line="360" w:lineRule="auto"/>
        <w:rPr>
          <w:rFonts w:ascii="宋体" w:hAnsi="宋体"/>
          <w:lang w:eastAsia="zh-CN"/>
        </w:rPr>
      </w:pPr>
      <w:r>
        <w:rPr>
          <w:rFonts w:ascii="宋体" w:hAnsi="宋体" w:hint="eastAsia"/>
          <w:lang w:eastAsia="zh-CN"/>
        </w:rPr>
        <w:t>3.5.5 分包合同权益的转让</w:t>
      </w:r>
    </w:p>
    <w:p w14:paraId="716FF097">
      <w:pPr>
        <w:spacing w:line="360" w:lineRule="auto"/>
        <w:rPr>
          <w:rFonts w:ascii="宋体" w:hAnsi="宋体"/>
          <w:lang w:eastAsia="zh-CN"/>
        </w:rPr>
      </w:pPr>
      <w:r>
        <w:rPr>
          <w:rFonts w:ascii="宋体" w:hAnsi="宋体" w:hint="eastAsia"/>
          <w:lang w:eastAsia="zh-CN"/>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06" w:name="_Toc351203524"/>
    </w:p>
    <w:p w14:paraId="314C6011">
      <w:pPr>
        <w:spacing w:line="360" w:lineRule="auto"/>
        <w:rPr>
          <w:rFonts w:ascii="宋体" w:hAnsi="宋体"/>
          <w:bCs/>
          <w:lang w:eastAsia="zh-CN"/>
        </w:rPr>
      </w:pPr>
      <w:r>
        <w:rPr>
          <w:rFonts w:ascii="宋体" w:hAnsi="宋体" w:hint="eastAsia"/>
          <w:bCs/>
          <w:lang w:eastAsia="zh-CN"/>
        </w:rPr>
        <w:t>3.6 工程照管与成品、半成品保护</w:t>
      </w:r>
      <w:bookmarkEnd w:id="206"/>
    </w:p>
    <w:p w14:paraId="533D59CE">
      <w:pPr>
        <w:spacing w:line="360" w:lineRule="auto"/>
        <w:rPr>
          <w:rFonts w:ascii="宋体" w:hAnsi="宋体"/>
          <w:lang w:eastAsia="zh-CN"/>
        </w:rPr>
      </w:pPr>
      <w:r>
        <w:rPr>
          <w:rFonts w:ascii="宋体" w:hAnsi="宋体" w:hint="eastAsia"/>
          <w:lang w:eastAsia="zh-CN"/>
        </w:rPr>
        <w:t>（1）除专用合同条款另有约定外，自发包人向承包人移交施工现场之日起，承包人应负责照管工程及工程相关的材料、工程设备，直到颁发工程接收证书之日止。</w:t>
      </w:r>
    </w:p>
    <w:p w14:paraId="57DD85F3">
      <w:pPr>
        <w:spacing w:line="360" w:lineRule="auto"/>
        <w:rPr>
          <w:rFonts w:ascii="宋体" w:hAnsi="宋体"/>
          <w:lang w:eastAsia="zh-CN"/>
        </w:rPr>
      </w:pPr>
      <w:r>
        <w:rPr>
          <w:rFonts w:ascii="宋体" w:hAnsi="宋体" w:hint="eastAsia"/>
          <w:lang w:eastAsia="zh-CN"/>
        </w:rPr>
        <w:t>（2）在承包人负责照管期间，因承包人原因造成工程、材料、工程设备损坏的，由承包人负责修复或更换，并承担由此增加的费用和（或）延误的工期。</w:t>
      </w:r>
    </w:p>
    <w:p w14:paraId="3FE14845">
      <w:pPr>
        <w:spacing w:line="360" w:lineRule="auto"/>
        <w:rPr>
          <w:rFonts w:ascii="宋体" w:hAnsi="宋体"/>
          <w:lang w:eastAsia="zh-CN"/>
        </w:rPr>
      </w:pPr>
      <w:r>
        <w:rPr>
          <w:rFonts w:ascii="宋体" w:hAnsi="宋体" w:hint="eastAsia"/>
          <w:lang w:eastAsia="zh-CN"/>
        </w:rPr>
        <w:t>（3）对合同内分期完成的成品和半成品，在工程接收证书颁发前，由承包人承担保护责任。因承包人原因造成成品或半成品损坏的，由承包人负责修复或更换，并承担由此增加的费用和（或）延误的工期。</w:t>
      </w:r>
    </w:p>
    <w:p w14:paraId="42FB0CC1">
      <w:pPr>
        <w:spacing w:line="360" w:lineRule="auto"/>
        <w:rPr>
          <w:rFonts w:ascii="宋体" w:hAnsi="宋体"/>
          <w:bCs/>
          <w:lang w:eastAsia="zh-CN"/>
        </w:rPr>
      </w:pPr>
      <w:bookmarkStart w:id="207" w:name="_Toc351203525"/>
      <w:r>
        <w:rPr>
          <w:rFonts w:ascii="宋体" w:hAnsi="宋体" w:hint="eastAsia"/>
          <w:bCs/>
          <w:lang w:eastAsia="zh-CN"/>
        </w:rPr>
        <w:t>3</w:t>
      </w:r>
      <w:bookmarkStart w:id="208" w:name="_Toc296503052"/>
      <w:bookmarkStart w:id="209" w:name="_Toc296346553"/>
      <w:bookmarkStart w:id="210" w:name="_Toc337558752"/>
      <w:r>
        <w:rPr>
          <w:rFonts w:ascii="宋体" w:hAnsi="宋体" w:hint="eastAsia"/>
          <w:bCs/>
          <w:lang w:eastAsia="zh-CN"/>
        </w:rPr>
        <w:t>.7 履约担保</w:t>
      </w:r>
      <w:bookmarkEnd w:id="207"/>
    </w:p>
    <w:bookmarkEnd w:id="208"/>
    <w:bookmarkEnd w:id="209"/>
    <w:bookmarkEnd w:id="210"/>
    <w:p w14:paraId="03A636D6">
      <w:pPr>
        <w:spacing w:line="360" w:lineRule="auto"/>
        <w:rPr>
          <w:rFonts w:ascii="宋体" w:hAnsi="宋体"/>
          <w:lang w:eastAsia="zh-CN"/>
        </w:rPr>
      </w:pPr>
      <w:r>
        <w:rPr>
          <w:rFonts w:ascii="宋体" w:hAnsi="宋体" w:hint="eastAsia"/>
          <w:lang w:eastAsia="zh-CN"/>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2101346A">
      <w:pPr>
        <w:spacing w:line="360" w:lineRule="auto"/>
        <w:rPr>
          <w:rFonts w:ascii="宋体" w:hAnsi="宋体"/>
          <w:lang w:eastAsia="zh-CN"/>
        </w:rPr>
      </w:pPr>
      <w:r>
        <w:rPr>
          <w:rFonts w:ascii="宋体" w:hAnsi="宋体" w:hint="eastAsia"/>
          <w:lang w:eastAsia="zh-CN"/>
        </w:rPr>
        <w:t>因承包人原因导致工期延长的，继续提供履约担保所增加的费用由承包人承担；非因承包人原因导致工期延长的，继续提供履约担保所增加的费用由发包人承担。</w:t>
      </w:r>
    </w:p>
    <w:p w14:paraId="4E485ADC">
      <w:pPr>
        <w:spacing w:line="360" w:lineRule="auto"/>
        <w:rPr>
          <w:rFonts w:ascii="宋体" w:hAnsi="宋体"/>
          <w:bCs/>
          <w:lang w:eastAsia="zh-CN"/>
        </w:rPr>
      </w:pPr>
      <w:bookmarkStart w:id="211" w:name="_Toc351203526"/>
      <w:r>
        <w:rPr>
          <w:rFonts w:ascii="宋体" w:hAnsi="宋体" w:hint="eastAsia"/>
          <w:bCs/>
          <w:lang w:eastAsia="zh-CN"/>
        </w:rPr>
        <w:t>3.8 联合体</w:t>
      </w:r>
      <w:bookmarkEnd w:id="211"/>
    </w:p>
    <w:p w14:paraId="52C1D9A5">
      <w:pPr>
        <w:spacing w:line="360" w:lineRule="auto"/>
        <w:rPr>
          <w:rFonts w:ascii="宋体" w:hAnsi="宋体"/>
          <w:lang w:eastAsia="zh-CN"/>
        </w:rPr>
      </w:pPr>
      <w:r>
        <w:rPr>
          <w:rFonts w:ascii="宋体" w:hAnsi="宋体" w:hint="eastAsia"/>
          <w:lang w:eastAsia="zh-CN"/>
        </w:rPr>
        <w:t>3.8.1 联合体各方应共同与发包人签订合同协议书。联合体各方应为履行合同向发包人承担连带责任。</w:t>
      </w:r>
    </w:p>
    <w:p w14:paraId="66F2956A">
      <w:pPr>
        <w:spacing w:line="360" w:lineRule="auto"/>
        <w:rPr>
          <w:rFonts w:ascii="宋体" w:hAnsi="宋体"/>
          <w:lang w:eastAsia="zh-CN"/>
        </w:rPr>
      </w:pPr>
      <w:r>
        <w:rPr>
          <w:rFonts w:ascii="宋体" w:hAnsi="宋体" w:hint="eastAsia"/>
          <w:lang w:eastAsia="zh-CN"/>
        </w:rPr>
        <w:t>3.8.2 联合体协议经发包人确认后作为合同附件。在履行合同过程中，未经发包人同意，不得修改联合体协议。</w:t>
      </w:r>
    </w:p>
    <w:p w14:paraId="7A742770">
      <w:pPr>
        <w:spacing w:line="360" w:lineRule="auto"/>
        <w:rPr>
          <w:rFonts w:ascii="宋体" w:hAnsi="宋体"/>
          <w:lang w:eastAsia="zh-CN"/>
        </w:rPr>
      </w:pPr>
      <w:r>
        <w:rPr>
          <w:rFonts w:ascii="宋体" w:hAnsi="宋体" w:hint="eastAsia"/>
          <w:lang w:eastAsia="zh-CN"/>
        </w:rPr>
        <w:t>3.8.3 联合体牵头人负责与发包人和监理人联系，并接受指示，负责组织联合体各成员全面履行合同。</w:t>
      </w:r>
    </w:p>
    <w:p w14:paraId="3A8ECCA7">
      <w:pPr>
        <w:spacing w:line="360" w:lineRule="auto"/>
        <w:rPr>
          <w:rFonts w:ascii="宋体" w:hAnsi="宋体"/>
          <w:bCs/>
          <w:lang w:eastAsia="zh-CN"/>
        </w:rPr>
      </w:pPr>
      <w:bookmarkStart w:id="212" w:name="_Toc351203527"/>
      <w:r>
        <w:rPr>
          <w:rFonts w:ascii="宋体" w:hAnsi="宋体" w:hint="eastAsia"/>
          <w:bCs/>
          <w:lang w:eastAsia="zh-CN"/>
        </w:rPr>
        <w:t>4</w:t>
      </w:r>
      <w:bookmarkStart w:id="213" w:name="_Toc296346554"/>
      <w:bookmarkStart w:id="214" w:name="_Toc296503053"/>
      <w:bookmarkStart w:id="215" w:name="_Toc337558753"/>
      <w:r>
        <w:rPr>
          <w:rFonts w:ascii="宋体" w:hAnsi="宋体" w:hint="eastAsia"/>
          <w:bCs/>
          <w:lang w:eastAsia="zh-CN"/>
        </w:rPr>
        <w:t>. 监</w:t>
      </w:r>
      <w:bookmarkEnd w:id="213"/>
      <w:bookmarkEnd w:id="214"/>
      <w:r>
        <w:rPr>
          <w:rFonts w:ascii="宋体" w:hAnsi="宋体" w:hint="eastAsia"/>
          <w:bCs/>
          <w:lang w:eastAsia="zh-CN"/>
        </w:rPr>
        <w:t>理人</w:t>
      </w:r>
      <w:bookmarkEnd w:id="212"/>
    </w:p>
    <w:bookmarkEnd w:id="215"/>
    <w:p w14:paraId="5BC342BD">
      <w:pPr>
        <w:spacing w:line="360" w:lineRule="auto"/>
        <w:rPr>
          <w:rFonts w:ascii="宋体" w:hAnsi="宋体"/>
          <w:bCs/>
          <w:lang w:eastAsia="zh-CN"/>
        </w:rPr>
      </w:pPr>
      <w:bookmarkStart w:id="216" w:name="_Toc351203528"/>
      <w:r>
        <w:rPr>
          <w:rFonts w:ascii="宋体" w:hAnsi="宋体" w:hint="eastAsia"/>
          <w:bCs/>
          <w:lang w:eastAsia="zh-CN"/>
        </w:rPr>
        <w:t>4</w:t>
      </w:r>
      <w:bookmarkStart w:id="217" w:name="_Toc337558754"/>
      <w:bookmarkStart w:id="218" w:name="_Toc296503054"/>
      <w:bookmarkStart w:id="219" w:name="_Toc296346555"/>
      <w:r>
        <w:rPr>
          <w:rFonts w:ascii="宋体" w:hAnsi="宋体" w:hint="eastAsia"/>
          <w:bCs/>
          <w:lang w:eastAsia="zh-CN"/>
        </w:rPr>
        <w:t>.1监理人的一般规定</w:t>
      </w:r>
      <w:bookmarkEnd w:id="216"/>
    </w:p>
    <w:bookmarkEnd w:id="217"/>
    <w:bookmarkEnd w:id="218"/>
    <w:bookmarkEnd w:id="219"/>
    <w:p w14:paraId="0BA2754D">
      <w:pPr>
        <w:spacing w:line="360" w:lineRule="auto"/>
        <w:rPr>
          <w:rFonts w:ascii="宋体" w:hAnsi="宋体"/>
          <w:lang w:eastAsia="zh-CN"/>
        </w:rPr>
      </w:pPr>
      <w:r>
        <w:rPr>
          <w:rFonts w:ascii="宋体" w:hAnsi="宋体" w:hint="eastAsia"/>
          <w:lang w:eastAsia="zh-CN"/>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570A2FBE">
      <w:pPr>
        <w:spacing w:line="360" w:lineRule="auto"/>
        <w:rPr>
          <w:rFonts w:ascii="宋体" w:hAnsi="宋体"/>
          <w:lang w:eastAsia="zh-CN"/>
        </w:rPr>
      </w:pPr>
      <w:r>
        <w:rPr>
          <w:rFonts w:ascii="宋体" w:hAnsi="宋体" w:hint="eastAsia"/>
          <w:lang w:eastAsia="zh-CN"/>
        </w:rPr>
        <w:t>除专用合同条款另有约定外，监理人在施工现场的办公场所、生活场所由承包人提供，所发生的费用由发包人承担。</w:t>
      </w:r>
    </w:p>
    <w:p w14:paraId="1FA25061">
      <w:pPr>
        <w:spacing w:line="360" w:lineRule="auto"/>
        <w:rPr>
          <w:rFonts w:ascii="宋体" w:hAnsi="宋体"/>
          <w:bCs/>
          <w:lang w:eastAsia="zh-CN"/>
        </w:rPr>
      </w:pPr>
      <w:bookmarkStart w:id="220" w:name="_Toc351203529"/>
      <w:r>
        <w:rPr>
          <w:rFonts w:ascii="宋体" w:hAnsi="宋体" w:hint="eastAsia"/>
          <w:bCs/>
          <w:lang w:eastAsia="zh-CN"/>
        </w:rPr>
        <w:t>4</w:t>
      </w:r>
      <w:bookmarkStart w:id="221" w:name="_Toc337558755"/>
      <w:r>
        <w:rPr>
          <w:rFonts w:ascii="宋体" w:hAnsi="宋体" w:hint="eastAsia"/>
          <w:bCs/>
          <w:lang w:eastAsia="zh-CN"/>
        </w:rPr>
        <w:t>.2监理人员</w:t>
      </w:r>
      <w:bookmarkEnd w:id="220"/>
    </w:p>
    <w:bookmarkEnd w:id="221"/>
    <w:p w14:paraId="1AB65849">
      <w:pPr>
        <w:spacing w:line="360" w:lineRule="auto"/>
        <w:rPr>
          <w:rFonts w:ascii="宋体" w:hAnsi="宋体"/>
          <w:lang w:eastAsia="zh-CN"/>
        </w:rPr>
      </w:pPr>
      <w:r>
        <w:rPr>
          <w:rFonts w:ascii="宋体" w:hAnsi="宋体" w:hint="eastAsia"/>
          <w:lang w:eastAsia="zh-CN"/>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1667CF87">
      <w:pPr>
        <w:spacing w:line="360" w:lineRule="auto"/>
        <w:rPr>
          <w:rFonts w:ascii="宋体" w:hAnsi="宋体"/>
          <w:bCs/>
          <w:lang w:eastAsia="zh-CN"/>
        </w:rPr>
      </w:pPr>
      <w:bookmarkStart w:id="222" w:name="_Toc351203530"/>
      <w:r>
        <w:rPr>
          <w:rFonts w:ascii="宋体" w:hAnsi="宋体" w:hint="eastAsia"/>
          <w:bCs/>
          <w:lang w:eastAsia="zh-CN"/>
        </w:rPr>
        <w:t>4</w:t>
      </w:r>
      <w:bookmarkStart w:id="223" w:name="_Toc296503055"/>
      <w:bookmarkStart w:id="224" w:name="_Toc296346556"/>
      <w:bookmarkStart w:id="225" w:name="_Toc337558756"/>
      <w:r>
        <w:rPr>
          <w:rFonts w:ascii="宋体" w:hAnsi="宋体" w:hint="eastAsia"/>
          <w:bCs/>
          <w:lang w:eastAsia="zh-CN"/>
        </w:rPr>
        <w:t>.3</w:t>
      </w:r>
      <w:bookmarkEnd w:id="223"/>
      <w:bookmarkEnd w:id="224"/>
      <w:r>
        <w:rPr>
          <w:rFonts w:ascii="宋体" w:hAnsi="宋体" w:hint="eastAsia"/>
          <w:bCs/>
          <w:lang w:eastAsia="zh-CN"/>
        </w:rPr>
        <w:t>监理人的指</w:t>
      </w:r>
      <w:bookmarkEnd w:id="225"/>
      <w:r>
        <w:rPr>
          <w:rFonts w:ascii="宋体" w:hAnsi="宋体" w:hint="eastAsia"/>
          <w:bCs/>
          <w:lang w:eastAsia="zh-CN"/>
        </w:rPr>
        <w:t>示</w:t>
      </w:r>
      <w:bookmarkEnd w:id="222"/>
    </w:p>
    <w:p w14:paraId="7F981503">
      <w:pPr>
        <w:spacing w:line="360" w:lineRule="auto"/>
        <w:rPr>
          <w:rFonts w:ascii="宋体" w:hAnsi="宋体"/>
          <w:lang w:eastAsia="zh-CN"/>
        </w:rPr>
      </w:pPr>
      <w:r>
        <w:rPr>
          <w:rFonts w:ascii="宋体" w:hAnsi="宋体" w:hint="eastAsia"/>
          <w:lang w:eastAsia="zh-CN"/>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41874CAB">
      <w:pPr>
        <w:spacing w:line="360" w:lineRule="auto"/>
        <w:rPr>
          <w:rFonts w:ascii="宋体" w:hAnsi="宋体"/>
          <w:lang w:eastAsia="zh-CN"/>
        </w:rPr>
      </w:pPr>
      <w:r>
        <w:rPr>
          <w:rFonts w:ascii="宋体" w:hAnsi="宋体" w:hint="eastAsia"/>
          <w:lang w:eastAsia="zh-CN"/>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7F8E5BF5">
      <w:pPr>
        <w:spacing w:line="360" w:lineRule="auto"/>
        <w:rPr>
          <w:rFonts w:ascii="宋体" w:hAnsi="宋体"/>
          <w:lang w:eastAsia="zh-CN"/>
        </w:rPr>
      </w:pPr>
      <w:r>
        <w:rPr>
          <w:rFonts w:ascii="宋体" w:hAnsi="宋体" w:hint="eastAsia"/>
          <w:lang w:eastAsia="zh-CN"/>
        </w:rPr>
        <w:t>承包人对监理人发出的指示有疑问的，应向监理人提出书面异议，监理人应在48小时内对该指示予以确认、更改或撤销，监理人逾期未回复的，承包人有权拒绝执行上述指示。</w:t>
      </w:r>
    </w:p>
    <w:p w14:paraId="3359A786">
      <w:pPr>
        <w:spacing w:line="360" w:lineRule="auto"/>
        <w:rPr>
          <w:rFonts w:ascii="宋体" w:hAnsi="宋体"/>
          <w:lang w:eastAsia="zh-CN"/>
        </w:rPr>
      </w:pPr>
      <w:r>
        <w:rPr>
          <w:rFonts w:ascii="宋体" w:hAnsi="宋体" w:hint="eastAsia"/>
          <w:lang w:eastAsia="zh-CN"/>
        </w:rPr>
        <w:t>监理人对承包人的任何工作、工程或其采用的材料和工程设备未在约定的或合理期限内提出意见的，视为批准，但不免除或减轻承包人对该工作、工程、材料、工程设备等应承担的责任和义务。</w:t>
      </w:r>
    </w:p>
    <w:p w14:paraId="6042EE66">
      <w:pPr>
        <w:spacing w:line="360" w:lineRule="auto"/>
        <w:rPr>
          <w:rFonts w:ascii="宋体" w:hAnsi="宋体"/>
          <w:bCs/>
          <w:lang w:eastAsia="zh-CN"/>
        </w:rPr>
      </w:pPr>
      <w:bookmarkStart w:id="226" w:name="_Toc351203531"/>
      <w:r>
        <w:rPr>
          <w:rFonts w:ascii="宋体" w:hAnsi="宋体" w:hint="eastAsia"/>
          <w:bCs/>
          <w:lang w:eastAsia="zh-CN"/>
        </w:rPr>
        <w:t>4</w:t>
      </w:r>
      <w:bookmarkStart w:id="227" w:name="_Toc296346558"/>
      <w:bookmarkStart w:id="228" w:name="_Toc296503057"/>
      <w:bookmarkStart w:id="229" w:name="_Toc337558757"/>
      <w:r>
        <w:rPr>
          <w:rFonts w:ascii="宋体" w:hAnsi="宋体" w:hint="eastAsia"/>
          <w:bCs/>
          <w:lang w:eastAsia="zh-CN"/>
        </w:rPr>
        <w:t>.4 商定或确定</w:t>
      </w:r>
      <w:bookmarkEnd w:id="226"/>
    </w:p>
    <w:bookmarkEnd w:id="227"/>
    <w:bookmarkEnd w:id="228"/>
    <w:bookmarkEnd w:id="229"/>
    <w:p w14:paraId="2AAFB0D6">
      <w:pPr>
        <w:spacing w:line="360" w:lineRule="auto"/>
        <w:rPr>
          <w:rFonts w:ascii="宋体" w:hAnsi="宋体"/>
          <w:lang w:eastAsia="zh-CN"/>
        </w:rPr>
      </w:pPr>
      <w:r>
        <w:rPr>
          <w:rFonts w:ascii="宋体" w:hAnsi="宋体" w:hint="eastAsia"/>
          <w:lang w:eastAsia="zh-CN"/>
        </w:rPr>
        <w:t>合同当事人进行商定或确定时，总监理工程师应当会同合同当事人尽量通过协商达成一致，不能达成一致的，由总监理工程师按照合同约定审慎做出公正的确定。</w:t>
      </w:r>
    </w:p>
    <w:p w14:paraId="561E0B58">
      <w:pPr>
        <w:spacing w:line="360" w:lineRule="auto"/>
        <w:rPr>
          <w:rFonts w:ascii="宋体" w:hAnsi="宋体"/>
          <w:lang w:eastAsia="zh-CN"/>
        </w:rPr>
      </w:pPr>
      <w:r>
        <w:rPr>
          <w:rFonts w:ascii="宋体" w:hAnsi="宋体" w:hint="eastAsia"/>
          <w:lang w:eastAsia="zh-CN"/>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09D3DD92">
      <w:pPr>
        <w:spacing w:line="360" w:lineRule="auto"/>
        <w:rPr>
          <w:rFonts w:ascii="宋体" w:hAnsi="宋体"/>
          <w:bCs/>
          <w:lang w:eastAsia="zh-CN"/>
        </w:rPr>
      </w:pPr>
      <w:bookmarkStart w:id="230" w:name="_Toc351203532"/>
      <w:r>
        <w:rPr>
          <w:rFonts w:ascii="宋体" w:hAnsi="宋体" w:hint="eastAsia"/>
          <w:bCs/>
          <w:lang w:eastAsia="zh-CN"/>
        </w:rPr>
        <w:t>5</w:t>
      </w:r>
      <w:bookmarkStart w:id="231" w:name="_Toc337558758"/>
      <w:r>
        <w:rPr>
          <w:rFonts w:ascii="宋体" w:hAnsi="宋体" w:hint="eastAsia"/>
          <w:bCs/>
          <w:lang w:eastAsia="zh-CN"/>
        </w:rPr>
        <w:t>. 工程质量</w:t>
      </w:r>
      <w:bookmarkEnd w:id="230"/>
    </w:p>
    <w:bookmarkEnd w:id="231"/>
    <w:p w14:paraId="375D98DA">
      <w:pPr>
        <w:spacing w:line="360" w:lineRule="auto"/>
        <w:rPr>
          <w:rFonts w:ascii="宋体" w:hAnsi="宋体"/>
          <w:bCs/>
          <w:lang w:eastAsia="zh-CN"/>
        </w:rPr>
      </w:pPr>
      <w:bookmarkStart w:id="232" w:name="_Toc351203533"/>
      <w:r>
        <w:rPr>
          <w:rFonts w:ascii="宋体" w:hAnsi="宋体" w:hint="eastAsia"/>
          <w:bCs/>
          <w:lang w:eastAsia="zh-CN"/>
        </w:rPr>
        <w:t>5</w:t>
      </w:r>
      <w:bookmarkStart w:id="233" w:name="_Toc337558759"/>
      <w:r>
        <w:rPr>
          <w:rFonts w:ascii="宋体" w:hAnsi="宋体" w:hint="eastAsia"/>
          <w:bCs/>
          <w:lang w:eastAsia="zh-CN"/>
        </w:rPr>
        <w:t>.1质量要求</w:t>
      </w:r>
      <w:bookmarkEnd w:id="232"/>
    </w:p>
    <w:bookmarkEnd w:id="233"/>
    <w:p w14:paraId="40FED5EC">
      <w:pPr>
        <w:spacing w:line="360" w:lineRule="auto"/>
        <w:rPr>
          <w:rFonts w:ascii="宋体" w:hAnsi="宋体"/>
          <w:lang w:eastAsia="zh-CN"/>
        </w:rPr>
      </w:pPr>
      <w:r>
        <w:rPr>
          <w:rFonts w:ascii="宋体" w:hAnsi="宋体" w:hint="eastAsia"/>
          <w:lang w:eastAsia="zh-CN"/>
        </w:rPr>
        <w:t>5.1.1 工程质量标准必须符合现行国家有关工程施工质量验收规范和标准的要求。有关工程质量的特殊标准或要求由合同当事人在专用合同条款中约定。</w:t>
      </w:r>
    </w:p>
    <w:p w14:paraId="36C2823C">
      <w:pPr>
        <w:spacing w:line="360" w:lineRule="auto"/>
        <w:rPr>
          <w:rFonts w:ascii="宋体" w:hAnsi="宋体"/>
          <w:lang w:eastAsia="zh-CN"/>
        </w:rPr>
      </w:pPr>
      <w:r>
        <w:rPr>
          <w:rFonts w:ascii="宋体" w:hAnsi="宋体" w:hint="eastAsia"/>
          <w:lang w:eastAsia="zh-CN"/>
        </w:rPr>
        <w:t>5.1.2 因发包人原因造成工程质量未达到合同约定标准的，由发包人承担由此增加的费用和（或）延误的工期，并支付承包人合理的利润。</w:t>
      </w:r>
    </w:p>
    <w:p w14:paraId="190D126E">
      <w:pPr>
        <w:spacing w:line="360" w:lineRule="auto"/>
        <w:rPr>
          <w:rFonts w:ascii="宋体" w:hAnsi="宋体"/>
          <w:lang w:eastAsia="zh-CN"/>
        </w:rPr>
      </w:pPr>
      <w:r>
        <w:rPr>
          <w:rFonts w:ascii="宋体" w:hAnsi="宋体" w:hint="eastAsia"/>
          <w:lang w:eastAsia="zh-CN"/>
        </w:rPr>
        <w:t>5.1.3 因承包人原因造成工程质量未达到合同约定标准的，发包人有权要求承包人返工直至工程质量达到合同约定的标准为止，并由承包人承担由此增加的费用和（或）延误的工期。</w:t>
      </w:r>
    </w:p>
    <w:p w14:paraId="7E4CC557">
      <w:pPr>
        <w:spacing w:line="360" w:lineRule="auto"/>
        <w:rPr>
          <w:rFonts w:ascii="宋体" w:hAnsi="宋体"/>
          <w:bCs/>
          <w:lang w:eastAsia="zh-CN"/>
        </w:rPr>
      </w:pPr>
      <w:bookmarkStart w:id="234" w:name="_Toc351203534"/>
      <w:r>
        <w:rPr>
          <w:rFonts w:ascii="宋体" w:hAnsi="宋体" w:hint="eastAsia"/>
          <w:bCs/>
          <w:lang w:eastAsia="zh-CN"/>
        </w:rPr>
        <w:t>5</w:t>
      </w:r>
      <w:bookmarkStart w:id="235" w:name="_Toc337558760"/>
      <w:r>
        <w:rPr>
          <w:rFonts w:ascii="宋体" w:hAnsi="宋体" w:hint="eastAsia"/>
          <w:bCs/>
          <w:lang w:eastAsia="zh-CN"/>
        </w:rPr>
        <w:t>.2质量保证措施</w:t>
      </w:r>
      <w:bookmarkEnd w:id="234"/>
    </w:p>
    <w:bookmarkEnd w:id="235"/>
    <w:p w14:paraId="5592C30C">
      <w:pPr>
        <w:spacing w:line="360" w:lineRule="auto"/>
        <w:rPr>
          <w:rFonts w:ascii="宋体" w:hAnsi="宋体"/>
          <w:lang w:eastAsia="zh-CN"/>
        </w:rPr>
      </w:pPr>
      <w:r>
        <w:rPr>
          <w:rFonts w:ascii="宋体" w:hAnsi="宋体" w:hint="eastAsia"/>
          <w:lang w:eastAsia="zh-CN"/>
        </w:rPr>
        <w:t>5.2.1 发包人的质量管理</w:t>
      </w:r>
    </w:p>
    <w:p w14:paraId="0531D3B4">
      <w:pPr>
        <w:spacing w:line="360" w:lineRule="auto"/>
        <w:rPr>
          <w:rFonts w:ascii="宋体" w:hAnsi="宋体"/>
          <w:lang w:eastAsia="zh-CN"/>
        </w:rPr>
      </w:pPr>
      <w:r>
        <w:rPr>
          <w:rFonts w:ascii="宋体" w:hAnsi="宋体" w:hint="eastAsia"/>
          <w:lang w:eastAsia="zh-CN"/>
        </w:rPr>
        <w:t>发包人应按照法律规定及合同约定完成与工程质量有关的各项工作。</w:t>
      </w:r>
    </w:p>
    <w:p w14:paraId="135C8175">
      <w:pPr>
        <w:spacing w:line="360" w:lineRule="auto"/>
        <w:rPr>
          <w:rFonts w:ascii="宋体" w:hAnsi="宋体"/>
          <w:lang w:eastAsia="zh-CN"/>
        </w:rPr>
      </w:pPr>
      <w:r>
        <w:rPr>
          <w:rFonts w:ascii="宋体" w:hAnsi="宋体" w:hint="eastAsia"/>
          <w:lang w:eastAsia="zh-CN"/>
        </w:rPr>
        <w:t>5.2.2 承包人的质量管理</w:t>
      </w:r>
    </w:p>
    <w:p w14:paraId="6853B8BD">
      <w:pPr>
        <w:spacing w:line="360" w:lineRule="auto"/>
        <w:rPr>
          <w:rFonts w:ascii="宋体" w:hAnsi="宋体"/>
          <w:lang w:eastAsia="zh-CN"/>
        </w:rPr>
      </w:pPr>
      <w:r>
        <w:rPr>
          <w:rFonts w:ascii="宋体" w:hAnsi="宋体" w:hint="eastAsia"/>
          <w:lang w:eastAsia="zh-CN"/>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335466E0">
      <w:pPr>
        <w:spacing w:line="360" w:lineRule="auto"/>
        <w:rPr>
          <w:rFonts w:ascii="宋体" w:hAnsi="宋体"/>
          <w:lang w:eastAsia="zh-CN"/>
        </w:rPr>
      </w:pPr>
      <w:r>
        <w:rPr>
          <w:rFonts w:ascii="宋体" w:hAnsi="宋体" w:hint="eastAsia"/>
          <w:lang w:eastAsia="zh-CN"/>
        </w:rPr>
        <w:t>承包人应对施工人员进行质量教育和技术培训，定期考核施工人员的劳动技能，严格执行施工规范和操作规程。</w:t>
      </w:r>
    </w:p>
    <w:p w14:paraId="37F58A2F">
      <w:pPr>
        <w:spacing w:line="360" w:lineRule="auto"/>
        <w:rPr>
          <w:rFonts w:ascii="宋体" w:hAnsi="宋体"/>
          <w:lang w:eastAsia="zh-CN"/>
        </w:rPr>
      </w:pPr>
      <w:r>
        <w:rPr>
          <w:rFonts w:ascii="宋体" w:hAnsi="宋体" w:hint="eastAsia"/>
          <w:lang w:eastAsia="zh-CN"/>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73F3730E">
      <w:pPr>
        <w:spacing w:line="360" w:lineRule="auto"/>
        <w:rPr>
          <w:rFonts w:ascii="宋体" w:hAnsi="宋体"/>
          <w:lang w:eastAsia="zh-CN"/>
        </w:rPr>
      </w:pPr>
      <w:r>
        <w:rPr>
          <w:rFonts w:ascii="宋体" w:hAnsi="宋体" w:hint="eastAsia"/>
          <w:lang w:eastAsia="zh-CN"/>
        </w:rPr>
        <w:t>5.2.3 监理人的质量检查和检验</w:t>
      </w:r>
    </w:p>
    <w:p w14:paraId="252C7889">
      <w:pPr>
        <w:spacing w:line="360" w:lineRule="auto"/>
        <w:rPr>
          <w:rFonts w:ascii="宋体" w:hAnsi="宋体"/>
          <w:lang w:eastAsia="zh-CN"/>
        </w:rPr>
      </w:pPr>
      <w:r>
        <w:rPr>
          <w:rFonts w:ascii="宋体" w:hAnsi="宋体" w:hint="eastAsia"/>
          <w:lang w:eastAsia="zh-CN"/>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2D73B8CB">
      <w:pPr>
        <w:spacing w:line="360" w:lineRule="auto"/>
        <w:rPr>
          <w:rFonts w:ascii="宋体" w:hAnsi="宋体"/>
          <w:lang w:eastAsia="zh-CN"/>
        </w:rPr>
      </w:pPr>
      <w:r>
        <w:rPr>
          <w:rFonts w:ascii="宋体" w:hAnsi="宋体" w:hint="eastAsia"/>
          <w:lang w:eastAsia="zh-CN"/>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0932D500">
      <w:pPr>
        <w:spacing w:line="360" w:lineRule="auto"/>
        <w:rPr>
          <w:rFonts w:ascii="宋体" w:hAnsi="宋体"/>
          <w:bCs/>
          <w:lang w:eastAsia="zh-CN"/>
        </w:rPr>
      </w:pPr>
      <w:bookmarkStart w:id="236" w:name="_Toc351203535"/>
      <w:r>
        <w:rPr>
          <w:rFonts w:ascii="宋体" w:hAnsi="宋体" w:hint="eastAsia"/>
          <w:bCs/>
          <w:lang w:eastAsia="zh-CN"/>
        </w:rPr>
        <w:t>5</w:t>
      </w:r>
      <w:bookmarkStart w:id="237" w:name="_Toc337558761"/>
      <w:r>
        <w:rPr>
          <w:rFonts w:ascii="宋体" w:hAnsi="宋体" w:hint="eastAsia"/>
          <w:bCs/>
          <w:lang w:eastAsia="zh-CN"/>
        </w:rPr>
        <w:t>.3 隐蔽工程检查</w:t>
      </w:r>
      <w:bookmarkEnd w:id="236"/>
    </w:p>
    <w:bookmarkEnd w:id="237"/>
    <w:p w14:paraId="332B5891">
      <w:pPr>
        <w:spacing w:line="360" w:lineRule="auto"/>
        <w:rPr>
          <w:rFonts w:ascii="宋体" w:hAnsi="宋体"/>
          <w:lang w:eastAsia="zh-CN"/>
        </w:rPr>
      </w:pPr>
      <w:r>
        <w:rPr>
          <w:rFonts w:ascii="宋体" w:hAnsi="宋体" w:hint="eastAsia"/>
          <w:lang w:eastAsia="zh-CN"/>
        </w:rPr>
        <w:t>5.3.1承包人自检</w:t>
      </w:r>
    </w:p>
    <w:p w14:paraId="4F857018">
      <w:pPr>
        <w:spacing w:line="360" w:lineRule="auto"/>
        <w:rPr>
          <w:rFonts w:ascii="宋体" w:hAnsi="宋体"/>
          <w:lang w:eastAsia="zh-CN"/>
        </w:rPr>
      </w:pPr>
      <w:r>
        <w:rPr>
          <w:rFonts w:ascii="宋体" w:hAnsi="宋体" w:hint="eastAsia"/>
          <w:lang w:eastAsia="zh-CN"/>
        </w:rPr>
        <w:t>承包人应当对工程隐蔽部位进行自检，并经自检确认是否具备覆盖条件。</w:t>
      </w:r>
    </w:p>
    <w:p w14:paraId="3DB3E33A">
      <w:pPr>
        <w:spacing w:line="360" w:lineRule="auto"/>
        <w:rPr>
          <w:rFonts w:ascii="宋体" w:hAnsi="宋体"/>
          <w:lang w:eastAsia="zh-CN"/>
        </w:rPr>
      </w:pPr>
      <w:r>
        <w:rPr>
          <w:rFonts w:ascii="宋体" w:hAnsi="宋体" w:hint="eastAsia"/>
          <w:lang w:eastAsia="zh-CN"/>
        </w:rPr>
        <w:t>5.3.2检查程序</w:t>
      </w:r>
    </w:p>
    <w:p w14:paraId="3B2ED8D7">
      <w:pPr>
        <w:spacing w:line="360" w:lineRule="auto"/>
        <w:rPr>
          <w:rFonts w:ascii="宋体" w:hAnsi="宋体"/>
          <w:lang w:eastAsia="zh-CN"/>
        </w:rPr>
      </w:pPr>
      <w:r>
        <w:rPr>
          <w:rFonts w:ascii="宋体" w:hAnsi="宋体" w:hint="eastAsia"/>
          <w:lang w:eastAsia="zh-CN"/>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7FBCB257">
      <w:pPr>
        <w:spacing w:line="360" w:lineRule="auto"/>
        <w:rPr>
          <w:rFonts w:ascii="宋体" w:hAnsi="宋体"/>
          <w:lang w:eastAsia="zh-CN"/>
        </w:rPr>
      </w:pPr>
      <w:r>
        <w:rPr>
          <w:rFonts w:ascii="宋体" w:hAnsi="宋体" w:hint="eastAsia"/>
          <w:lang w:eastAsia="zh-CN"/>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0B30540A">
      <w:pPr>
        <w:spacing w:line="360" w:lineRule="auto"/>
        <w:rPr>
          <w:rFonts w:ascii="宋体" w:hAnsi="宋体"/>
          <w:lang w:eastAsia="zh-CN"/>
        </w:rPr>
      </w:pPr>
      <w:r>
        <w:rPr>
          <w:rFonts w:ascii="宋体" w:hAnsi="宋体" w:hint="eastAsia"/>
          <w:lang w:eastAsia="zh-CN"/>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C9A1461">
      <w:pPr>
        <w:spacing w:line="360" w:lineRule="auto"/>
        <w:rPr>
          <w:rFonts w:ascii="宋体" w:hAnsi="宋体"/>
          <w:lang w:eastAsia="zh-CN"/>
        </w:rPr>
      </w:pPr>
      <w:r>
        <w:rPr>
          <w:rFonts w:ascii="宋体" w:hAnsi="宋体" w:hint="eastAsia"/>
          <w:lang w:eastAsia="zh-CN"/>
        </w:rPr>
        <w:t>5.3.3 重新检查</w:t>
      </w:r>
    </w:p>
    <w:p w14:paraId="23B8DE90">
      <w:pPr>
        <w:spacing w:line="360" w:lineRule="auto"/>
        <w:rPr>
          <w:rFonts w:ascii="宋体" w:hAnsi="宋体"/>
          <w:lang w:eastAsia="zh-CN"/>
        </w:rPr>
      </w:pPr>
      <w:r>
        <w:rPr>
          <w:rFonts w:ascii="宋体" w:hAnsi="宋体" w:hint="eastAsia"/>
          <w:lang w:eastAsia="zh-CN"/>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42C7ADDD">
      <w:pPr>
        <w:spacing w:line="360" w:lineRule="auto"/>
        <w:rPr>
          <w:rFonts w:ascii="宋体" w:hAnsi="宋体"/>
          <w:lang w:eastAsia="zh-CN"/>
        </w:rPr>
      </w:pPr>
      <w:r>
        <w:rPr>
          <w:rFonts w:ascii="宋体" w:hAnsi="宋体" w:hint="eastAsia"/>
          <w:lang w:eastAsia="zh-CN"/>
        </w:rPr>
        <w:t>5.3.4 承包人私自覆盖</w:t>
      </w:r>
    </w:p>
    <w:p w14:paraId="4292E2ED">
      <w:pPr>
        <w:spacing w:line="360" w:lineRule="auto"/>
        <w:rPr>
          <w:rFonts w:ascii="宋体" w:hAnsi="宋体"/>
          <w:lang w:eastAsia="zh-CN"/>
        </w:rPr>
      </w:pPr>
      <w:r>
        <w:rPr>
          <w:rFonts w:ascii="宋体" w:hAnsi="宋体" w:hint="eastAsia"/>
          <w:lang w:eastAsia="zh-CN"/>
        </w:rPr>
        <w:t>承包人未通知监理人到场检查，私自将工程隐蔽部位覆盖的，监理人有权指示承包人钻孔探测或揭开检查，无论工程隐蔽部位质量是否合格，由此增加的费用和（或）延误的工期均由承包人承担。</w:t>
      </w:r>
    </w:p>
    <w:p w14:paraId="7F61AF50">
      <w:pPr>
        <w:spacing w:line="360" w:lineRule="auto"/>
        <w:rPr>
          <w:rFonts w:ascii="宋体" w:hAnsi="宋体"/>
          <w:bCs/>
          <w:lang w:eastAsia="zh-CN"/>
        </w:rPr>
      </w:pPr>
      <w:bookmarkStart w:id="238" w:name="_Toc351203536"/>
      <w:r>
        <w:rPr>
          <w:rFonts w:ascii="宋体" w:hAnsi="宋体" w:hint="eastAsia"/>
          <w:bCs/>
          <w:lang w:eastAsia="zh-CN"/>
        </w:rPr>
        <w:t>5</w:t>
      </w:r>
      <w:bookmarkStart w:id="239" w:name="_Toc337558762"/>
      <w:r>
        <w:rPr>
          <w:rFonts w:ascii="宋体" w:hAnsi="宋体" w:hint="eastAsia"/>
          <w:bCs/>
          <w:lang w:eastAsia="zh-CN"/>
        </w:rPr>
        <w:t>.4不合格工程的处理</w:t>
      </w:r>
      <w:bookmarkEnd w:id="238"/>
    </w:p>
    <w:bookmarkEnd w:id="239"/>
    <w:p w14:paraId="2DE8F7E2">
      <w:pPr>
        <w:spacing w:line="360" w:lineRule="auto"/>
        <w:rPr>
          <w:rFonts w:ascii="宋体" w:hAnsi="宋体"/>
          <w:lang w:eastAsia="zh-CN"/>
        </w:rPr>
      </w:pPr>
      <w:r>
        <w:rPr>
          <w:rFonts w:ascii="宋体" w:hAnsi="宋体" w:hint="eastAsia"/>
          <w:lang w:eastAsia="zh-CN"/>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41239D0F">
      <w:pPr>
        <w:spacing w:line="360" w:lineRule="auto"/>
        <w:rPr>
          <w:rFonts w:ascii="宋体" w:hAnsi="宋体"/>
          <w:lang w:eastAsia="zh-CN"/>
        </w:rPr>
      </w:pPr>
      <w:r>
        <w:rPr>
          <w:rFonts w:ascii="宋体" w:hAnsi="宋体" w:hint="eastAsia"/>
          <w:lang w:eastAsia="zh-CN"/>
        </w:rPr>
        <w:t>5.4.2 因发包人原因造成工程不合格的，由此增加的费用和（或）延误的工期由发包人承担，并支付承包人合理的利润。</w:t>
      </w:r>
    </w:p>
    <w:p w14:paraId="7F60C011">
      <w:pPr>
        <w:spacing w:line="360" w:lineRule="auto"/>
        <w:rPr>
          <w:rFonts w:ascii="宋体" w:hAnsi="宋体"/>
          <w:bCs/>
          <w:lang w:eastAsia="zh-CN"/>
        </w:rPr>
      </w:pPr>
      <w:bookmarkStart w:id="240" w:name="_Toc351203537"/>
      <w:r>
        <w:rPr>
          <w:rFonts w:ascii="宋体" w:hAnsi="宋体" w:hint="eastAsia"/>
          <w:bCs/>
          <w:lang w:eastAsia="zh-CN"/>
        </w:rPr>
        <w:t>5.5 质量争议检测</w:t>
      </w:r>
      <w:bookmarkEnd w:id="240"/>
    </w:p>
    <w:p w14:paraId="5FCA626E">
      <w:pPr>
        <w:spacing w:line="360" w:lineRule="auto"/>
        <w:rPr>
          <w:rFonts w:ascii="宋体" w:hAnsi="宋体"/>
          <w:lang w:eastAsia="zh-CN"/>
        </w:rPr>
      </w:pPr>
      <w:r>
        <w:rPr>
          <w:rFonts w:ascii="宋体" w:hAnsi="宋体" w:hint="eastAsia"/>
          <w:lang w:eastAsia="zh-CN"/>
        </w:rPr>
        <w:t>合同当事人对工程质量有争议的，由双方协商确定的工程质量检测机构鉴定，由此产生的费用及因此造成的损失，由责任方承担。</w:t>
      </w:r>
    </w:p>
    <w:p w14:paraId="486562AE">
      <w:pPr>
        <w:spacing w:line="360" w:lineRule="auto"/>
        <w:rPr>
          <w:rFonts w:ascii="宋体" w:hAnsi="宋体"/>
          <w:lang w:eastAsia="zh-CN"/>
        </w:rPr>
      </w:pPr>
      <w:r>
        <w:rPr>
          <w:rFonts w:ascii="宋体" w:hAnsi="宋体" w:hint="eastAsia"/>
          <w:lang w:eastAsia="zh-CN"/>
        </w:rPr>
        <w:t>合同当事人均有责任的，由双方根据其责任分别承担。合同当事人无法达成一致的，按照第4.4款〔商定或确定〕执行。</w:t>
      </w:r>
    </w:p>
    <w:p w14:paraId="46D0F858">
      <w:pPr>
        <w:spacing w:line="360" w:lineRule="auto"/>
        <w:rPr>
          <w:rFonts w:ascii="宋体" w:hAnsi="宋体"/>
          <w:bCs/>
          <w:lang w:eastAsia="zh-CN"/>
        </w:rPr>
      </w:pPr>
      <w:bookmarkStart w:id="241" w:name="_Toc351203538"/>
      <w:r>
        <w:rPr>
          <w:rFonts w:ascii="宋体" w:hAnsi="宋体" w:hint="eastAsia"/>
          <w:bCs/>
          <w:lang w:eastAsia="zh-CN"/>
        </w:rPr>
        <w:t>6</w:t>
      </w:r>
      <w:bookmarkStart w:id="242" w:name="_Toc337558763"/>
      <w:r>
        <w:rPr>
          <w:rFonts w:ascii="宋体" w:hAnsi="宋体" w:hint="eastAsia"/>
          <w:bCs/>
          <w:lang w:eastAsia="zh-CN"/>
        </w:rPr>
        <w:t>. 安全文明施工与环境保护</w:t>
      </w:r>
      <w:bookmarkEnd w:id="241"/>
    </w:p>
    <w:bookmarkEnd w:id="242"/>
    <w:p w14:paraId="0A70AE21">
      <w:pPr>
        <w:spacing w:line="360" w:lineRule="auto"/>
        <w:rPr>
          <w:rFonts w:ascii="宋体" w:hAnsi="宋体"/>
          <w:bCs/>
          <w:lang w:eastAsia="zh-CN"/>
        </w:rPr>
      </w:pPr>
      <w:bookmarkStart w:id="243" w:name="_Toc351203539"/>
      <w:r>
        <w:rPr>
          <w:rFonts w:ascii="宋体" w:hAnsi="宋体" w:hint="eastAsia"/>
          <w:bCs/>
          <w:lang w:eastAsia="zh-CN"/>
        </w:rPr>
        <w:t>6</w:t>
      </w:r>
      <w:bookmarkStart w:id="244" w:name="_Toc337558764"/>
      <w:r>
        <w:rPr>
          <w:rFonts w:ascii="宋体" w:hAnsi="宋体" w:hint="eastAsia"/>
          <w:bCs/>
          <w:lang w:eastAsia="zh-CN"/>
        </w:rPr>
        <w:t>.1安全文明施工</w:t>
      </w:r>
      <w:bookmarkEnd w:id="243"/>
    </w:p>
    <w:bookmarkEnd w:id="244"/>
    <w:p w14:paraId="1D204C63">
      <w:pPr>
        <w:spacing w:line="360" w:lineRule="auto"/>
        <w:rPr>
          <w:rFonts w:ascii="宋体" w:hAnsi="宋体"/>
          <w:lang w:eastAsia="zh-CN"/>
        </w:rPr>
      </w:pPr>
      <w:r>
        <w:rPr>
          <w:rFonts w:ascii="宋体" w:hAnsi="宋体" w:hint="eastAsia"/>
          <w:lang w:eastAsia="zh-CN"/>
        </w:rPr>
        <w:t>6.1.1安全生产要求</w:t>
      </w:r>
    </w:p>
    <w:p w14:paraId="26074D31">
      <w:pPr>
        <w:spacing w:line="360" w:lineRule="auto"/>
        <w:rPr>
          <w:rFonts w:ascii="宋体" w:hAnsi="宋体"/>
          <w:lang w:eastAsia="zh-CN"/>
        </w:rPr>
      </w:pPr>
      <w:r>
        <w:rPr>
          <w:rFonts w:ascii="宋体" w:hAnsi="宋体" w:hint="eastAsia"/>
          <w:lang w:eastAsia="zh-CN"/>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7BFF2E9B">
      <w:pPr>
        <w:spacing w:line="360" w:lineRule="auto"/>
        <w:rPr>
          <w:rFonts w:ascii="宋体" w:hAnsi="宋体"/>
          <w:lang w:eastAsia="zh-CN"/>
        </w:rPr>
      </w:pPr>
      <w:r>
        <w:rPr>
          <w:rFonts w:ascii="宋体" w:hAnsi="宋体" w:hint="eastAsia"/>
          <w:lang w:eastAsia="zh-CN"/>
        </w:rPr>
        <w:t>在施工过程中，如遇到突发的地质变动、事先未知的地下施工障碍等影响施工安全的紧急情况，承包人应及时报告监理人和发包人，发包人应当及时下令停工并报政府有关行政管理部门采取应急措施。</w:t>
      </w:r>
    </w:p>
    <w:p w14:paraId="6242A8DC">
      <w:pPr>
        <w:spacing w:line="360" w:lineRule="auto"/>
        <w:rPr>
          <w:rFonts w:ascii="宋体" w:hAnsi="宋体"/>
          <w:lang w:eastAsia="zh-CN"/>
        </w:rPr>
      </w:pPr>
      <w:r>
        <w:rPr>
          <w:rFonts w:ascii="宋体" w:hAnsi="宋体" w:hint="eastAsia"/>
          <w:lang w:eastAsia="zh-CN"/>
        </w:rPr>
        <w:t>因安全生产需要暂停施工的，按照第7.8款〔暂停施工〕的约定执行。</w:t>
      </w:r>
    </w:p>
    <w:p w14:paraId="4406144A">
      <w:pPr>
        <w:spacing w:line="360" w:lineRule="auto"/>
        <w:rPr>
          <w:rFonts w:ascii="宋体" w:hAnsi="宋体"/>
          <w:lang w:eastAsia="zh-CN"/>
        </w:rPr>
      </w:pPr>
      <w:r>
        <w:rPr>
          <w:rFonts w:ascii="宋体" w:hAnsi="宋体" w:hint="eastAsia"/>
          <w:lang w:eastAsia="zh-CN"/>
        </w:rPr>
        <w:t>6.1.2 安全生产保证措施</w:t>
      </w:r>
    </w:p>
    <w:p w14:paraId="0860A6B0">
      <w:pPr>
        <w:spacing w:line="360" w:lineRule="auto"/>
        <w:rPr>
          <w:rFonts w:ascii="宋体" w:hAnsi="宋体"/>
          <w:lang w:eastAsia="zh-CN"/>
        </w:rPr>
      </w:pPr>
      <w:r>
        <w:rPr>
          <w:rFonts w:ascii="宋体" w:hAnsi="宋体" w:hint="eastAsia"/>
          <w:lang w:eastAsia="zh-CN"/>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02C22477">
      <w:pPr>
        <w:spacing w:line="360" w:lineRule="auto"/>
        <w:rPr>
          <w:rFonts w:ascii="宋体" w:hAnsi="宋体"/>
          <w:lang w:eastAsia="zh-CN"/>
        </w:rPr>
      </w:pPr>
      <w:r>
        <w:rPr>
          <w:rFonts w:ascii="宋体" w:hAnsi="宋体" w:hint="eastAsia"/>
          <w:lang w:eastAsia="zh-CN"/>
        </w:rPr>
        <w:t>6.1.3特别安全生产事项</w:t>
      </w:r>
    </w:p>
    <w:p w14:paraId="0ACE4A54">
      <w:pPr>
        <w:spacing w:line="360" w:lineRule="auto"/>
        <w:rPr>
          <w:rFonts w:ascii="宋体" w:hAnsi="宋体"/>
          <w:lang w:eastAsia="zh-CN"/>
        </w:rPr>
      </w:pPr>
      <w:r>
        <w:rPr>
          <w:rFonts w:ascii="宋体" w:hAnsi="宋体" w:hint="eastAsia"/>
          <w:lang w:eastAsia="zh-CN"/>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579F1F2D">
      <w:pPr>
        <w:spacing w:line="360" w:lineRule="auto"/>
        <w:rPr>
          <w:rFonts w:ascii="宋体" w:hAnsi="宋体"/>
          <w:lang w:eastAsia="zh-CN"/>
        </w:rPr>
      </w:pPr>
      <w:r>
        <w:rPr>
          <w:rFonts w:ascii="宋体" w:hAnsi="宋体" w:hint="eastAsia"/>
          <w:lang w:eastAsia="zh-CN"/>
        </w:rPr>
        <w:t xml:space="preserve">承包人在动力设备、输电线路、地下管道、密封防震车间、易燃易爆地段以及临街交通要道附近施工时，施工开始前应向发包人和监理人提出安全防护措施，经发包人认可后实施。 </w:t>
      </w:r>
    </w:p>
    <w:p w14:paraId="0E4BAE5A">
      <w:pPr>
        <w:spacing w:line="360" w:lineRule="auto"/>
        <w:rPr>
          <w:rFonts w:ascii="宋体" w:hAnsi="宋体"/>
          <w:lang w:eastAsia="zh-CN"/>
        </w:rPr>
      </w:pPr>
      <w:r>
        <w:rPr>
          <w:rFonts w:ascii="宋体" w:hAnsi="宋体" w:hint="eastAsia"/>
          <w:lang w:eastAsia="zh-CN"/>
        </w:rPr>
        <w:t>实施爆破作业，在放射、毒害性环境中施工（含储存、运输、使用）及使用毒害性、腐蚀性物品施工时，承包人应在施工前7天以书面通知发包人和监理人，并报送相应的安全防护措施，经发包人认可后实施。</w:t>
      </w:r>
    </w:p>
    <w:p w14:paraId="4C98C286">
      <w:pPr>
        <w:spacing w:line="360" w:lineRule="auto"/>
        <w:rPr>
          <w:rFonts w:ascii="宋体" w:hAnsi="宋体"/>
          <w:lang w:eastAsia="zh-CN"/>
        </w:rPr>
      </w:pPr>
      <w:r>
        <w:rPr>
          <w:rFonts w:ascii="宋体" w:hAnsi="宋体" w:hint="eastAsia"/>
          <w:lang w:eastAsia="zh-CN"/>
        </w:rPr>
        <w:t>需单独编制危险性较大分部分项专项工程施工方案的，及要求进行专家论证的超过一定规模的危险性较大的分部分项工程，承包人应及时编制和组织论证。</w:t>
      </w:r>
    </w:p>
    <w:p w14:paraId="1849AB75">
      <w:pPr>
        <w:spacing w:line="360" w:lineRule="auto"/>
        <w:rPr>
          <w:rFonts w:ascii="宋体" w:hAnsi="宋体"/>
          <w:lang w:eastAsia="zh-CN"/>
        </w:rPr>
      </w:pPr>
      <w:r>
        <w:rPr>
          <w:rFonts w:ascii="宋体" w:hAnsi="宋体" w:hint="eastAsia"/>
          <w:lang w:eastAsia="zh-CN"/>
        </w:rPr>
        <w:t>6.1.4 治安保卫</w:t>
      </w:r>
    </w:p>
    <w:p w14:paraId="0C771B3B">
      <w:pPr>
        <w:spacing w:line="360" w:lineRule="auto"/>
        <w:rPr>
          <w:rFonts w:ascii="宋体" w:hAnsi="宋体"/>
          <w:lang w:eastAsia="zh-CN"/>
        </w:rPr>
      </w:pPr>
      <w:r>
        <w:rPr>
          <w:rFonts w:ascii="宋体" w:hAnsi="宋体" w:hint="eastAsia"/>
          <w:lang w:eastAsia="zh-CN"/>
        </w:rPr>
        <w:t>除专用合同条款另有约定外，发包人应与当地公安部门协商，在现场建立治安管理机构或联防组织，统一管理施工场地的治安保卫事项，履行合同工程的治安保卫职责。</w:t>
      </w:r>
    </w:p>
    <w:p w14:paraId="418A90DE">
      <w:pPr>
        <w:spacing w:line="360" w:lineRule="auto"/>
        <w:rPr>
          <w:rFonts w:ascii="宋体" w:hAnsi="宋体"/>
          <w:lang w:eastAsia="zh-CN"/>
        </w:rPr>
      </w:pPr>
      <w:r>
        <w:rPr>
          <w:rFonts w:ascii="宋体" w:hAnsi="宋体" w:hint="eastAsia"/>
          <w:lang w:eastAsia="zh-CN"/>
        </w:rPr>
        <w:t>发包人和承包人除应协助现场治安管理机构或联防组织维护施工场地的社会治安外，还应做好包括生活区在内的各自管辖区的治安保卫工作。</w:t>
      </w:r>
    </w:p>
    <w:p w14:paraId="12BE4390">
      <w:pPr>
        <w:spacing w:line="360" w:lineRule="auto"/>
        <w:rPr>
          <w:rFonts w:ascii="宋体" w:hAnsi="宋体"/>
          <w:lang w:eastAsia="zh-CN"/>
        </w:rPr>
      </w:pPr>
      <w:r>
        <w:rPr>
          <w:rFonts w:ascii="宋体" w:hAnsi="宋体" w:hint="eastAsia"/>
          <w:lang w:eastAsia="zh-CN"/>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0690FDFB">
      <w:pPr>
        <w:spacing w:line="360" w:lineRule="auto"/>
        <w:rPr>
          <w:rFonts w:ascii="宋体" w:hAnsi="宋体"/>
          <w:lang w:eastAsia="zh-CN"/>
        </w:rPr>
      </w:pPr>
      <w:r>
        <w:rPr>
          <w:rFonts w:ascii="宋体" w:hAnsi="宋体" w:hint="eastAsia"/>
          <w:lang w:eastAsia="zh-CN"/>
        </w:rPr>
        <w:t>6.1.5 文明施工</w:t>
      </w:r>
    </w:p>
    <w:p w14:paraId="6F28D246">
      <w:pPr>
        <w:spacing w:line="360" w:lineRule="auto"/>
        <w:rPr>
          <w:rFonts w:ascii="宋体" w:hAnsi="宋体"/>
          <w:lang w:eastAsia="zh-CN"/>
        </w:rPr>
      </w:pPr>
      <w:r>
        <w:rPr>
          <w:rFonts w:ascii="宋体" w:hAnsi="宋体" w:hint="eastAsia"/>
          <w:lang w:eastAsia="zh-CN"/>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34CAB777">
      <w:pPr>
        <w:spacing w:line="360" w:lineRule="auto"/>
        <w:rPr>
          <w:rFonts w:ascii="宋体" w:hAnsi="宋体"/>
          <w:lang w:eastAsia="zh-CN"/>
        </w:rPr>
      </w:pPr>
      <w:r>
        <w:rPr>
          <w:rFonts w:ascii="宋体" w:hAnsi="宋体" w:hint="eastAsia"/>
          <w:lang w:eastAsia="zh-CN"/>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600C66C6">
      <w:pPr>
        <w:spacing w:line="360" w:lineRule="auto"/>
        <w:rPr>
          <w:rFonts w:ascii="宋体" w:hAnsi="宋体"/>
          <w:lang w:eastAsia="zh-CN"/>
        </w:rPr>
      </w:pPr>
      <w:r>
        <w:rPr>
          <w:rFonts w:ascii="宋体" w:hAnsi="宋体" w:hint="eastAsia"/>
          <w:lang w:eastAsia="zh-CN"/>
        </w:rPr>
        <w:t>6.1.6 安全文明施工费</w:t>
      </w:r>
    </w:p>
    <w:p w14:paraId="0ADED62A">
      <w:pPr>
        <w:spacing w:line="360" w:lineRule="auto"/>
        <w:rPr>
          <w:rFonts w:ascii="宋体" w:hAnsi="宋体"/>
          <w:lang w:eastAsia="zh-CN"/>
        </w:rPr>
      </w:pPr>
      <w:r>
        <w:rPr>
          <w:rFonts w:ascii="宋体" w:hAnsi="宋体" w:hint="eastAsia"/>
          <w:lang w:eastAsia="zh-CN"/>
        </w:rPr>
        <w:t>安全文明施工费由发包人承担，发包人不得以任何形式扣减该部分费用。因基准日期后合同所适用的法律或政府有关规定发生变化，增加的安全文明施工费由发包人承担。</w:t>
      </w:r>
    </w:p>
    <w:p w14:paraId="67B7CD69">
      <w:pPr>
        <w:spacing w:line="360" w:lineRule="auto"/>
        <w:rPr>
          <w:rFonts w:ascii="宋体" w:hAnsi="宋体"/>
          <w:lang w:eastAsia="zh-CN"/>
        </w:rPr>
      </w:pPr>
      <w:r>
        <w:rPr>
          <w:rFonts w:ascii="宋体" w:hAnsi="宋体" w:hint="eastAsia"/>
          <w:lang w:eastAsia="zh-CN"/>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053BD9D6">
      <w:pPr>
        <w:spacing w:line="360" w:lineRule="auto"/>
        <w:rPr>
          <w:rFonts w:ascii="宋体" w:hAnsi="宋体"/>
          <w:lang w:eastAsia="zh-CN"/>
        </w:rPr>
      </w:pPr>
      <w:r>
        <w:rPr>
          <w:rFonts w:ascii="宋体" w:hAnsi="宋体" w:hint="eastAsia"/>
          <w:lang w:eastAsia="zh-CN"/>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5BDE4D0C">
      <w:pPr>
        <w:spacing w:line="360" w:lineRule="auto"/>
        <w:rPr>
          <w:rFonts w:ascii="宋体" w:hAnsi="宋体"/>
          <w:lang w:eastAsia="zh-CN"/>
        </w:rPr>
      </w:pPr>
      <w:r>
        <w:rPr>
          <w:rFonts w:ascii="宋体" w:hAnsi="宋体" w:hint="eastAsia"/>
          <w:lang w:eastAsia="zh-CN"/>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579C4E38">
      <w:pPr>
        <w:spacing w:line="360" w:lineRule="auto"/>
        <w:rPr>
          <w:rFonts w:ascii="宋体" w:hAnsi="宋体"/>
          <w:lang w:eastAsia="zh-CN"/>
        </w:rPr>
      </w:pPr>
      <w:r>
        <w:rPr>
          <w:rFonts w:ascii="宋体" w:hAnsi="宋体" w:hint="eastAsia"/>
          <w:lang w:eastAsia="zh-CN"/>
        </w:rPr>
        <w:t>6.1.7 紧急情况处理</w:t>
      </w:r>
    </w:p>
    <w:p w14:paraId="67D7704E">
      <w:pPr>
        <w:spacing w:line="360" w:lineRule="auto"/>
        <w:rPr>
          <w:rFonts w:ascii="宋体" w:hAnsi="宋体"/>
          <w:lang w:eastAsia="zh-CN"/>
        </w:rPr>
      </w:pPr>
      <w:r>
        <w:rPr>
          <w:rFonts w:ascii="宋体" w:hAnsi="宋体" w:hint="eastAsia"/>
          <w:lang w:eastAsia="zh-CN"/>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2586B115">
      <w:pPr>
        <w:spacing w:line="360" w:lineRule="auto"/>
        <w:rPr>
          <w:rFonts w:ascii="宋体" w:hAnsi="宋体"/>
          <w:lang w:eastAsia="zh-CN"/>
        </w:rPr>
      </w:pPr>
      <w:r>
        <w:rPr>
          <w:rFonts w:ascii="宋体" w:hAnsi="宋体" w:hint="eastAsia"/>
          <w:lang w:eastAsia="zh-CN"/>
        </w:rPr>
        <w:t>6.1.8 事故处理</w:t>
      </w:r>
    </w:p>
    <w:p w14:paraId="3FE1C61B">
      <w:pPr>
        <w:spacing w:line="360" w:lineRule="auto"/>
        <w:rPr>
          <w:rFonts w:ascii="宋体" w:hAnsi="宋体"/>
          <w:lang w:eastAsia="zh-CN"/>
        </w:rPr>
      </w:pPr>
      <w:r>
        <w:rPr>
          <w:rFonts w:ascii="宋体" w:hAnsi="宋体" w:hint="eastAsia"/>
          <w:lang w:eastAsia="zh-CN"/>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E0F1FD1">
      <w:pPr>
        <w:spacing w:line="360" w:lineRule="auto"/>
        <w:rPr>
          <w:rFonts w:ascii="宋体" w:hAnsi="宋体"/>
          <w:lang w:eastAsia="zh-CN"/>
        </w:rPr>
      </w:pPr>
      <w:r>
        <w:rPr>
          <w:rFonts w:ascii="宋体" w:hAnsi="宋体" w:hint="eastAsia"/>
          <w:lang w:eastAsia="zh-CN"/>
        </w:rPr>
        <w:t>6.1.9 安全生产责任</w:t>
      </w:r>
    </w:p>
    <w:p w14:paraId="23FBACF4">
      <w:pPr>
        <w:spacing w:line="360" w:lineRule="auto"/>
        <w:rPr>
          <w:rFonts w:ascii="宋体" w:hAnsi="宋体"/>
          <w:lang w:eastAsia="zh-CN"/>
        </w:rPr>
      </w:pPr>
      <w:r>
        <w:rPr>
          <w:rFonts w:ascii="宋体" w:hAnsi="宋体" w:hint="eastAsia"/>
          <w:lang w:eastAsia="zh-CN"/>
        </w:rPr>
        <w:t>6.1.9.1 发包人的安全责任</w:t>
      </w:r>
    </w:p>
    <w:p w14:paraId="39BB55F3">
      <w:pPr>
        <w:spacing w:line="360" w:lineRule="auto"/>
        <w:rPr>
          <w:rFonts w:ascii="宋体" w:hAnsi="宋体"/>
          <w:lang w:eastAsia="zh-CN"/>
        </w:rPr>
      </w:pPr>
      <w:r>
        <w:rPr>
          <w:rFonts w:ascii="宋体" w:hAnsi="宋体" w:hint="eastAsia"/>
          <w:lang w:eastAsia="zh-CN"/>
        </w:rPr>
        <w:t>发包人应负责赔偿以下各种情况造成的损失：</w:t>
      </w:r>
    </w:p>
    <w:p w14:paraId="7179AF3A">
      <w:pPr>
        <w:spacing w:line="360" w:lineRule="auto"/>
        <w:rPr>
          <w:rFonts w:ascii="宋体" w:hAnsi="宋体"/>
          <w:lang w:eastAsia="zh-CN"/>
        </w:rPr>
      </w:pPr>
      <w:r>
        <w:rPr>
          <w:rFonts w:ascii="宋体" w:hAnsi="宋体" w:hint="eastAsia"/>
          <w:lang w:eastAsia="zh-CN"/>
        </w:rPr>
        <w:t>（1）工程或工程的任何部分对土地的占用所造成的第三者财产损失；</w:t>
      </w:r>
    </w:p>
    <w:p w14:paraId="590B48D8">
      <w:pPr>
        <w:spacing w:line="360" w:lineRule="auto"/>
        <w:rPr>
          <w:rFonts w:ascii="宋体" w:hAnsi="宋体"/>
          <w:lang w:eastAsia="zh-CN"/>
        </w:rPr>
      </w:pPr>
      <w:r>
        <w:rPr>
          <w:rFonts w:ascii="宋体" w:hAnsi="宋体" w:hint="eastAsia"/>
          <w:lang w:eastAsia="zh-CN"/>
        </w:rPr>
        <w:t>（2）由于发包人原因在施工场地及其毗邻地带造成的第三者人身伤亡和财产损失；</w:t>
      </w:r>
    </w:p>
    <w:p w14:paraId="19D4A46B">
      <w:pPr>
        <w:spacing w:line="360" w:lineRule="auto"/>
        <w:rPr>
          <w:rFonts w:ascii="宋体" w:hAnsi="宋体"/>
          <w:lang w:eastAsia="zh-CN"/>
        </w:rPr>
      </w:pPr>
      <w:r>
        <w:rPr>
          <w:rFonts w:ascii="宋体" w:hAnsi="宋体" w:hint="eastAsia"/>
          <w:lang w:eastAsia="zh-CN"/>
        </w:rPr>
        <w:t>（3）由于发包人原因对承包人、监理人造成的人员人身伤亡和财产损失；</w:t>
      </w:r>
    </w:p>
    <w:p w14:paraId="2DD91DAF">
      <w:pPr>
        <w:spacing w:line="360" w:lineRule="auto"/>
        <w:rPr>
          <w:rFonts w:ascii="宋体" w:hAnsi="宋体"/>
          <w:lang w:eastAsia="zh-CN"/>
        </w:rPr>
      </w:pPr>
      <w:r>
        <w:rPr>
          <w:rFonts w:ascii="宋体" w:hAnsi="宋体" w:hint="eastAsia"/>
          <w:lang w:eastAsia="zh-CN"/>
        </w:rPr>
        <w:t>（4）由于发包人原因造成的发包人自身人员的人身伤害以及财产损失。</w:t>
      </w:r>
    </w:p>
    <w:p w14:paraId="49CFF6E7">
      <w:pPr>
        <w:spacing w:line="360" w:lineRule="auto"/>
        <w:rPr>
          <w:rFonts w:ascii="宋体" w:hAnsi="宋体"/>
          <w:lang w:eastAsia="zh-CN"/>
        </w:rPr>
      </w:pPr>
      <w:r>
        <w:rPr>
          <w:rFonts w:ascii="宋体" w:hAnsi="宋体" w:hint="eastAsia"/>
          <w:lang w:eastAsia="zh-CN"/>
        </w:rPr>
        <w:t>6.1.9.2 承包人的安全责任</w:t>
      </w:r>
    </w:p>
    <w:p w14:paraId="7F323E63">
      <w:pPr>
        <w:spacing w:line="360" w:lineRule="auto"/>
        <w:rPr>
          <w:rFonts w:ascii="宋体" w:hAnsi="宋体"/>
          <w:lang w:eastAsia="zh-CN"/>
        </w:rPr>
      </w:pPr>
      <w:r>
        <w:rPr>
          <w:rFonts w:ascii="宋体" w:hAnsi="宋体" w:hint="eastAsia"/>
          <w:lang w:eastAsia="zh-CN"/>
        </w:rPr>
        <w:t>由于承包人原因在施工场地内及其毗邻地带造成的发包人、监理人以及第三者人员伤亡和财产损失，由承包人负责赔偿。</w:t>
      </w:r>
    </w:p>
    <w:p w14:paraId="3D4E940D">
      <w:pPr>
        <w:spacing w:line="360" w:lineRule="auto"/>
        <w:rPr>
          <w:rFonts w:ascii="宋体" w:hAnsi="宋体"/>
          <w:bCs/>
          <w:lang w:eastAsia="zh-CN"/>
        </w:rPr>
      </w:pPr>
      <w:bookmarkStart w:id="245" w:name="_Toc351203540"/>
      <w:r>
        <w:rPr>
          <w:rFonts w:ascii="宋体" w:hAnsi="宋体" w:hint="eastAsia"/>
          <w:bCs/>
          <w:lang w:eastAsia="zh-CN"/>
        </w:rPr>
        <w:t>6</w:t>
      </w:r>
      <w:bookmarkStart w:id="246" w:name="_Toc337558765"/>
      <w:r>
        <w:rPr>
          <w:rFonts w:ascii="宋体" w:hAnsi="宋体" w:hint="eastAsia"/>
          <w:bCs/>
          <w:lang w:eastAsia="zh-CN"/>
        </w:rPr>
        <w:t>.2 职业健康</w:t>
      </w:r>
      <w:bookmarkEnd w:id="245"/>
    </w:p>
    <w:bookmarkEnd w:id="246"/>
    <w:p w14:paraId="5C86660B">
      <w:pPr>
        <w:spacing w:line="360" w:lineRule="auto"/>
        <w:rPr>
          <w:rFonts w:ascii="宋体" w:hAnsi="宋体"/>
          <w:lang w:eastAsia="zh-CN"/>
        </w:rPr>
      </w:pPr>
      <w:r>
        <w:rPr>
          <w:rFonts w:ascii="宋体" w:hAnsi="宋体" w:hint="eastAsia"/>
          <w:lang w:eastAsia="zh-CN"/>
        </w:rPr>
        <w:t>6.2.1 劳动保护</w:t>
      </w:r>
    </w:p>
    <w:p w14:paraId="39D41E57">
      <w:pPr>
        <w:spacing w:line="360" w:lineRule="auto"/>
        <w:rPr>
          <w:rFonts w:ascii="宋体" w:hAnsi="宋体"/>
          <w:lang w:eastAsia="zh-CN"/>
        </w:rPr>
      </w:pPr>
      <w:r>
        <w:rPr>
          <w:rFonts w:ascii="宋体" w:hAnsi="宋体" w:hint="eastAsia"/>
          <w:lang w:eastAsia="zh-CN"/>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AFB9A14">
      <w:pPr>
        <w:spacing w:line="360" w:lineRule="auto"/>
        <w:rPr>
          <w:rFonts w:ascii="宋体" w:hAnsi="宋体"/>
          <w:lang w:eastAsia="zh-CN"/>
        </w:rPr>
      </w:pPr>
      <w:r>
        <w:rPr>
          <w:rFonts w:ascii="宋体" w:hAnsi="宋体" w:hint="eastAsia"/>
          <w:lang w:eastAsia="zh-CN"/>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0DD0CD7D">
      <w:pPr>
        <w:spacing w:line="360" w:lineRule="auto"/>
        <w:rPr>
          <w:rFonts w:ascii="宋体" w:hAnsi="宋体"/>
          <w:lang w:eastAsia="zh-CN"/>
        </w:rPr>
      </w:pPr>
      <w:r>
        <w:rPr>
          <w:rFonts w:ascii="宋体" w:hAnsi="宋体" w:hint="eastAsia"/>
          <w:lang w:eastAsia="zh-CN"/>
        </w:rPr>
        <w:t>承包人应按法律规定安排工作时间，保证其雇佣人员享有休息和休假的权利。因工程施工的特殊需要占用休假日或延长工作时间的，应不超过法律规定的限度，并按法律规定给予补休或付酬。</w:t>
      </w:r>
    </w:p>
    <w:p w14:paraId="35D30292">
      <w:pPr>
        <w:spacing w:line="360" w:lineRule="auto"/>
        <w:rPr>
          <w:rFonts w:ascii="宋体" w:hAnsi="宋体"/>
          <w:lang w:eastAsia="zh-CN"/>
        </w:rPr>
      </w:pPr>
      <w:r>
        <w:rPr>
          <w:rFonts w:ascii="宋体" w:hAnsi="宋体" w:hint="eastAsia"/>
          <w:lang w:eastAsia="zh-CN"/>
        </w:rPr>
        <w:t>6.2.2 生活条件</w:t>
      </w:r>
    </w:p>
    <w:p w14:paraId="1CE30549">
      <w:pPr>
        <w:spacing w:line="360" w:lineRule="auto"/>
        <w:rPr>
          <w:rFonts w:ascii="宋体" w:hAnsi="宋体"/>
          <w:lang w:eastAsia="zh-CN"/>
        </w:rPr>
      </w:pPr>
      <w:r>
        <w:rPr>
          <w:rFonts w:ascii="宋体" w:hAnsi="宋体" w:hint="eastAsia"/>
          <w:lang w:eastAsia="zh-CN"/>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5A73FA90">
      <w:pPr>
        <w:spacing w:line="360" w:lineRule="auto"/>
        <w:rPr>
          <w:rFonts w:ascii="宋体" w:hAnsi="宋体"/>
          <w:bCs/>
          <w:lang w:eastAsia="zh-CN"/>
        </w:rPr>
      </w:pPr>
      <w:bookmarkStart w:id="247" w:name="_Toc351203541"/>
      <w:r>
        <w:rPr>
          <w:rFonts w:ascii="宋体" w:hAnsi="宋体" w:hint="eastAsia"/>
          <w:bCs/>
          <w:lang w:eastAsia="zh-CN"/>
        </w:rPr>
        <w:t>6</w:t>
      </w:r>
      <w:bookmarkStart w:id="248" w:name="_Toc337558766"/>
      <w:r>
        <w:rPr>
          <w:rFonts w:ascii="宋体" w:hAnsi="宋体" w:hint="eastAsia"/>
          <w:bCs/>
          <w:lang w:eastAsia="zh-CN"/>
        </w:rPr>
        <w:t>.3 环境保护</w:t>
      </w:r>
      <w:bookmarkEnd w:id="247"/>
    </w:p>
    <w:bookmarkEnd w:id="248"/>
    <w:p w14:paraId="726F6256">
      <w:pPr>
        <w:spacing w:line="360" w:lineRule="auto"/>
        <w:rPr>
          <w:rFonts w:ascii="宋体" w:hAnsi="宋体"/>
          <w:lang w:eastAsia="zh-CN"/>
        </w:rPr>
      </w:pPr>
      <w:r>
        <w:rPr>
          <w:rFonts w:ascii="宋体" w:hAnsi="宋体" w:hint="eastAsia"/>
          <w:lang w:eastAsia="zh-CN"/>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3500B661">
      <w:pPr>
        <w:spacing w:line="360" w:lineRule="auto"/>
        <w:rPr>
          <w:rFonts w:ascii="宋体" w:hAnsi="宋体"/>
          <w:lang w:eastAsia="zh-CN"/>
        </w:rPr>
      </w:pPr>
      <w:r>
        <w:rPr>
          <w:rFonts w:ascii="宋体" w:hAnsi="宋体" w:hint="eastAsia"/>
          <w:lang w:eastAsia="zh-CN"/>
        </w:rPr>
        <w:t>承包人应当承担因其原因引起的环境污染侵权损害赔偿责任，因上述环境污染引起纠纷而导致暂停施工的，由此增加的费用和（或）延误的工期由承包人承担。</w:t>
      </w:r>
    </w:p>
    <w:p w14:paraId="76692888">
      <w:pPr>
        <w:spacing w:line="360" w:lineRule="auto"/>
        <w:rPr>
          <w:rFonts w:ascii="宋体" w:hAnsi="宋体"/>
          <w:bCs/>
          <w:lang w:eastAsia="zh-CN"/>
        </w:rPr>
      </w:pPr>
      <w:bookmarkStart w:id="249" w:name="_Toc351203542"/>
      <w:r>
        <w:rPr>
          <w:rFonts w:ascii="宋体" w:hAnsi="宋体" w:hint="eastAsia"/>
          <w:bCs/>
          <w:lang w:eastAsia="zh-CN"/>
        </w:rPr>
        <w:t>7</w:t>
      </w:r>
      <w:bookmarkStart w:id="250" w:name="_Toc337558767"/>
      <w:r>
        <w:rPr>
          <w:rFonts w:ascii="宋体" w:hAnsi="宋体" w:hint="eastAsia"/>
          <w:bCs/>
          <w:lang w:eastAsia="zh-CN"/>
        </w:rPr>
        <w:t>. 工期和进度</w:t>
      </w:r>
      <w:bookmarkEnd w:id="249"/>
    </w:p>
    <w:bookmarkEnd w:id="250"/>
    <w:p w14:paraId="3FF94AA0">
      <w:pPr>
        <w:spacing w:line="360" w:lineRule="auto"/>
        <w:rPr>
          <w:rFonts w:ascii="宋体" w:hAnsi="宋体"/>
          <w:bCs/>
          <w:lang w:eastAsia="zh-CN"/>
        </w:rPr>
      </w:pPr>
      <w:bookmarkStart w:id="251" w:name="_Toc351203543"/>
      <w:r>
        <w:rPr>
          <w:rFonts w:ascii="宋体" w:hAnsi="宋体" w:hint="eastAsia"/>
          <w:bCs/>
          <w:lang w:eastAsia="zh-CN"/>
        </w:rPr>
        <w:t>7</w:t>
      </w:r>
      <w:bookmarkStart w:id="252" w:name="_Toc337558768"/>
      <w:bookmarkStart w:id="253" w:name="_Toc296503066"/>
      <w:bookmarkStart w:id="254" w:name="_Toc296346567"/>
      <w:r>
        <w:rPr>
          <w:rFonts w:ascii="宋体" w:hAnsi="宋体" w:hint="eastAsia"/>
          <w:bCs/>
          <w:lang w:eastAsia="zh-CN"/>
        </w:rPr>
        <w:t>.1施工组织设计</w:t>
      </w:r>
      <w:bookmarkEnd w:id="251"/>
    </w:p>
    <w:bookmarkEnd w:id="252"/>
    <w:p w14:paraId="196F9FFD">
      <w:pPr>
        <w:spacing w:line="360" w:lineRule="auto"/>
        <w:rPr>
          <w:rFonts w:ascii="宋体" w:hAnsi="宋体"/>
          <w:lang w:eastAsia="zh-CN"/>
        </w:rPr>
      </w:pPr>
      <w:r>
        <w:rPr>
          <w:rFonts w:ascii="宋体" w:hAnsi="宋体" w:hint="eastAsia"/>
          <w:lang w:eastAsia="zh-CN"/>
        </w:rPr>
        <w:t>7.1.1 施工组织设计的内容</w:t>
      </w:r>
    </w:p>
    <w:p w14:paraId="21D0C570">
      <w:pPr>
        <w:spacing w:line="360" w:lineRule="auto"/>
        <w:rPr>
          <w:rFonts w:ascii="宋体" w:hAnsi="宋体"/>
          <w:lang w:eastAsia="zh-CN"/>
        </w:rPr>
      </w:pPr>
      <w:r>
        <w:rPr>
          <w:rFonts w:ascii="宋体" w:hAnsi="宋体" w:hint="eastAsia"/>
          <w:lang w:eastAsia="zh-CN"/>
        </w:rPr>
        <w:t>施工组织设计应包含以下内容：</w:t>
      </w:r>
    </w:p>
    <w:p w14:paraId="3496C705">
      <w:pPr>
        <w:spacing w:line="360" w:lineRule="auto"/>
        <w:rPr>
          <w:rFonts w:ascii="宋体" w:hAnsi="宋体"/>
          <w:lang w:eastAsia="zh-CN"/>
        </w:rPr>
      </w:pPr>
      <w:r>
        <w:rPr>
          <w:rFonts w:ascii="宋体" w:hAnsi="宋体" w:hint="eastAsia"/>
          <w:lang w:eastAsia="zh-CN"/>
        </w:rPr>
        <w:t xml:space="preserve">（1）施工方案； </w:t>
      </w:r>
    </w:p>
    <w:p w14:paraId="741E92FB">
      <w:pPr>
        <w:spacing w:line="360" w:lineRule="auto"/>
        <w:rPr>
          <w:rFonts w:ascii="宋体" w:hAnsi="宋体"/>
          <w:lang w:eastAsia="zh-CN"/>
        </w:rPr>
      </w:pPr>
      <w:r>
        <w:rPr>
          <w:rFonts w:ascii="宋体" w:hAnsi="宋体" w:hint="eastAsia"/>
          <w:lang w:eastAsia="zh-CN"/>
        </w:rPr>
        <w:t>（2）施工现场平面布置图；</w:t>
      </w:r>
    </w:p>
    <w:p w14:paraId="5FF34583">
      <w:pPr>
        <w:spacing w:line="360" w:lineRule="auto"/>
        <w:rPr>
          <w:rFonts w:ascii="宋体" w:hAnsi="宋体"/>
          <w:lang w:eastAsia="zh-CN"/>
        </w:rPr>
      </w:pPr>
      <w:r>
        <w:rPr>
          <w:rFonts w:ascii="宋体" w:hAnsi="宋体" w:hint="eastAsia"/>
          <w:lang w:eastAsia="zh-CN"/>
        </w:rPr>
        <w:t xml:space="preserve">（3）施工进度计划和保证措施； </w:t>
      </w:r>
    </w:p>
    <w:p w14:paraId="38695767">
      <w:pPr>
        <w:spacing w:line="360" w:lineRule="auto"/>
        <w:rPr>
          <w:rFonts w:ascii="宋体" w:hAnsi="宋体"/>
          <w:lang w:eastAsia="zh-CN"/>
        </w:rPr>
      </w:pPr>
      <w:r>
        <w:rPr>
          <w:rFonts w:ascii="宋体" w:hAnsi="宋体" w:hint="eastAsia"/>
          <w:lang w:eastAsia="zh-CN"/>
        </w:rPr>
        <w:t>（4）劳动力及材料供应计划；</w:t>
      </w:r>
    </w:p>
    <w:p w14:paraId="6BB1534A">
      <w:pPr>
        <w:spacing w:line="360" w:lineRule="auto"/>
        <w:rPr>
          <w:rFonts w:ascii="宋体" w:hAnsi="宋体"/>
          <w:lang w:eastAsia="zh-CN"/>
        </w:rPr>
      </w:pPr>
      <w:r>
        <w:rPr>
          <w:rFonts w:ascii="宋体" w:hAnsi="宋体" w:hint="eastAsia"/>
          <w:lang w:eastAsia="zh-CN"/>
        </w:rPr>
        <w:t>（5）施工机械设备的选用；</w:t>
      </w:r>
    </w:p>
    <w:p w14:paraId="7AD8EB06">
      <w:pPr>
        <w:spacing w:line="360" w:lineRule="auto"/>
        <w:rPr>
          <w:rFonts w:ascii="宋体" w:hAnsi="宋体"/>
          <w:lang w:eastAsia="zh-CN"/>
        </w:rPr>
      </w:pPr>
      <w:r>
        <w:rPr>
          <w:rFonts w:ascii="宋体" w:hAnsi="宋体" w:hint="eastAsia"/>
          <w:lang w:eastAsia="zh-CN"/>
        </w:rPr>
        <w:t>（6）质量保证体系及措施；</w:t>
      </w:r>
    </w:p>
    <w:p w14:paraId="22DF5B76">
      <w:pPr>
        <w:spacing w:line="360" w:lineRule="auto"/>
        <w:rPr>
          <w:rFonts w:ascii="宋体" w:hAnsi="宋体"/>
          <w:lang w:eastAsia="zh-CN"/>
        </w:rPr>
      </w:pPr>
      <w:r>
        <w:rPr>
          <w:rFonts w:ascii="宋体" w:hAnsi="宋体" w:hint="eastAsia"/>
          <w:lang w:eastAsia="zh-CN"/>
        </w:rPr>
        <w:t>（7）安全生产、文明施工措施；</w:t>
      </w:r>
    </w:p>
    <w:p w14:paraId="7106518D">
      <w:pPr>
        <w:spacing w:line="360" w:lineRule="auto"/>
        <w:rPr>
          <w:rFonts w:ascii="宋体" w:hAnsi="宋体"/>
          <w:lang w:eastAsia="zh-CN"/>
        </w:rPr>
      </w:pPr>
      <w:r>
        <w:rPr>
          <w:rFonts w:ascii="宋体" w:hAnsi="宋体" w:hint="eastAsia"/>
          <w:lang w:eastAsia="zh-CN"/>
        </w:rPr>
        <w:t>（8）环境保护、成本控制措施；</w:t>
      </w:r>
    </w:p>
    <w:p w14:paraId="2BA28BD0">
      <w:pPr>
        <w:spacing w:line="360" w:lineRule="auto"/>
        <w:rPr>
          <w:rFonts w:ascii="宋体" w:hAnsi="宋体"/>
          <w:lang w:eastAsia="zh-CN"/>
        </w:rPr>
      </w:pPr>
      <w:r>
        <w:rPr>
          <w:rFonts w:ascii="宋体" w:hAnsi="宋体" w:hint="eastAsia"/>
          <w:lang w:eastAsia="zh-CN"/>
        </w:rPr>
        <w:t>（9）合同当事人约定的其他内容。</w:t>
      </w:r>
    </w:p>
    <w:p w14:paraId="7ADDBDE3">
      <w:pPr>
        <w:spacing w:line="360" w:lineRule="auto"/>
        <w:rPr>
          <w:rFonts w:ascii="宋体" w:hAnsi="宋体"/>
          <w:lang w:eastAsia="zh-CN"/>
        </w:rPr>
      </w:pPr>
      <w:r>
        <w:rPr>
          <w:rFonts w:ascii="宋体" w:hAnsi="宋体" w:hint="eastAsia"/>
          <w:lang w:eastAsia="zh-CN"/>
        </w:rPr>
        <w:t>7.1.2 施工组织设计的提交和修改</w:t>
      </w:r>
    </w:p>
    <w:p w14:paraId="0EEE904F">
      <w:pPr>
        <w:spacing w:line="360" w:lineRule="auto"/>
        <w:rPr>
          <w:rFonts w:ascii="宋体" w:hAnsi="宋体"/>
          <w:lang w:eastAsia="zh-CN"/>
        </w:rPr>
      </w:pPr>
      <w:r>
        <w:rPr>
          <w:rFonts w:ascii="宋体" w:hAnsi="宋体" w:hint="eastAsia"/>
          <w:lang w:eastAsia="zh-CN"/>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0D3B9624">
      <w:pPr>
        <w:spacing w:line="360" w:lineRule="auto"/>
        <w:rPr>
          <w:rFonts w:ascii="宋体" w:hAnsi="宋体"/>
          <w:lang w:eastAsia="zh-CN"/>
        </w:rPr>
      </w:pPr>
      <w:r>
        <w:rPr>
          <w:rFonts w:ascii="宋体" w:hAnsi="宋体" w:hint="eastAsia"/>
          <w:lang w:eastAsia="zh-CN"/>
        </w:rPr>
        <w:t>施工进度计划的编制和修改按照第7.2款〔施工进度计划〕执行。</w:t>
      </w:r>
    </w:p>
    <w:p w14:paraId="60BE7583">
      <w:pPr>
        <w:spacing w:line="360" w:lineRule="auto"/>
        <w:rPr>
          <w:rFonts w:ascii="宋体" w:hAnsi="宋体"/>
          <w:bCs/>
          <w:lang w:eastAsia="zh-CN"/>
        </w:rPr>
      </w:pPr>
      <w:bookmarkStart w:id="255" w:name="_Toc351203544"/>
      <w:r>
        <w:rPr>
          <w:rFonts w:ascii="宋体" w:hAnsi="宋体" w:hint="eastAsia"/>
          <w:bCs/>
          <w:lang w:eastAsia="zh-CN"/>
        </w:rPr>
        <w:t>7</w:t>
      </w:r>
      <w:bookmarkStart w:id="256" w:name="_Toc337558769"/>
      <w:r>
        <w:rPr>
          <w:rFonts w:ascii="宋体" w:hAnsi="宋体" w:hint="eastAsia"/>
          <w:bCs/>
          <w:lang w:eastAsia="zh-CN"/>
        </w:rPr>
        <w:t>.2 施工进度计划</w:t>
      </w:r>
      <w:bookmarkEnd w:id="255"/>
    </w:p>
    <w:bookmarkEnd w:id="256"/>
    <w:p w14:paraId="40CB042E">
      <w:pPr>
        <w:spacing w:line="360" w:lineRule="auto"/>
        <w:rPr>
          <w:rFonts w:ascii="宋体" w:hAnsi="宋体"/>
          <w:lang w:eastAsia="zh-CN"/>
        </w:rPr>
      </w:pPr>
      <w:r>
        <w:rPr>
          <w:rFonts w:ascii="宋体" w:hAnsi="宋体" w:hint="eastAsia"/>
          <w:lang w:eastAsia="zh-CN"/>
        </w:rPr>
        <w:t>7.2.1 施工进度计划的编制</w:t>
      </w:r>
    </w:p>
    <w:p w14:paraId="21E89B72">
      <w:pPr>
        <w:spacing w:line="360" w:lineRule="auto"/>
        <w:rPr>
          <w:rFonts w:ascii="宋体" w:hAnsi="宋体"/>
          <w:lang w:eastAsia="zh-CN"/>
        </w:rPr>
      </w:pPr>
      <w:r>
        <w:rPr>
          <w:rFonts w:ascii="宋体" w:hAnsi="宋体" w:hint="eastAsia"/>
          <w:lang w:eastAsia="zh-CN"/>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7AC310C9">
      <w:pPr>
        <w:spacing w:line="360" w:lineRule="auto"/>
        <w:rPr>
          <w:rFonts w:ascii="宋体" w:hAnsi="宋体"/>
          <w:lang w:eastAsia="zh-CN"/>
        </w:rPr>
      </w:pPr>
      <w:r>
        <w:rPr>
          <w:rFonts w:ascii="宋体" w:hAnsi="宋体" w:hint="eastAsia"/>
          <w:lang w:eastAsia="zh-CN"/>
        </w:rPr>
        <w:t>7.2.2 施工进度计划的修订</w:t>
      </w:r>
    </w:p>
    <w:p w14:paraId="0AEF975B">
      <w:pPr>
        <w:spacing w:line="360" w:lineRule="auto"/>
        <w:rPr>
          <w:rFonts w:ascii="宋体" w:hAnsi="宋体"/>
          <w:lang w:eastAsia="zh-CN"/>
        </w:rPr>
      </w:pPr>
      <w:r>
        <w:rPr>
          <w:rFonts w:ascii="宋体" w:hAnsi="宋体" w:hint="eastAsia"/>
          <w:lang w:eastAsia="zh-CN"/>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642D5A38">
      <w:pPr>
        <w:spacing w:line="360" w:lineRule="auto"/>
        <w:rPr>
          <w:rFonts w:ascii="宋体" w:hAnsi="宋体"/>
          <w:bCs/>
          <w:lang w:eastAsia="zh-CN"/>
        </w:rPr>
      </w:pPr>
      <w:bookmarkStart w:id="257" w:name="_Toc351203545"/>
      <w:r>
        <w:rPr>
          <w:rFonts w:ascii="宋体" w:hAnsi="宋体" w:hint="eastAsia"/>
          <w:bCs/>
          <w:lang w:eastAsia="zh-CN"/>
        </w:rPr>
        <w:t>7</w:t>
      </w:r>
      <w:bookmarkStart w:id="258" w:name="_Toc337558770"/>
      <w:r>
        <w:rPr>
          <w:rFonts w:ascii="宋体" w:hAnsi="宋体" w:hint="eastAsia"/>
          <w:bCs/>
          <w:lang w:eastAsia="zh-CN"/>
        </w:rPr>
        <w:t>.3 开工</w:t>
      </w:r>
      <w:bookmarkEnd w:id="257"/>
    </w:p>
    <w:p w14:paraId="27B79B1A">
      <w:pPr>
        <w:spacing w:line="360" w:lineRule="auto"/>
        <w:rPr>
          <w:rFonts w:ascii="宋体" w:hAnsi="宋体"/>
          <w:lang w:eastAsia="zh-CN"/>
        </w:rPr>
      </w:pPr>
      <w:r>
        <w:rPr>
          <w:rFonts w:ascii="宋体" w:hAnsi="宋体" w:hint="eastAsia"/>
          <w:lang w:eastAsia="zh-CN"/>
        </w:rPr>
        <w:t>7.3.1 开工准备</w:t>
      </w:r>
    </w:p>
    <w:p w14:paraId="178616E7">
      <w:pPr>
        <w:spacing w:line="360" w:lineRule="auto"/>
        <w:rPr>
          <w:rFonts w:ascii="宋体" w:hAnsi="宋体"/>
          <w:lang w:eastAsia="zh-CN"/>
        </w:rPr>
      </w:pPr>
      <w:r>
        <w:rPr>
          <w:rFonts w:ascii="宋体" w:hAnsi="宋体" w:hint="eastAsia"/>
          <w:lang w:eastAsia="zh-CN"/>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7CD8DB9D">
      <w:pPr>
        <w:spacing w:line="360" w:lineRule="auto"/>
        <w:rPr>
          <w:rFonts w:ascii="宋体" w:hAnsi="宋体"/>
          <w:lang w:eastAsia="zh-CN"/>
        </w:rPr>
      </w:pPr>
      <w:r>
        <w:rPr>
          <w:rFonts w:ascii="宋体" w:hAnsi="宋体" w:hint="eastAsia"/>
          <w:lang w:eastAsia="zh-CN"/>
        </w:rPr>
        <w:t>除专用合同条款另有约定外，合同当事人应按约定完成开工准备工作。</w:t>
      </w:r>
    </w:p>
    <w:p w14:paraId="277E8BB2">
      <w:pPr>
        <w:spacing w:line="360" w:lineRule="auto"/>
        <w:rPr>
          <w:rFonts w:ascii="宋体" w:hAnsi="宋体"/>
          <w:lang w:eastAsia="zh-CN"/>
        </w:rPr>
      </w:pPr>
      <w:r>
        <w:rPr>
          <w:rFonts w:ascii="宋体" w:hAnsi="宋体" w:hint="eastAsia"/>
          <w:lang w:eastAsia="zh-CN"/>
        </w:rPr>
        <w:t>7.3.2 开工通知</w:t>
      </w:r>
    </w:p>
    <w:bookmarkEnd w:id="258"/>
    <w:p w14:paraId="1FE2525C">
      <w:pPr>
        <w:spacing w:line="360" w:lineRule="auto"/>
        <w:rPr>
          <w:rFonts w:ascii="宋体" w:hAnsi="宋体"/>
          <w:lang w:eastAsia="zh-CN"/>
        </w:rPr>
      </w:pPr>
      <w:r>
        <w:rPr>
          <w:rFonts w:ascii="宋体" w:hAnsi="宋体" w:hint="eastAsia"/>
          <w:lang w:eastAsia="zh-CN"/>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4E6B200B">
      <w:pPr>
        <w:spacing w:line="360" w:lineRule="auto"/>
        <w:rPr>
          <w:rFonts w:ascii="宋体" w:hAnsi="宋体"/>
          <w:lang w:eastAsia="zh-CN"/>
        </w:rPr>
      </w:pPr>
      <w:r>
        <w:rPr>
          <w:rFonts w:ascii="宋体" w:hAnsi="宋体" w:hint="eastAsia"/>
          <w:lang w:eastAsia="zh-CN"/>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3FBD3E42">
      <w:pPr>
        <w:spacing w:line="360" w:lineRule="auto"/>
        <w:rPr>
          <w:rFonts w:ascii="宋体" w:hAnsi="宋体"/>
          <w:bCs/>
          <w:lang w:eastAsia="zh-CN"/>
        </w:rPr>
      </w:pPr>
      <w:bookmarkStart w:id="259" w:name="_Toc351203546"/>
      <w:r>
        <w:rPr>
          <w:rFonts w:ascii="宋体" w:hAnsi="宋体" w:hint="eastAsia"/>
          <w:bCs/>
          <w:lang w:eastAsia="zh-CN"/>
        </w:rPr>
        <w:t>7.4测量放线</w:t>
      </w:r>
      <w:bookmarkEnd w:id="259"/>
    </w:p>
    <w:p w14:paraId="2CA8EB42">
      <w:pPr>
        <w:spacing w:line="360" w:lineRule="auto"/>
        <w:rPr>
          <w:rFonts w:ascii="宋体" w:hAnsi="宋体"/>
          <w:lang w:eastAsia="zh-CN"/>
        </w:rPr>
      </w:pPr>
      <w:r>
        <w:rPr>
          <w:rFonts w:ascii="宋体" w:hAnsi="宋体" w:hint="eastAsia"/>
          <w:lang w:eastAsia="zh-CN"/>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4231F844">
      <w:pPr>
        <w:spacing w:line="360" w:lineRule="auto"/>
        <w:rPr>
          <w:rFonts w:ascii="宋体" w:hAnsi="宋体"/>
          <w:lang w:eastAsia="zh-CN"/>
        </w:rPr>
      </w:pPr>
      <w:r>
        <w:rPr>
          <w:rFonts w:ascii="宋体" w:hAnsi="宋体" w:hint="eastAsia"/>
          <w:lang w:eastAsia="zh-CN"/>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7446CEE1">
      <w:pPr>
        <w:spacing w:line="360" w:lineRule="auto"/>
        <w:rPr>
          <w:rFonts w:ascii="宋体" w:hAnsi="宋体"/>
          <w:lang w:eastAsia="zh-CN"/>
        </w:rPr>
      </w:pPr>
      <w:r>
        <w:rPr>
          <w:rFonts w:ascii="宋体" w:hAnsi="宋体" w:hint="eastAsia"/>
          <w:lang w:eastAsia="zh-CN"/>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38A4269B">
      <w:pPr>
        <w:spacing w:line="360" w:lineRule="auto"/>
        <w:rPr>
          <w:rFonts w:ascii="宋体" w:hAnsi="宋体"/>
          <w:lang w:eastAsia="zh-CN"/>
        </w:rPr>
      </w:pPr>
      <w:r>
        <w:rPr>
          <w:rFonts w:ascii="宋体" w:hAnsi="宋体" w:hint="eastAsia"/>
          <w:lang w:eastAsia="zh-CN"/>
        </w:rPr>
        <w:t>施工过程中对施工现场内水准点等测量标志物的保护工作由承包人负责。</w:t>
      </w:r>
      <w:bookmarkStart w:id="260" w:name="_Toc351203547"/>
    </w:p>
    <w:p w14:paraId="506900DA">
      <w:pPr>
        <w:spacing w:line="360" w:lineRule="auto"/>
        <w:rPr>
          <w:rFonts w:ascii="宋体" w:hAnsi="宋体"/>
          <w:bCs/>
          <w:lang w:eastAsia="zh-CN"/>
        </w:rPr>
      </w:pPr>
      <w:r>
        <w:rPr>
          <w:rFonts w:ascii="宋体" w:hAnsi="宋体" w:hint="eastAsia"/>
          <w:bCs/>
          <w:lang w:eastAsia="zh-CN"/>
        </w:rPr>
        <w:t>7</w:t>
      </w:r>
      <w:bookmarkEnd w:id="253"/>
      <w:bookmarkEnd w:id="254"/>
      <w:bookmarkStart w:id="261" w:name="_Toc296503073"/>
      <w:bookmarkStart w:id="262" w:name="_Toc337558772"/>
      <w:bookmarkStart w:id="263" w:name="_Toc296346574"/>
      <w:r>
        <w:rPr>
          <w:rFonts w:ascii="宋体" w:hAnsi="宋体" w:hint="eastAsia"/>
          <w:bCs/>
          <w:lang w:eastAsia="zh-CN"/>
        </w:rPr>
        <w:t>.5 工期延误</w:t>
      </w:r>
      <w:bookmarkEnd w:id="260"/>
    </w:p>
    <w:bookmarkEnd w:id="261"/>
    <w:bookmarkEnd w:id="262"/>
    <w:bookmarkEnd w:id="263"/>
    <w:p w14:paraId="0D0FB4A3">
      <w:pPr>
        <w:spacing w:line="360" w:lineRule="auto"/>
        <w:rPr>
          <w:rFonts w:ascii="宋体" w:hAnsi="宋体"/>
          <w:lang w:eastAsia="zh-CN"/>
        </w:rPr>
      </w:pPr>
      <w:r>
        <w:rPr>
          <w:rFonts w:ascii="宋体" w:hAnsi="宋体" w:hint="eastAsia"/>
          <w:lang w:eastAsia="zh-CN"/>
        </w:rPr>
        <w:t>7.5.1 因发包人原因导致工期延误</w:t>
      </w:r>
    </w:p>
    <w:p w14:paraId="4403D993">
      <w:pPr>
        <w:spacing w:line="360" w:lineRule="auto"/>
        <w:rPr>
          <w:rFonts w:ascii="宋体" w:hAnsi="宋体"/>
          <w:lang w:eastAsia="zh-CN"/>
        </w:rPr>
      </w:pPr>
      <w:r>
        <w:rPr>
          <w:rFonts w:ascii="宋体" w:hAnsi="宋体" w:hint="eastAsia"/>
          <w:lang w:eastAsia="zh-CN"/>
        </w:rPr>
        <w:t xml:space="preserve">在合同履行过程中，因下列情况导致工期延误和（或）费用增加的，由发包人承担由此延误的工期和（或）增加的费用，且发包人应支付承包人合理的利润： </w:t>
      </w:r>
    </w:p>
    <w:p w14:paraId="4C4C8BE2">
      <w:pPr>
        <w:spacing w:line="360" w:lineRule="auto"/>
        <w:rPr>
          <w:rFonts w:ascii="宋体" w:hAnsi="宋体"/>
          <w:lang w:eastAsia="zh-CN"/>
        </w:rPr>
      </w:pPr>
      <w:r>
        <w:rPr>
          <w:rFonts w:ascii="宋体" w:hAnsi="宋体" w:hint="eastAsia"/>
          <w:lang w:eastAsia="zh-CN"/>
        </w:rPr>
        <w:t>（1）发包人未能按合同约定提供图纸或所提供图纸不符合合同约定的；</w:t>
      </w:r>
    </w:p>
    <w:p w14:paraId="31FFF4E2">
      <w:pPr>
        <w:spacing w:line="360" w:lineRule="auto"/>
        <w:rPr>
          <w:rFonts w:ascii="宋体" w:hAnsi="宋体"/>
          <w:lang w:eastAsia="zh-CN"/>
        </w:rPr>
      </w:pPr>
      <w:r>
        <w:rPr>
          <w:rFonts w:ascii="宋体" w:hAnsi="宋体" w:hint="eastAsia"/>
          <w:lang w:eastAsia="zh-CN"/>
        </w:rPr>
        <w:t>（2）发包人未能按合同约定提供施工现场、施工条件、基础资料、许可、批准等开工条件的；</w:t>
      </w:r>
    </w:p>
    <w:p w14:paraId="58388009">
      <w:pPr>
        <w:spacing w:line="360" w:lineRule="auto"/>
        <w:rPr>
          <w:rFonts w:ascii="宋体" w:hAnsi="宋体"/>
          <w:lang w:eastAsia="zh-CN"/>
        </w:rPr>
      </w:pPr>
      <w:r>
        <w:rPr>
          <w:rFonts w:ascii="宋体" w:hAnsi="宋体" w:hint="eastAsia"/>
          <w:lang w:eastAsia="zh-CN"/>
        </w:rPr>
        <w:t>（3）发包人提供的测量基准点、基准线和水准点及其书面资料存在错误或疏漏的；</w:t>
      </w:r>
    </w:p>
    <w:p w14:paraId="3A9EEC6C">
      <w:pPr>
        <w:spacing w:line="360" w:lineRule="auto"/>
        <w:rPr>
          <w:rFonts w:ascii="宋体" w:hAnsi="宋体"/>
          <w:lang w:eastAsia="zh-CN"/>
        </w:rPr>
      </w:pPr>
      <w:r>
        <w:rPr>
          <w:rFonts w:ascii="宋体" w:hAnsi="宋体" w:hint="eastAsia"/>
          <w:lang w:eastAsia="zh-CN"/>
        </w:rPr>
        <w:t>（4）发包人未能在计划开工日期之日起7天内同意下达开工通知的；</w:t>
      </w:r>
    </w:p>
    <w:p w14:paraId="34BE51DC">
      <w:pPr>
        <w:spacing w:line="360" w:lineRule="auto"/>
        <w:rPr>
          <w:rFonts w:ascii="宋体" w:hAnsi="宋体"/>
          <w:lang w:eastAsia="zh-CN"/>
        </w:rPr>
      </w:pPr>
      <w:r>
        <w:rPr>
          <w:rFonts w:ascii="宋体" w:hAnsi="宋体" w:hint="eastAsia"/>
          <w:lang w:eastAsia="zh-CN"/>
        </w:rPr>
        <w:t>（5）发包人未能按合同约定日期支付工程预付款、进度款或竣工结算款的；</w:t>
      </w:r>
    </w:p>
    <w:p w14:paraId="2751D5D8">
      <w:pPr>
        <w:spacing w:line="360" w:lineRule="auto"/>
        <w:rPr>
          <w:rFonts w:ascii="宋体" w:hAnsi="宋体"/>
          <w:lang w:eastAsia="zh-CN"/>
        </w:rPr>
      </w:pPr>
      <w:r>
        <w:rPr>
          <w:rFonts w:ascii="宋体" w:hAnsi="宋体" w:hint="eastAsia"/>
          <w:lang w:eastAsia="zh-CN"/>
        </w:rPr>
        <w:t>（6）监理人未按合同约定发出指示、批准等文件的；</w:t>
      </w:r>
    </w:p>
    <w:p w14:paraId="28C5775A">
      <w:pPr>
        <w:spacing w:line="360" w:lineRule="auto"/>
        <w:rPr>
          <w:rFonts w:ascii="宋体" w:hAnsi="宋体"/>
          <w:lang w:eastAsia="zh-CN"/>
        </w:rPr>
      </w:pPr>
      <w:r>
        <w:rPr>
          <w:rFonts w:ascii="宋体" w:hAnsi="宋体" w:hint="eastAsia"/>
          <w:lang w:eastAsia="zh-CN"/>
        </w:rPr>
        <w:t>（7）专用合同条款中约定的其他情形。</w:t>
      </w:r>
    </w:p>
    <w:p w14:paraId="198D20EA">
      <w:pPr>
        <w:spacing w:line="360" w:lineRule="auto"/>
        <w:rPr>
          <w:rFonts w:ascii="宋体" w:hAnsi="宋体"/>
          <w:lang w:eastAsia="zh-CN"/>
        </w:rPr>
      </w:pPr>
      <w:r>
        <w:rPr>
          <w:rFonts w:ascii="宋体" w:hAnsi="宋体" w:hint="eastAsia"/>
          <w:lang w:eastAsia="zh-CN"/>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6DC636AF">
      <w:pPr>
        <w:spacing w:line="360" w:lineRule="auto"/>
        <w:rPr>
          <w:rFonts w:ascii="宋体" w:hAnsi="宋体"/>
          <w:lang w:eastAsia="zh-CN"/>
        </w:rPr>
      </w:pPr>
      <w:r>
        <w:rPr>
          <w:rFonts w:ascii="宋体" w:hAnsi="宋体" w:hint="eastAsia"/>
          <w:lang w:eastAsia="zh-CN"/>
        </w:rPr>
        <w:t>7.5.2 因承包人原因导致工期延误</w:t>
      </w:r>
    </w:p>
    <w:p w14:paraId="4A673A13">
      <w:pPr>
        <w:spacing w:line="360" w:lineRule="auto"/>
        <w:rPr>
          <w:rFonts w:ascii="宋体" w:hAnsi="宋体"/>
          <w:lang w:eastAsia="zh-CN"/>
        </w:rPr>
      </w:pPr>
      <w:bookmarkStart w:id="264" w:name="_Toc296346577"/>
      <w:bookmarkStart w:id="265" w:name="_Toc296503076"/>
      <w:r>
        <w:rPr>
          <w:rFonts w:ascii="宋体" w:hAnsi="宋体" w:hint="eastAsia"/>
          <w:lang w:eastAsia="zh-CN"/>
        </w:rPr>
        <w:t>因</w:t>
      </w:r>
      <w:bookmarkEnd w:id="264"/>
      <w:bookmarkEnd w:id="265"/>
      <w:r>
        <w:rPr>
          <w:rFonts w:ascii="宋体" w:hAnsi="宋体" w:hint="eastAsia"/>
          <w:lang w:eastAsia="zh-CN"/>
        </w:rPr>
        <w:t>承包人原因造成工期延误的，可以在专用合同条款中约定逾期竣工违约金的计算方法和逾期竣工违约金的上限。承包人支付逾期竣工违约金后，不免除承包人继续完成工程及修补缺陷的义务。</w:t>
      </w:r>
    </w:p>
    <w:p w14:paraId="1750A23D">
      <w:pPr>
        <w:spacing w:line="360" w:lineRule="auto"/>
        <w:rPr>
          <w:rFonts w:ascii="宋体" w:hAnsi="宋体"/>
          <w:bCs/>
          <w:lang w:eastAsia="zh-CN"/>
        </w:rPr>
      </w:pPr>
      <w:bookmarkStart w:id="266" w:name="_Toc351203548"/>
      <w:r>
        <w:rPr>
          <w:rFonts w:ascii="宋体" w:hAnsi="宋体" w:hint="eastAsia"/>
          <w:bCs/>
          <w:lang w:eastAsia="zh-CN"/>
        </w:rPr>
        <w:t>7</w:t>
      </w:r>
      <w:bookmarkStart w:id="267" w:name="_Toc296346575"/>
      <w:bookmarkStart w:id="268" w:name="_Toc296503074"/>
      <w:bookmarkStart w:id="269" w:name="_Toc337558773"/>
      <w:bookmarkStart w:id="270" w:name="_Toc296503077"/>
      <w:bookmarkStart w:id="271" w:name="_Toc296346578"/>
      <w:r>
        <w:rPr>
          <w:rFonts w:ascii="宋体" w:hAnsi="宋体" w:hint="eastAsia"/>
          <w:bCs/>
          <w:lang w:eastAsia="zh-CN"/>
        </w:rPr>
        <w:t>.6 不利物质条件</w:t>
      </w:r>
      <w:bookmarkEnd w:id="266"/>
    </w:p>
    <w:bookmarkEnd w:id="267"/>
    <w:bookmarkEnd w:id="268"/>
    <w:bookmarkEnd w:id="269"/>
    <w:p w14:paraId="5D659A88">
      <w:pPr>
        <w:spacing w:line="360" w:lineRule="auto"/>
        <w:rPr>
          <w:rFonts w:ascii="宋体" w:hAnsi="宋体"/>
          <w:lang w:eastAsia="zh-CN"/>
        </w:rPr>
      </w:pPr>
      <w:r>
        <w:rPr>
          <w:rFonts w:ascii="宋体" w:hAnsi="宋体" w:hint="eastAsia"/>
          <w:lang w:eastAsia="zh-CN"/>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27686F25">
      <w:pPr>
        <w:spacing w:line="360" w:lineRule="auto"/>
        <w:rPr>
          <w:rFonts w:ascii="宋体" w:hAnsi="宋体"/>
          <w:lang w:eastAsia="zh-CN"/>
        </w:rPr>
      </w:pPr>
      <w:r>
        <w:rPr>
          <w:rFonts w:ascii="宋体" w:hAnsi="宋体" w:hint="eastAsia"/>
          <w:lang w:eastAsia="zh-CN"/>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47059BE8">
      <w:pPr>
        <w:spacing w:line="360" w:lineRule="auto"/>
        <w:rPr>
          <w:rFonts w:ascii="宋体" w:hAnsi="宋体"/>
          <w:bCs/>
          <w:lang w:eastAsia="zh-CN"/>
        </w:rPr>
      </w:pPr>
      <w:bookmarkStart w:id="272" w:name="_Toc351203549"/>
      <w:r>
        <w:rPr>
          <w:rFonts w:ascii="宋体" w:hAnsi="宋体" w:hint="eastAsia"/>
          <w:bCs/>
          <w:lang w:eastAsia="zh-CN"/>
        </w:rPr>
        <w:t>7</w:t>
      </w:r>
      <w:bookmarkStart w:id="273" w:name="_Toc337558774"/>
      <w:bookmarkStart w:id="274" w:name="_Toc296503075"/>
      <w:bookmarkStart w:id="275" w:name="_Toc296346576"/>
      <w:r>
        <w:rPr>
          <w:rFonts w:ascii="宋体" w:hAnsi="宋体" w:hint="eastAsia"/>
          <w:bCs/>
          <w:lang w:eastAsia="zh-CN"/>
        </w:rPr>
        <w:t>.7 异常恶劣的气候条件</w:t>
      </w:r>
      <w:bookmarkEnd w:id="272"/>
    </w:p>
    <w:bookmarkEnd w:id="273"/>
    <w:bookmarkEnd w:id="274"/>
    <w:bookmarkEnd w:id="275"/>
    <w:p w14:paraId="40A486EA">
      <w:pPr>
        <w:spacing w:line="360" w:lineRule="auto"/>
        <w:rPr>
          <w:rFonts w:ascii="宋体" w:hAnsi="宋体"/>
          <w:lang w:eastAsia="zh-CN"/>
        </w:rPr>
      </w:pPr>
      <w:r>
        <w:rPr>
          <w:rFonts w:ascii="宋体" w:hAnsi="宋体" w:hint="eastAsia"/>
          <w:lang w:eastAsia="zh-CN"/>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6E39C309">
      <w:pPr>
        <w:spacing w:line="360" w:lineRule="auto"/>
        <w:rPr>
          <w:rFonts w:ascii="宋体" w:hAnsi="宋体"/>
          <w:lang w:eastAsia="zh-CN"/>
        </w:rPr>
      </w:pPr>
      <w:r>
        <w:rPr>
          <w:rFonts w:ascii="宋体" w:hAnsi="宋体" w:hint="eastAsia"/>
          <w:lang w:eastAsia="zh-CN"/>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76" w:name="_Toc351203550"/>
    </w:p>
    <w:p w14:paraId="761F9D96">
      <w:pPr>
        <w:spacing w:line="360" w:lineRule="auto"/>
        <w:rPr>
          <w:rFonts w:ascii="宋体" w:hAnsi="宋体"/>
          <w:bCs/>
          <w:lang w:eastAsia="zh-CN"/>
        </w:rPr>
      </w:pPr>
      <w:r>
        <w:rPr>
          <w:rFonts w:ascii="宋体" w:hAnsi="宋体" w:hint="eastAsia"/>
          <w:bCs/>
          <w:lang w:eastAsia="zh-CN"/>
        </w:rPr>
        <w:t>7</w:t>
      </w:r>
      <w:bookmarkStart w:id="277" w:name="_Toc337558775"/>
      <w:r>
        <w:rPr>
          <w:rFonts w:ascii="宋体" w:hAnsi="宋体" w:hint="eastAsia"/>
          <w:bCs/>
          <w:lang w:eastAsia="zh-CN"/>
        </w:rPr>
        <w:t>.8 暂停施工</w:t>
      </w:r>
      <w:bookmarkEnd w:id="276"/>
    </w:p>
    <w:bookmarkEnd w:id="270"/>
    <w:bookmarkEnd w:id="271"/>
    <w:bookmarkEnd w:id="277"/>
    <w:p w14:paraId="4F5E6629">
      <w:pPr>
        <w:spacing w:line="360" w:lineRule="auto"/>
        <w:rPr>
          <w:rFonts w:ascii="宋体" w:hAnsi="宋体"/>
          <w:lang w:eastAsia="zh-CN"/>
        </w:rPr>
      </w:pPr>
      <w:r>
        <w:rPr>
          <w:rFonts w:ascii="宋体" w:hAnsi="宋体" w:hint="eastAsia"/>
          <w:lang w:eastAsia="zh-CN"/>
        </w:rPr>
        <w:t>7.8.1发包人原因引起的暂停施工</w:t>
      </w:r>
    </w:p>
    <w:p w14:paraId="2171EEA9">
      <w:pPr>
        <w:spacing w:line="360" w:lineRule="auto"/>
        <w:rPr>
          <w:rFonts w:ascii="宋体" w:hAnsi="宋体"/>
          <w:lang w:eastAsia="zh-CN"/>
        </w:rPr>
      </w:pPr>
      <w:r>
        <w:rPr>
          <w:rFonts w:ascii="宋体" w:hAnsi="宋体" w:hint="eastAsia"/>
          <w:lang w:eastAsia="zh-CN"/>
        </w:rPr>
        <w:t>因发包人原因引起暂停施工的，监理人经发包人同意后，应及时下达暂停施工指示。情况紧急且监理人未及时下达暂停施工指示的，按照第7.8.4项〔紧急情况下的暂停施工〕执行。</w:t>
      </w:r>
    </w:p>
    <w:p w14:paraId="46B82685">
      <w:pPr>
        <w:spacing w:line="360" w:lineRule="auto"/>
        <w:rPr>
          <w:rFonts w:ascii="宋体" w:hAnsi="宋体"/>
          <w:lang w:eastAsia="zh-CN"/>
        </w:rPr>
      </w:pPr>
      <w:r>
        <w:rPr>
          <w:rFonts w:ascii="宋体" w:hAnsi="宋体" w:hint="eastAsia"/>
          <w:lang w:eastAsia="zh-CN"/>
        </w:rPr>
        <w:t>因发包人原因引起的暂停施工，发包人应承担由此增加的费用和（或）延误的工期，并支付承包人合理的利润。</w:t>
      </w:r>
    </w:p>
    <w:p w14:paraId="285DEDC1">
      <w:pPr>
        <w:spacing w:line="360" w:lineRule="auto"/>
        <w:rPr>
          <w:rFonts w:ascii="宋体" w:hAnsi="宋体"/>
          <w:lang w:eastAsia="zh-CN"/>
        </w:rPr>
      </w:pPr>
      <w:r>
        <w:rPr>
          <w:rFonts w:ascii="宋体" w:hAnsi="宋体" w:hint="eastAsia"/>
          <w:lang w:eastAsia="zh-CN"/>
        </w:rPr>
        <w:t>7.8.2 承包人原因引起的暂停施工</w:t>
      </w:r>
    </w:p>
    <w:p w14:paraId="7C35012B">
      <w:pPr>
        <w:spacing w:line="360" w:lineRule="auto"/>
        <w:rPr>
          <w:rFonts w:ascii="宋体" w:hAnsi="宋体"/>
          <w:lang w:eastAsia="zh-CN"/>
        </w:rPr>
      </w:pPr>
      <w:r>
        <w:rPr>
          <w:rFonts w:ascii="宋体" w:hAnsi="宋体" w:hint="eastAsia"/>
          <w:lang w:eastAsia="zh-CN"/>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6AEDEFBD">
      <w:pPr>
        <w:spacing w:line="360" w:lineRule="auto"/>
        <w:rPr>
          <w:rFonts w:ascii="宋体" w:hAnsi="宋体"/>
          <w:lang w:eastAsia="zh-CN"/>
        </w:rPr>
      </w:pPr>
      <w:r>
        <w:rPr>
          <w:rFonts w:ascii="宋体" w:hAnsi="宋体" w:hint="eastAsia"/>
          <w:lang w:eastAsia="zh-CN"/>
        </w:rPr>
        <w:t>7.8.3 指示暂停施工</w:t>
      </w:r>
    </w:p>
    <w:p w14:paraId="4FB14EA7">
      <w:pPr>
        <w:spacing w:line="360" w:lineRule="auto"/>
        <w:rPr>
          <w:rFonts w:ascii="宋体" w:hAnsi="宋体"/>
          <w:lang w:eastAsia="zh-CN"/>
        </w:rPr>
      </w:pPr>
      <w:r>
        <w:rPr>
          <w:rFonts w:ascii="宋体" w:hAnsi="宋体" w:hint="eastAsia"/>
          <w:lang w:eastAsia="zh-CN"/>
        </w:rPr>
        <w:t>监理人认为有必要时，并经发包人批准后，可向承包人作出暂停施工的指示，承包人应按监理人指示暂停施工。</w:t>
      </w:r>
    </w:p>
    <w:p w14:paraId="35CA6D96">
      <w:pPr>
        <w:spacing w:line="360" w:lineRule="auto"/>
        <w:rPr>
          <w:rFonts w:ascii="宋体" w:hAnsi="宋体"/>
          <w:lang w:eastAsia="zh-CN"/>
        </w:rPr>
      </w:pPr>
      <w:r>
        <w:rPr>
          <w:rFonts w:ascii="宋体" w:hAnsi="宋体" w:hint="eastAsia"/>
          <w:lang w:eastAsia="zh-CN"/>
        </w:rPr>
        <w:t>7.8.4 紧急情况下的暂停施工</w:t>
      </w:r>
    </w:p>
    <w:p w14:paraId="4F13AB59">
      <w:pPr>
        <w:spacing w:line="360" w:lineRule="auto"/>
        <w:rPr>
          <w:rFonts w:ascii="宋体" w:hAnsi="宋体"/>
          <w:lang w:eastAsia="zh-CN"/>
        </w:rPr>
      </w:pPr>
      <w:r>
        <w:rPr>
          <w:rFonts w:ascii="宋体" w:hAnsi="宋体" w:hint="eastAsia"/>
          <w:lang w:eastAsia="zh-CN"/>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0DEAC9C2">
      <w:pPr>
        <w:spacing w:line="360" w:lineRule="auto"/>
        <w:rPr>
          <w:rFonts w:ascii="宋体" w:hAnsi="宋体"/>
          <w:lang w:eastAsia="zh-CN"/>
        </w:rPr>
      </w:pPr>
      <w:r>
        <w:rPr>
          <w:rFonts w:ascii="宋体" w:hAnsi="宋体" w:hint="eastAsia"/>
          <w:lang w:eastAsia="zh-CN"/>
        </w:rPr>
        <w:t>7.8.5 暂停施工后的复工</w:t>
      </w:r>
    </w:p>
    <w:p w14:paraId="10A6AA96">
      <w:pPr>
        <w:spacing w:line="360" w:lineRule="auto"/>
        <w:rPr>
          <w:rFonts w:ascii="宋体" w:hAnsi="宋体"/>
          <w:lang w:eastAsia="zh-CN"/>
        </w:rPr>
      </w:pPr>
      <w:r>
        <w:rPr>
          <w:rFonts w:ascii="宋体" w:hAnsi="宋体" w:hint="eastAsia"/>
          <w:lang w:eastAsia="zh-CN"/>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71308EAA">
      <w:pPr>
        <w:spacing w:line="360" w:lineRule="auto"/>
        <w:rPr>
          <w:rFonts w:ascii="宋体" w:hAnsi="宋体"/>
          <w:lang w:eastAsia="zh-CN"/>
        </w:rPr>
      </w:pPr>
      <w:r>
        <w:rPr>
          <w:rFonts w:ascii="宋体" w:hAnsi="宋体" w:hint="eastAsia"/>
          <w:lang w:eastAsia="zh-CN"/>
        </w:rPr>
        <w:t>承包人无故拖延和拒绝复工的，承包人承担由此增加的费用和（或）延误的工期；因发包人原因无法按时复工的，按照第7.5.1项〔因发包人原因导致工期延误〕约定办理。</w:t>
      </w:r>
    </w:p>
    <w:p w14:paraId="3AC6F587">
      <w:pPr>
        <w:spacing w:line="360" w:lineRule="auto"/>
        <w:rPr>
          <w:rFonts w:ascii="宋体" w:hAnsi="宋体"/>
          <w:lang w:eastAsia="zh-CN"/>
        </w:rPr>
      </w:pPr>
      <w:r>
        <w:rPr>
          <w:rFonts w:ascii="宋体" w:hAnsi="宋体" w:hint="eastAsia"/>
          <w:lang w:eastAsia="zh-CN"/>
        </w:rPr>
        <w:t>7.8.6 暂停施工持续56天以上</w:t>
      </w:r>
    </w:p>
    <w:p w14:paraId="4ED5BCD1">
      <w:pPr>
        <w:spacing w:line="360" w:lineRule="auto"/>
        <w:rPr>
          <w:rFonts w:ascii="宋体" w:hAnsi="宋体"/>
          <w:lang w:eastAsia="zh-CN"/>
        </w:rPr>
      </w:pPr>
      <w:r>
        <w:rPr>
          <w:rFonts w:ascii="宋体" w:hAnsi="宋体" w:hint="eastAsia"/>
          <w:lang w:eastAsia="zh-CN"/>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6EA304F1">
      <w:pPr>
        <w:spacing w:line="360" w:lineRule="auto"/>
        <w:rPr>
          <w:rFonts w:ascii="宋体" w:hAnsi="宋体"/>
          <w:lang w:eastAsia="zh-CN"/>
        </w:rPr>
      </w:pPr>
      <w:r>
        <w:rPr>
          <w:rFonts w:ascii="宋体" w:hAnsi="宋体" w:hint="eastAsia"/>
          <w:lang w:eastAsia="zh-CN"/>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2E6B5288">
      <w:pPr>
        <w:spacing w:line="360" w:lineRule="auto"/>
        <w:rPr>
          <w:rFonts w:ascii="宋体" w:hAnsi="宋体"/>
          <w:lang w:eastAsia="zh-CN"/>
        </w:rPr>
      </w:pPr>
      <w:r>
        <w:rPr>
          <w:rFonts w:ascii="宋体" w:hAnsi="宋体" w:hint="eastAsia"/>
          <w:lang w:eastAsia="zh-CN"/>
        </w:rPr>
        <w:t>7.8.7 暂停施工期间的工程照管</w:t>
      </w:r>
    </w:p>
    <w:p w14:paraId="0392F9A1">
      <w:pPr>
        <w:spacing w:line="360" w:lineRule="auto"/>
        <w:rPr>
          <w:rFonts w:ascii="宋体" w:hAnsi="宋体"/>
          <w:lang w:eastAsia="zh-CN"/>
        </w:rPr>
      </w:pPr>
      <w:r>
        <w:rPr>
          <w:rFonts w:ascii="宋体" w:hAnsi="宋体" w:hint="eastAsia"/>
          <w:lang w:eastAsia="zh-CN"/>
        </w:rPr>
        <w:t>暂停施工期间，承包人应负责妥善照管工程并提供安全保障，由此增加的费用由责任方承担。</w:t>
      </w:r>
    </w:p>
    <w:p w14:paraId="0757509A">
      <w:pPr>
        <w:spacing w:line="360" w:lineRule="auto"/>
        <w:rPr>
          <w:rFonts w:ascii="宋体" w:hAnsi="宋体"/>
          <w:lang w:eastAsia="zh-CN"/>
        </w:rPr>
      </w:pPr>
      <w:r>
        <w:rPr>
          <w:rFonts w:ascii="宋体" w:hAnsi="宋体" w:hint="eastAsia"/>
          <w:lang w:eastAsia="zh-CN"/>
        </w:rPr>
        <w:t>7.8.8 暂停施工的措施</w:t>
      </w:r>
    </w:p>
    <w:p w14:paraId="6DDF70DB">
      <w:pPr>
        <w:spacing w:line="360" w:lineRule="auto"/>
        <w:rPr>
          <w:rFonts w:ascii="宋体" w:hAnsi="宋体"/>
          <w:lang w:eastAsia="zh-CN"/>
        </w:rPr>
      </w:pPr>
      <w:r>
        <w:rPr>
          <w:rFonts w:ascii="宋体" w:hAnsi="宋体" w:hint="eastAsia"/>
          <w:lang w:eastAsia="zh-CN"/>
        </w:rPr>
        <w:t>暂停施工期间，发包人和承包人均应采取必要的措施确保工程质量及安全，防止因暂停施工扩大损失。</w:t>
      </w:r>
    </w:p>
    <w:p w14:paraId="767F69DA">
      <w:pPr>
        <w:spacing w:line="360" w:lineRule="auto"/>
        <w:rPr>
          <w:rFonts w:ascii="宋体" w:hAnsi="宋体"/>
          <w:bCs/>
          <w:lang w:eastAsia="zh-CN"/>
        </w:rPr>
      </w:pPr>
      <w:bookmarkStart w:id="278" w:name="_Toc351203551"/>
      <w:r>
        <w:rPr>
          <w:rFonts w:ascii="宋体" w:hAnsi="宋体" w:hint="eastAsia"/>
          <w:bCs/>
          <w:lang w:eastAsia="zh-CN"/>
        </w:rPr>
        <w:t>7.9提前竣工</w:t>
      </w:r>
      <w:bookmarkEnd w:id="278"/>
    </w:p>
    <w:p w14:paraId="7572F45E">
      <w:pPr>
        <w:spacing w:line="360" w:lineRule="auto"/>
        <w:rPr>
          <w:rFonts w:ascii="宋体" w:hAnsi="宋体"/>
          <w:lang w:eastAsia="zh-CN"/>
        </w:rPr>
      </w:pPr>
      <w:r>
        <w:rPr>
          <w:rFonts w:ascii="宋体" w:hAnsi="宋体" w:hint="eastAsia"/>
          <w:lang w:eastAsia="zh-CN"/>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00E009F3">
      <w:pPr>
        <w:spacing w:line="360" w:lineRule="auto"/>
        <w:rPr>
          <w:rFonts w:ascii="宋体" w:hAnsi="宋体"/>
          <w:lang w:eastAsia="zh-CN"/>
        </w:rPr>
      </w:pPr>
      <w:r>
        <w:rPr>
          <w:rFonts w:ascii="宋体" w:hAnsi="宋体" w:hint="eastAsia"/>
          <w:lang w:eastAsia="zh-CN"/>
        </w:rPr>
        <w:t>7.9.2 发包人要求承包人提前竣工，或承包人提出提前竣工的建议能够给发包人带来效益的，合同当事人可以在专用合同条款中约定提前竣工的奖励。</w:t>
      </w:r>
    </w:p>
    <w:p w14:paraId="57C45977">
      <w:pPr>
        <w:spacing w:line="360" w:lineRule="auto"/>
        <w:rPr>
          <w:rFonts w:ascii="宋体" w:hAnsi="宋体"/>
          <w:bCs/>
          <w:lang w:eastAsia="zh-CN"/>
        </w:rPr>
      </w:pPr>
      <w:bookmarkStart w:id="279" w:name="_Toc351203552"/>
      <w:r>
        <w:rPr>
          <w:rFonts w:ascii="宋体" w:hAnsi="宋体" w:hint="eastAsia"/>
          <w:bCs/>
          <w:lang w:eastAsia="zh-CN"/>
        </w:rPr>
        <w:t>8</w:t>
      </w:r>
      <w:bookmarkStart w:id="280" w:name="_Toc337558776"/>
      <w:bookmarkStart w:id="281" w:name="_Toc296503058"/>
      <w:bookmarkStart w:id="282" w:name="_Toc296346559"/>
      <w:r>
        <w:rPr>
          <w:rFonts w:ascii="宋体" w:hAnsi="宋体" w:hint="eastAsia"/>
          <w:bCs/>
          <w:lang w:eastAsia="zh-CN"/>
        </w:rPr>
        <w:t>. 材料与设备</w:t>
      </w:r>
      <w:bookmarkEnd w:id="279"/>
    </w:p>
    <w:bookmarkEnd w:id="280"/>
    <w:bookmarkEnd w:id="281"/>
    <w:bookmarkEnd w:id="282"/>
    <w:p w14:paraId="7DD72F85">
      <w:pPr>
        <w:spacing w:line="360" w:lineRule="auto"/>
        <w:rPr>
          <w:rFonts w:ascii="宋体" w:hAnsi="宋体"/>
          <w:bCs/>
          <w:lang w:eastAsia="zh-CN"/>
        </w:rPr>
      </w:pPr>
      <w:bookmarkStart w:id="283" w:name="_Toc351203553"/>
      <w:r>
        <w:rPr>
          <w:rFonts w:ascii="宋体" w:hAnsi="宋体" w:hint="eastAsia"/>
          <w:bCs/>
          <w:lang w:eastAsia="zh-CN"/>
        </w:rPr>
        <w:t>8</w:t>
      </w:r>
      <w:bookmarkStart w:id="284" w:name="_Toc296346560"/>
      <w:bookmarkStart w:id="285" w:name="_Toc296503059"/>
      <w:bookmarkStart w:id="286" w:name="_Toc337558777"/>
      <w:bookmarkStart w:id="287" w:name="_Toc468936960"/>
      <w:r>
        <w:rPr>
          <w:rFonts w:ascii="宋体" w:hAnsi="宋体" w:hint="eastAsia"/>
          <w:bCs/>
          <w:lang w:eastAsia="zh-CN"/>
        </w:rPr>
        <w:t>.1发包人供应材料与工程设备</w:t>
      </w:r>
      <w:bookmarkEnd w:id="283"/>
    </w:p>
    <w:bookmarkEnd w:id="284"/>
    <w:bookmarkEnd w:id="285"/>
    <w:bookmarkEnd w:id="286"/>
    <w:p w14:paraId="0B2E2713">
      <w:pPr>
        <w:spacing w:line="360" w:lineRule="auto"/>
        <w:rPr>
          <w:rFonts w:ascii="宋体" w:hAnsi="宋体"/>
          <w:lang w:eastAsia="zh-CN"/>
        </w:rPr>
      </w:pPr>
      <w:r>
        <w:rPr>
          <w:rFonts w:ascii="宋体" w:hAnsi="宋体" w:hint="eastAsia"/>
          <w:lang w:eastAsia="zh-CN"/>
        </w:rPr>
        <w:t>发包人自行供应材料、工程设备的，应在签订合同时在专用合同条款的附件《发包人供应材料设备一览表》中明确材料、工程设备的品种、规格、型号、数量、单价、质量等级和送达地点。</w:t>
      </w:r>
    </w:p>
    <w:p w14:paraId="63D375BB">
      <w:pPr>
        <w:spacing w:line="360" w:lineRule="auto"/>
        <w:rPr>
          <w:rFonts w:ascii="宋体" w:hAnsi="宋体"/>
          <w:lang w:eastAsia="zh-CN"/>
        </w:rPr>
      </w:pPr>
      <w:r>
        <w:rPr>
          <w:rFonts w:ascii="宋体" w:hAnsi="宋体" w:hint="eastAsia"/>
          <w:lang w:eastAsia="zh-CN"/>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4753CEFE">
      <w:pPr>
        <w:spacing w:line="360" w:lineRule="auto"/>
        <w:rPr>
          <w:rFonts w:ascii="宋体" w:hAnsi="宋体"/>
          <w:b/>
          <w:bCs/>
          <w:lang w:eastAsia="zh-CN"/>
        </w:rPr>
      </w:pPr>
      <w:bookmarkStart w:id="288" w:name="_Toc351203554"/>
      <w:r>
        <w:rPr>
          <w:rFonts w:ascii="宋体" w:hAnsi="宋体" w:hint="eastAsia"/>
          <w:bCs/>
          <w:lang w:eastAsia="zh-CN"/>
        </w:rPr>
        <w:t>8</w:t>
      </w:r>
      <w:bookmarkStart w:id="289" w:name="_Toc296346561"/>
      <w:bookmarkStart w:id="290" w:name="_Toc337558778"/>
      <w:bookmarkStart w:id="291" w:name="_Toc296503060"/>
      <w:r>
        <w:rPr>
          <w:rFonts w:ascii="宋体" w:hAnsi="宋体" w:hint="eastAsia"/>
          <w:bCs/>
          <w:lang w:eastAsia="zh-CN"/>
        </w:rPr>
        <w:t>.2承包人采购材料与工程设备</w:t>
      </w:r>
      <w:bookmarkEnd w:id="288"/>
    </w:p>
    <w:bookmarkEnd w:id="289"/>
    <w:bookmarkEnd w:id="290"/>
    <w:bookmarkEnd w:id="291"/>
    <w:p w14:paraId="5A39ACB7">
      <w:pPr>
        <w:spacing w:line="360" w:lineRule="auto"/>
        <w:rPr>
          <w:rFonts w:ascii="宋体" w:hAnsi="宋体"/>
          <w:lang w:eastAsia="zh-CN"/>
        </w:rPr>
      </w:pPr>
      <w:r>
        <w:rPr>
          <w:rFonts w:ascii="宋体" w:hAnsi="宋体" w:hint="eastAsia"/>
          <w:lang w:eastAsia="zh-CN"/>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15B26A70">
      <w:pPr>
        <w:spacing w:line="360" w:lineRule="auto"/>
        <w:rPr>
          <w:rFonts w:ascii="宋体" w:hAnsi="宋体"/>
          <w:bCs/>
          <w:lang w:eastAsia="zh-CN"/>
        </w:rPr>
      </w:pPr>
      <w:bookmarkStart w:id="292" w:name="_Toc351203555"/>
      <w:r>
        <w:rPr>
          <w:rFonts w:ascii="宋体" w:hAnsi="宋体" w:hint="eastAsia"/>
          <w:bCs/>
          <w:lang w:eastAsia="zh-CN"/>
        </w:rPr>
        <w:t>8</w:t>
      </w:r>
      <w:bookmarkStart w:id="293" w:name="_Toc296346562"/>
      <w:bookmarkStart w:id="294" w:name="_Toc296503061"/>
      <w:bookmarkStart w:id="295" w:name="_Toc337558779"/>
      <w:r>
        <w:rPr>
          <w:rFonts w:ascii="宋体" w:hAnsi="宋体" w:hint="eastAsia"/>
          <w:bCs/>
          <w:lang w:eastAsia="zh-CN"/>
        </w:rPr>
        <w:t>.3材料与工程设备的接收与拒收</w:t>
      </w:r>
      <w:bookmarkEnd w:id="292"/>
    </w:p>
    <w:bookmarkEnd w:id="293"/>
    <w:bookmarkEnd w:id="294"/>
    <w:bookmarkEnd w:id="295"/>
    <w:p w14:paraId="426AB6EC">
      <w:pPr>
        <w:spacing w:line="360" w:lineRule="auto"/>
        <w:rPr>
          <w:rFonts w:ascii="宋体" w:hAnsi="宋体"/>
          <w:lang w:eastAsia="zh-CN"/>
        </w:rPr>
      </w:pPr>
      <w:r>
        <w:rPr>
          <w:rFonts w:ascii="宋体" w:hAnsi="宋体" w:hint="eastAsia"/>
          <w:lang w:eastAsia="zh-CN"/>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0C208A45">
      <w:pPr>
        <w:spacing w:line="360" w:lineRule="auto"/>
        <w:rPr>
          <w:rFonts w:ascii="宋体" w:hAnsi="宋体"/>
          <w:lang w:eastAsia="zh-CN"/>
        </w:rPr>
      </w:pPr>
      <w:r>
        <w:rPr>
          <w:rFonts w:ascii="宋体" w:hAnsi="宋体" w:hint="eastAsia"/>
          <w:lang w:eastAsia="zh-CN"/>
        </w:rPr>
        <w:t>发包人提供的材料和工程设备的规格、数量或质量不符合合同约定的，或因发包人原因导致交货日期延误或交货地点变更等情况的，按照第16.1款〔发包人违约〕约定办理。</w:t>
      </w:r>
    </w:p>
    <w:p w14:paraId="695F25B3">
      <w:pPr>
        <w:spacing w:line="360" w:lineRule="auto"/>
        <w:rPr>
          <w:rFonts w:ascii="宋体" w:hAnsi="宋体"/>
          <w:lang w:eastAsia="zh-CN"/>
        </w:rPr>
      </w:pPr>
      <w:r>
        <w:rPr>
          <w:rFonts w:ascii="宋体" w:hAnsi="宋体" w:hint="eastAsia"/>
          <w:lang w:eastAsia="zh-CN"/>
        </w:rPr>
        <w:t>8.3.2 承包人采购的材料和工程设备，应保证产品质量合格，承包人应在材料和工程设备到货前24小时通知监理人检验。承</w:t>
      </w:r>
      <w:bookmarkStart w:id="296" w:name="_Toc250655469"/>
      <w:r>
        <w:rPr>
          <w:rFonts w:ascii="宋体" w:hAnsi="宋体" w:hint="eastAsia"/>
          <w:lang w:eastAsia="zh-CN"/>
        </w:rPr>
        <w:t>包人进行永久设备、材料的制造和生产的，应符合相关质量标准，并向监理人提交材料的样本以及有关资料，并应在使用该材料或工程设备之前获得监理人同意。</w:t>
      </w:r>
    </w:p>
    <w:bookmarkEnd w:id="296"/>
    <w:p w14:paraId="2BEF80EF">
      <w:pPr>
        <w:spacing w:line="360" w:lineRule="auto"/>
        <w:rPr>
          <w:rFonts w:ascii="宋体" w:hAnsi="宋体"/>
          <w:lang w:eastAsia="zh-CN"/>
        </w:rPr>
      </w:pPr>
      <w:r>
        <w:rPr>
          <w:rFonts w:ascii="宋体" w:hAnsi="宋体" w:hint="eastAsia"/>
          <w:lang w:eastAsia="zh-CN"/>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3CAD8C8C">
      <w:pPr>
        <w:spacing w:line="360" w:lineRule="auto"/>
        <w:rPr>
          <w:rFonts w:ascii="宋体" w:hAnsi="宋体"/>
          <w:bCs/>
          <w:lang w:eastAsia="zh-CN"/>
        </w:rPr>
      </w:pPr>
      <w:bookmarkStart w:id="297" w:name="_Toc351203556"/>
      <w:r>
        <w:rPr>
          <w:rFonts w:ascii="宋体" w:hAnsi="宋体" w:hint="eastAsia"/>
          <w:bCs/>
          <w:lang w:eastAsia="zh-CN"/>
        </w:rPr>
        <w:t>8</w:t>
      </w:r>
      <w:bookmarkStart w:id="298" w:name="_Toc337558780"/>
      <w:bookmarkStart w:id="299" w:name="_Toc296503062"/>
      <w:bookmarkStart w:id="300" w:name="_Toc296346563"/>
      <w:r>
        <w:rPr>
          <w:rFonts w:ascii="宋体" w:hAnsi="宋体" w:hint="eastAsia"/>
          <w:bCs/>
          <w:lang w:eastAsia="zh-CN"/>
        </w:rPr>
        <w:t>.4材料与工程设备的保管与使用</w:t>
      </w:r>
      <w:bookmarkEnd w:id="297"/>
    </w:p>
    <w:bookmarkEnd w:id="298"/>
    <w:bookmarkEnd w:id="299"/>
    <w:bookmarkEnd w:id="300"/>
    <w:p w14:paraId="30BE902E">
      <w:pPr>
        <w:spacing w:line="360" w:lineRule="auto"/>
        <w:rPr>
          <w:rFonts w:ascii="宋体" w:hAnsi="宋体"/>
          <w:lang w:eastAsia="zh-CN"/>
        </w:rPr>
      </w:pPr>
      <w:r>
        <w:rPr>
          <w:rFonts w:ascii="宋体" w:hAnsi="宋体" w:hint="eastAsia"/>
          <w:lang w:eastAsia="zh-CN"/>
        </w:rPr>
        <w:t>8.4.1 发包人供应材料与工程设备的保管与使用</w:t>
      </w:r>
    </w:p>
    <w:p w14:paraId="704878C8">
      <w:pPr>
        <w:spacing w:line="360" w:lineRule="auto"/>
        <w:rPr>
          <w:rFonts w:ascii="宋体" w:hAnsi="宋体"/>
          <w:lang w:eastAsia="zh-CN"/>
        </w:rPr>
      </w:pPr>
      <w:r>
        <w:rPr>
          <w:rFonts w:ascii="宋体" w:hAnsi="宋体" w:hint="eastAsia"/>
          <w:lang w:eastAsia="zh-CN"/>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3C497AE2">
      <w:pPr>
        <w:spacing w:line="360" w:lineRule="auto"/>
        <w:rPr>
          <w:rFonts w:ascii="宋体" w:hAnsi="宋体"/>
          <w:lang w:eastAsia="zh-CN"/>
        </w:rPr>
      </w:pPr>
      <w:r>
        <w:rPr>
          <w:rFonts w:ascii="宋体" w:hAnsi="宋体" w:hint="eastAsia"/>
          <w:lang w:eastAsia="zh-CN"/>
        </w:rPr>
        <w:t>发包人供应的材料和工程设备使用前，由承包人负责检验，检验费用由发包人承担，不合格的不得使用。</w:t>
      </w:r>
    </w:p>
    <w:p w14:paraId="108E4FC6">
      <w:pPr>
        <w:spacing w:line="360" w:lineRule="auto"/>
        <w:rPr>
          <w:rFonts w:ascii="宋体" w:hAnsi="宋体"/>
          <w:lang w:eastAsia="zh-CN"/>
        </w:rPr>
      </w:pPr>
      <w:r>
        <w:rPr>
          <w:rFonts w:ascii="宋体" w:hAnsi="宋体" w:hint="eastAsia"/>
          <w:lang w:eastAsia="zh-CN"/>
        </w:rPr>
        <w:t>8.4.2 承包人采购材料与工程设备的保管与使用</w:t>
      </w:r>
    </w:p>
    <w:p w14:paraId="5032CC05">
      <w:pPr>
        <w:spacing w:line="360" w:lineRule="auto"/>
        <w:rPr>
          <w:rFonts w:ascii="宋体" w:hAnsi="宋体"/>
          <w:lang w:eastAsia="zh-CN"/>
        </w:rPr>
      </w:pPr>
      <w:r>
        <w:rPr>
          <w:rFonts w:ascii="宋体" w:hAnsi="宋体" w:hint="eastAsia"/>
          <w:lang w:eastAsia="zh-CN"/>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726F3EFB">
      <w:pPr>
        <w:spacing w:line="360" w:lineRule="auto"/>
        <w:rPr>
          <w:rFonts w:ascii="宋体" w:hAnsi="宋体"/>
          <w:lang w:eastAsia="zh-CN"/>
        </w:rPr>
      </w:pPr>
      <w:r>
        <w:rPr>
          <w:rFonts w:ascii="宋体" w:hAnsi="宋体" w:hint="eastAsia"/>
          <w:lang w:eastAsia="zh-CN"/>
        </w:rPr>
        <w:t>发包人或监理人发现承包人使用不符合设计或有关标准要求的材料和工程设备时，有权要求承包人进行修复、拆除或重新采购，由此增加的费用和（或）延误的工期，由承包人承担。</w:t>
      </w:r>
    </w:p>
    <w:p w14:paraId="05240DAD">
      <w:pPr>
        <w:spacing w:line="360" w:lineRule="auto"/>
        <w:rPr>
          <w:rFonts w:ascii="宋体" w:hAnsi="宋体"/>
          <w:bCs/>
          <w:lang w:eastAsia="zh-CN"/>
        </w:rPr>
      </w:pPr>
      <w:bookmarkStart w:id="301" w:name="_Toc351203557"/>
      <w:r>
        <w:rPr>
          <w:rFonts w:ascii="宋体" w:hAnsi="宋体" w:hint="eastAsia"/>
          <w:bCs/>
          <w:lang w:eastAsia="zh-CN"/>
        </w:rPr>
        <w:t>8.5禁止使用不合格的材料和工程设备</w:t>
      </w:r>
      <w:bookmarkEnd w:id="301"/>
    </w:p>
    <w:p w14:paraId="6805608F">
      <w:pPr>
        <w:spacing w:line="360" w:lineRule="auto"/>
        <w:rPr>
          <w:rFonts w:ascii="宋体" w:hAnsi="宋体"/>
          <w:lang w:eastAsia="zh-CN"/>
        </w:rPr>
      </w:pPr>
      <w:r>
        <w:rPr>
          <w:rFonts w:ascii="宋体" w:hAnsi="宋体" w:hint="eastAsia"/>
          <w:lang w:eastAsia="zh-CN"/>
        </w:rPr>
        <w:t>8.5.1 监理人有权拒绝承包人提供的不合格材料或工程设备，并要求承包人立即进行更换。监理人应在更换后再次进行检查和检验，由此增加的费用和（或）延误的工期由承包人承担。</w:t>
      </w:r>
    </w:p>
    <w:p w14:paraId="1E4280DD">
      <w:pPr>
        <w:spacing w:line="360" w:lineRule="auto"/>
        <w:rPr>
          <w:rFonts w:ascii="宋体" w:hAnsi="宋体"/>
          <w:lang w:eastAsia="zh-CN"/>
        </w:rPr>
      </w:pPr>
      <w:r>
        <w:rPr>
          <w:rFonts w:ascii="宋体" w:hAnsi="宋体" w:hint="eastAsia"/>
          <w:lang w:eastAsia="zh-CN"/>
        </w:rPr>
        <w:t>8.5.2 监理人发现承包人使用了不合格的材料和工程设备，承包人应按照监理人的指示立即改正，并禁止在工程中继续使用不合格的材料和工程设备。</w:t>
      </w:r>
    </w:p>
    <w:p w14:paraId="1A054F0A">
      <w:pPr>
        <w:spacing w:line="360" w:lineRule="auto"/>
        <w:rPr>
          <w:rFonts w:ascii="宋体" w:hAnsi="宋体"/>
          <w:lang w:eastAsia="zh-CN"/>
        </w:rPr>
      </w:pPr>
      <w:r>
        <w:rPr>
          <w:rFonts w:ascii="宋体" w:hAnsi="宋体" w:hint="eastAsia"/>
          <w:lang w:eastAsia="zh-CN"/>
        </w:rPr>
        <w:t>8.5.3 发包人提供的材料或工程设备不符合合同要求的，承包人有权拒绝，并可要求发包人更换，由此增加的费用和（或）延误的工期由发包人承担，并支付承包人合理的利润。</w:t>
      </w:r>
    </w:p>
    <w:p w14:paraId="6B631E0E">
      <w:pPr>
        <w:spacing w:line="360" w:lineRule="auto"/>
        <w:rPr>
          <w:rFonts w:ascii="宋体" w:hAnsi="宋体"/>
          <w:bCs/>
          <w:lang w:eastAsia="zh-CN"/>
        </w:rPr>
      </w:pPr>
      <w:bookmarkStart w:id="302" w:name="_Toc351203558"/>
      <w:r>
        <w:rPr>
          <w:rFonts w:ascii="宋体" w:hAnsi="宋体" w:hint="eastAsia"/>
          <w:bCs/>
          <w:lang w:eastAsia="zh-CN"/>
        </w:rPr>
        <w:t>8.6 样品</w:t>
      </w:r>
      <w:bookmarkEnd w:id="302"/>
    </w:p>
    <w:p w14:paraId="23F20DC5">
      <w:pPr>
        <w:spacing w:line="360" w:lineRule="auto"/>
        <w:rPr>
          <w:rFonts w:ascii="宋体" w:hAnsi="宋体"/>
          <w:lang w:eastAsia="zh-CN"/>
        </w:rPr>
      </w:pPr>
      <w:r>
        <w:rPr>
          <w:rFonts w:ascii="宋体" w:hAnsi="宋体" w:hint="eastAsia"/>
          <w:lang w:eastAsia="zh-CN"/>
        </w:rPr>
        <w:t>8.6.1</w:t>
      </w:r>
      <w:r>
        <w:rPr>
          <w:rFonts w:ascii="宋体" w:hAnsi="宋体" w:hint="eastAsia"/>
          <w:lang w:eastAsia="zh-CN"/>
        </w:rPr>
        <w:tab/>
      </w:r>
      <w:r>
        <w:rPr>
          <w:rFonts w:ascii="宋体" w:hAnsi="宋体" w:hint="eastAsia"/>
          <w:lang w:eastAsia="zh-CN"/>
        </w:rPr>
        <w:t>样品的报送与封存</w:t>
      </w:r>
    </w:p>
    <w:p w14:paraId="5A0C4BE4">
      <w:pPr>
        <w:spacing w:line="360" w:lineRule="auto"/>
        <w:rPr>
          <w:rFonts w:ascii="宋体" w:hAnsi="宋体"/>
          <w:lang w:eastAsia="zh-CN"/>
        </w:rPr>
      </w:pPr>
      <w:r>
        <w:rPr>
          <w:rFonts w:ascii="宋体" w:hAnsi="宋体" w:hint="eastAsia"/>
          <w:lang w:eastAsia="zh-CN"/>
        </w:rPr>
        <w:t>需要承包人报送样品的材料或工程设备，样品的种类、名称、规格、数量等要求均应在专用合同条款中约定。样品的报送程序如下：</w:t>
      </w:r>
    </w:p>
    <w:p w14:paraId="3AEEF3C2">
      <w:pPr>
        <w:spacing w:line="360" w:lineRule="auto"/>
        <w:rPr>
          <w:rFonts w:ascii="宋体" w:hAnsi="宋体"/>
          <w:lang w:eastAsia="zh-CN"/>
        </w:rPr>
      </w:pPr>
      <w:r>
        <w:rPr>
          <w:rFonts w:ascii="宋体" w:hAnsi="宋体" w:hint="eastAsia"/>
          <w:lang w:eastAsia="zh-CN"/>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19396123">
      <w:pPr>
        <w:spacing w:line="360" w:lineRule="auto"/>
        <w:rPr>
          <w:rFonts w:ascii="宋体" w:hAnsi="宋体"/>
          <w:lang w:eastAsia="zh-CN"/>
        </w:rPr>
      </w:pPr>
      <w:r>
        <w:rPr>
          <w:rFonts w:ascii="宋体" w:hAnsi="宋体" w:hint="eastAsia"/>
          <w:lang w:eastAsia="zh-CN"/>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6F0EBC29">
      <w:pPr>
        <w:spacing w:line="360" w:lineRule="auto"/>
        <w:rPr>
          <w:rFonts w:ascii="宋体" w:hAnsi="宋体"/>
          <w:lang w:eastAsia="zh-CN"/>
        </w:rPr>
      </w:pPr>
      <w:r>
        <w:rPr>
          <w:rFonts w:ascii="宋体" w:hAnsi="宋体" w:hint="eastAsia"/>
          <w:lang w:eastAsia="zh-CN"/>
        </w:rPr>
        <w:t>（3）经发包人和监理人审批确认的样品应按约定的方法封样，封存的样品作为检验工程相关部分的标准之一。承包人在施工过程中不得使用与样品不符的材料或工程设备。</w:t>
      </w:r>
    </w:p>
    <w:p w14:paraId="571519F6">
      <w:pPr>
        <w:spacing w:line="360" w:lineRule="auto"/>
        <w:rPr>
          <w:rFonts w:ascii="宋体" w:hAnsi="宋体"/>
          <w:lang w:eastAsia="zh-CN"/>
        </w:rPr>
      </w:pPr>
      <w:r>
        <w:rPr>
          <w:rFonts w:ascii="宋体" w:hAnsi="宋体" w:hint="eastAsia"/>
          <w:lang w:eastAsia="zh-CN"/>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1D5E43E0">
      <w:pPr>
        <w:spacing w:line="360" w:lineRule="auto"/>
        <w:rPr>
          <w:rFonts w:ascii="宋体" w:hAnsi="宋体"/>
          <w:lang w:eastAsia="zh-CN"/>
        </w:rPr>
      </w:pPr>
      <w:r>
        <w:rPr>
          <w:rFonts w:ascii="宋体" w:hAnsi="宋体" w:hint="eastAsia"/>
          <w:lang w:eastAsia="zh-CN"/>
        </w:rPr>
        <w:t>8.6.2 样品的保管</w:t>
      </w:r>
    </w:p>
    <w:p w14:paraId="40B06317">
      <w:pPr>
        <w:spacing w:line="360" w:lineRule="auto"/>
        <w:rPr>
          <w:rFonts w:ascii="宋体" w:hAnsi="宋体"/>
          <w:lang w:eastAsia="zh-CN"/>
        </w:rPr>
      </w:pPr>
      <w:r>
        <w:rPr>
          <w:rFonts w:ascii="宋体" w:hAnsi="宋体" w:hint="eastAsia"/>
          <w:lang w:eastAsia="zh-CN"/>
        </w:rPr>
        <w:t>经批准的样品应由监理人负责封存于现场，承包人应在现场为保存样品提供适当和固定的场所并保持适当和良好的存储环境条件。</w:t>
      </w:r>
    </w:p>
    <w:p w14:paraId="4EE8D3C8">
      <w:pPr>
        <w:spacing w:line="360" w:lineRule="auto"/>
        <w:rPr>
          <w:rFonts w:ascii="宋体" w:hAnsi="宋体"/>
          <w:bCs/>
          <w:lang w:eastAsia="zh-CN"/>
        </w:rPr>
      </w:pPr>
      <w:bookmarkStart w:id="303" w:name="_Toc351203559"/>
      <w:r>
        <w:rPr>
          <w:rFonts w:ascii="宋体" w:hAnsi="宋体" w:hint="eastAsia"/>
          <w:bCs/>
          <w:lang w:eastAsia="zh-CN"/>
        </w:rPr>
        <w:t>8.7材料与工程设备的替代</w:t>
      </w:r>
      <w:bookmarkEnd w:id="303"/>
    </w:p>
    <w:p w14:paraId="2EAFA454">
      <w:pPr>
        <w:spacing w:line="360" w:lineRule="auto"/>
        <w:rPr>
          <w:rFonts w:ascii="宋体" w:hAnsi="宋体"/>
          <w:lang w:eastAsia="zh-CN"/>
        </w:rPr>
      </w:pPr>
      <w:r>
        <w:rPr>
          <w:rFonts w:ascii="宋体" w:hAnsi="宋体" w:hint="eastAsia"/>
          <w:lang w:eastAsia="zh-CN"/>
        </w:rPr>
        <w:t>8.7.1 出现下列情况需要使用替代材料和工程设备的，承包人应按照第8.7.2项约定的程序执行：</w:t>
      </w:r>
    </w:p>
    <w:p w14:paraId="52C7BBC3">
      <w:pPr>
        <w:spacing w:line="360" w:lineRule="auto"/>
        <w:rPr>
          <w:rFonts w:ascii="宋体" w:hAnsi="宋体"/>
          <w:lang w:eastAsia="zh-CN"/>
        </w:rPr>
      </w:pPr>
      <w:r>
        <w:rPr>
          <w:rFonts w:ascii="宋体" w:hAnsi="宋体" w:hint="eastAsia"/>
          <w:lang w:eastAsia="zh-CN"/>
        </w:rPr>
        <w:t>（1）基准日期后生效的法律规定禁止使用的；</w:t>
      </w:r>
    </w:p>
    <w:p w14:paraId="5A611552">
      <w:pPr>
        <w:spacing w:line="360" w:lineRule="auto"/>
        <w:rPr>
          <w:rFonts w:ascii="宋体" w:hAnsi="宋体"/>
          <w:lang w:eastAsia="zh-CN"/>
        </w:rPr>
      </w:pPr>
      <w:r>
        <w:rPr>
          <w:rFonts w:ascii="宋体" w:hAnsi="宋体" w:hint="eastAsia"/>
          <w:lang w:eastAsia="zh-CN"/>
        </w:rPr>
        <w:t>（2）发包人要求使用替代品的；</w:t>
      </w:r>
    </w:p>
    <w:p w14:paraId="1F62004D">
      <w:pPr>
        <w:spacing w:line="360" w:lineRule="auto"/>
        <w:rPr>
          <w:rFonts w:ascii="宋体" w:hAnsi="宋体"/>
          <w:lang w:eastAsia="zh-CN"/>
        </w:rPr>
      </w:pPr>
      <w:r>
        <w:rPr>
          <w:rFonts w:ascii="宋体" w:hAnsi="宋体" w:hint="eastAsia"/>
          <w:lang w:eastAsia="zh-CN"/>
        </w:rPr>
        <w:t>（3）因其他原因必须使用替代品的。</w:t>
      </w:r>
    </w:p>
    <w:p w14:paraId="39CAA0CF">
      <w:pPr>
        <w:spacing w:line="360" w:lineRule="auto"/>
        <w:rPr>
          <w:rFonts w:ascii="宋体" w:hAnsi="宋体"/>
          <w:lang w:eastAsia="zh-CN"/>
        </w:rPr>
      </w:pPr>
      <w:r>
        <w:rPr>
          <w:rFonts w:ascii="宋体" w:hAnsi="宋体" w:hint="eastAsia"/>
          <w:lang w:eastAsia="zh-CN"/>
        </w:rPr>
        <w:t>8.7.2 承包人应在使用替代材料和工程设备28天前书面通知监理人，并附下列文件：</w:t>
      </w:r>
    </w:p>
    <w:p w14:paraId="6BEC27B6">
      <w:pPr>
        <w:spacing w:line="360" w:lineRule="auto"/>
        <w:rPr>
          <w:rFonts w:ascii="宋体" w:hAnsi="宋体"/>
          <w:lang w:eastAsia="zh-CN"/>
        </w:rPr>
      </w:pPr>
      <w:r>
        <w:rPr>
          <w:rFonts w:ascii="宋体" w:hAnsi="宋体" w:hint="eastAsia"/>
          <w:lang w:eastAsia="zh-CN"/>
        </w:rPr>
        <w:t>（1）被替代的材料和工程设备的名称、数量、规格、型号、品牌、性能、价格及其他相关资料；</w:t>
      </w:r>
    </w:p>
    <w:p w14:paraId="18C86F3E">
      <w:pPr>
        <w:spacing w:line="360" w:lineRule="auto"/>
        <w:rPr>
          <w:rFonts w:ascii="宋体" w:hAnsi="宋体"/>
          <w:lang w:eastAsia="zh-CN"/>
        </w:rPr>
      </w:pPr>
      <w:r>
        <w:rPr>
          <w:rFonts w:ascii="宋体" w:hAnsi="宋体" w:hint="eastAsia"/>
          <w:lang w:eastAsia="zh-CN"/>
        </w:rPr>
        <w:t>（2）替代品的名称、数量、规格、型号、品牌、性能、价格及其他相关资料；</w:t>
      </w:r>
    </w:p>
    <w:p w14:paraId="1EE9B43D">
      <w:pPr>
        <w:spacing w:line="360" w:lineRule="auto"/>
        <w:rPr>
          <w:rFonts w:ascii="宋体" w:hAnsi="宋体"/>
          <w:lang w:eastAsia="zh-CN"/>
        </w:rPr>
      </w:pPr>
      <w:r>
        <w:rPr>
          <w:rFonts w:ascii="宋体" w:hAnsi="宋体" w:hint="eastAsia"/>
          <w:lang w:eastAsia="zh-CN"/>
        </w:rPr>
        <w:t>（3）替代品与被替代产品之间的差异以及使用替代品可能对工程产生的影响；</w:t>
      </w:r>
    </w:p>
    <w:p w14:paraId="5FA8FCBF">
      <w:pPr>
        <w:spacing w:line="360" w:lineRule="auto"/>
        <w:rPr>
          <w:rFonts w:ascii="宋体" w:hAnsi="宋体"/>
          <w:lang w:eastAsia="zh-CN"/>
        </w:rPr>
      </w:pPr>
      <w:r>
        <w:rPr>
          <w:rFonts w:ascii="宋体" w:hAnsi="宋体" w:hint="eastAsia"/>
          <w:lang w:eastAsia="zh-CN"/>
        </w:rPr>
        <w:t>（4）替代品与被替代产品的价格差异；</w:t>
      </w:r>
    </w:p>
    <w:p w14:paraId="5A1BA174">
      <w:pPr>
        <w:spacing w:line="360" w:lineRule="auto"/>
        <w:rPr>
          <w:rFonts w:ascii="宋体" w:hAnsi="宋体"/>
          <w:lang w:eastAsia="zh-CN"/>
        </w:rPr>
      </w:pPr>
      <w:r>
        <w:rPr>
          <w:rFonts w:ascii="宋体" w:hAnsi="宋体" w:hint="eastAsia"/>
          <w:lang w:eastAsia="zh-CN"/>
        </w:rPr>
        <w:t>（5）使用替代品的理由和原因说明；</w:t>
      </w:r>
    </w:p>
    <w:p w14:paraId="3FAF2ACE">
      <w:pPr>
        <w:spacing w:line="360" w:lineRule="auto"/>
        <w:rPr>
          <w:rFonts w:ascii="宋体" w:hAnsi="宋体"/>
          <w:lang w:eastAsia="zh-CN"/>
        </w:rPr>
      </w:pPr>
      <w:r>
        <w:rPr>
          <w:rFonts w:ascii="宋体" w:hAnsi="宋体" w:hint="eastAsia"/>
          <w:lang w:eastAsia="zh-CN"/>
        </w:rPr>
        <w:t>（6）监理人要求的其他文件。</w:t>
      </w:r>
    </w:p>
    <w:p w14:paraId="78B33987">
      <w:pPr>
        <w:spacing w:line="360" w:lineRule="auto"/>
        <w:rPr>
          <w:rFonts w:ascii="宋体" w:hAnsi="宋体"/>
          <w:lang w:eastAsia="zh-CN"/>
        </w:rPr>
      </w:pPr>
      <w:r>
        <w:rPr>
          <w:rFonts w:ascii="宋体" w:hAnsi="宋体" w:hint="eastAsia"/>
          <w:lang w:eastAsia="zh-CN"/>
        </w:rPr>
        <w:t>监理人应在收到通知后14天内向承包人发出经发包人签认的书面指示；监理人逾期发出书面指示的，视为发包人和监理人同意使用替代品。</w:t>
      </w:r>
    </w:p>
    <w:p w14:paraId="7E726571">
      <w:pPr>
        <w:spacing w:line="360" w:lineRule="auto"/>
        <w:rPr>
          <w:rFonts w:ascii="宋体" w:hAnsi="宋体"/>
          <w:lang w:eastAsia="zh-CN"/>
        </w:rPr>
      </w:pPr>
      <w:r>
        <w:rPr>
          <w:rFonts w:ascii="宋体" w:hAnsi="宋体" w:hint="eastAsia"/>
          <w:lang w:eastAsia="zh-CN"/>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495E1A20">
      <w:pPr>
        <w:spacing w:line="360" w:lineRule="auto"/>
        <w:rPr>
          <w:rFonts w:ascii="宋体" w:hAnsi="宋体"/>
          <w:bCs/>
          <w:lang w:eastAsia="zh-CN"/>
        </w:rPr>
      </w:pPr>
      <w:bookmarkStart w:id="304" w:name="_Toc351203560"/>
      <w:r>
        <w:rPr>
          <w:rFonts w:ascii="宋体" w:hAnsi="宋体" w:hint="eastAsia"/>
          <w:bCs/>
          <w:lang w:eastAsia="zh-CN"/>
        </w:rPr>
        <w:t>8.8施工设备和临时设施</w:t>
      </w:r>
      <w:bookmarkEnd w:id="304"/>
    </w:p>
    <w:p w14:paraId="231D9BBF">
      <w:pPr>
        <w:spacing w:line="360" w:lineRule="auto"/>
        <w:rPr>
          <w:rFonts w:ascii="宋体" w:hAnsi="宋体"/>
          <w:lang w:eastAsia="zh-CN"/>
        </w:rPr>
      </w:pPr>
      <w:r>
        <w:rPr>
          <w:rFonts w:ascii="宋体" w:hAnsi="宋体" w:hint="eastAsia"/>
          <w:lang w:eastAsia="zh-CN"/>
        </w:rPr>
        <w:t>8.8.1 承包人提供的施工设备和临时设施</w:t>
      </w:r>
    </w:p>
    <w:p w14:paraId="7AC826E6">
      <w:pPr>
        <w:spacing w:line="360" w:lineRule="auto"/>
        <w:rPr>
          <w:rFonts w:ascii="宋体" w:hAnsi="宋体"/>
          <w:lang w:eastAsia="zh-CN"/>
        </w:rPr>
      </w:pPr>
      <w:r>
        <w:rPr>
          <w:rFonts w:ascii="宋体" w:hAnsi="宋体" w:hint="eastAsia"/>
          <w:lang w:eastAsia="zh-CN"/>
        </w:rPr>
        <w:t>承包人应按合同进度计划的要求，及时配置施工设备和修建临时设施。进入施工场地的承包人设备需经监理人核查后才能投入使用。承包人更换合同约定的承包人设备的，应报监理人批准。</w:t>
      </w:r>
    </w:p>
    <w:p w14:paraId="03068008">
      <w:pPr>
        <w:spacing w:line="360" w:lineRule="auto"/>
        <w:rPr>
          <w:rFonts w:ascii="宋体" w:hAnsi="宋体"/>
          <w:lang w:eastAsia="zh-CN"/>
        </w:rPr>
      </w:pPr>
      <w:r>
        <w:rPr>
          <w:rFonts w:ascii="宋体" w:hAnsi="宋体" w:hint="eastAsia"/>
          <w:lang w:eastAsia="zh-CN"/>
        </w:rPr>
        <w:t>除专用合同条款另有约定外，承包人应自行承担修建临时设施的费用，需要临时占地的，应由发包人办理申请手续并承担相应费用。</w:t>
      </w:r>
    </w:p>
    <w:p w14:paraId="473BF614">
      <w:pPr>
        <w:spacing w:line="360" w:lineRule="auto"/>
        <w:rPr>
          <w:rFonts w:ascii="宋体" w:hAnsi="宋体"/>
          <w:lang w:eastAsia="zh-CN"/>
        </w:rPr>
      </w:pPr>
      <w:r>
        <w:rPr>
          <w:rFonts w:ascii="宋体" w:hAnsi="宋体" w:hint="eastAsia"/>
          <w:lang w:eastAsia="zh-CN"/>
        </w:rPr>
        <w:t>8.8.2发包人提供的施工设备和临时设施</w:t>
      </w:r>
    </w:p>
    <w:p w14:paraId="7FF66508">
      <w:pPr>
        <w:spacing w:line="360" w:lineRule="auto"/>
        <w:rPr>
          <w:rFonts w:ascii="宋体" w:hAnsi="宋体"/>
          <w:lang w:eastAsia="zh-CN"/>
        </w:rPr>
      </w:pPr>
      <w:r>
        <w:rPr>
          <w:rFonts w:ascii="宋体" w:hAnsi="宋体" w:hint="eastAsia"/>
          <w:lang w:eastAsia="zh-CN"/>
        </w:rPr>
        <w:t>发包人提供的施工设备或临时设施在专用合同条款中约定。</w:t>
      </w:r>
    </w:p>
    <w:p w14:paraId="5B4E7535">
      <w:pPr>
        <w:spacing w:line="360" w:lineRule="auto"/>
        <w:rPr>
          <w:rFonts w:ascii="宋体" w:hAnsi="宋体"/>
          <w:lang w:eastAsia="zh-CN"/>
        </w:rPr>
      </w:pPr>
      <w:r>
        <w:rPr>
          <w:rFonts w:ascii="宋体" w:hAnsi="宋体" w:hint="eastAsia"/>
          <w:lang w:eastAsia="zh-CN"/>
        </w:rPr>
        <w:t>8.8.3要求承包人增加或更换施工设备</w:t>
      </w:r>
    </w:p>
    <w:p w14:paraId="73A6D7BF">
      <w:pPr>
        <w:spacing w:line="360" w:lineRule="auto"/>
        <w:rPr>
          <w:rFonts w:ascii="宋体" w:hAnsi="宋体"/>
          <w:lang w:eastAsia="zh-CN"/>
        </w:rPr>
      </w:pPr>
      <w:r>
        <w:rPr>
          <w:rFonts w:ascii="宋体" w:hAnsi="宋体" w:hint="eastAsia"/>
          <w:lang w:eastAsia="zh-CN"/>
        </w:rPr>
        <w:t>承包人使用的施工设备不能满足合同进度计划和（或）质量要求时，监理人有权要求承包人增加或更换施工设备，承包人应及时增加或更换，由此增加的费用和（或）延误的工期由承包人承担。</w:t>
      </w:r>
    </w:p>
    <w:p w14:paraId="203BBB0D">
      <w:pPr>
        <w:spacing w:line="360" w:lineRule="auto"/>
        <w:rPr>
          <w:rFonts w:ascii="宋体" w:hAnsi="宋体"/>
          <w:bCs/>
          <w:lang w:eastAsia="zh-CN"/>
        </w:rPr>
      </w:pPr>
      <w:bookmarkStart w:id="305" w:name="_Toc351203561"/>
      <w:r>
        <w:rPr>
          <w:rFonts w:ascii="宋体" w:hAnsi="宋体" w:hint="eastAsia"/>
          <w:bCs/>
          <w:lang w:eastAsia="zh-CN"/>
        </w:rPr>
        <w:t>8</w:t>
      </w:r>
      <w:bookmarkStart w:id="306" w:name="_Toc296503063"/>
      <w:bookmarkStart w:id="307" w:name="_Toc337558781"/>
      <w:bookmarkStart w:id="308" w:name="_Toc296346564"/>
      <w:r>
        <w:rPr>
          <w:rFonts w:ascii="宋体" w:hAnsi="宋体" w:hint="eastAsia"/>
          <w:bCs/>
          <w:lang w:eastAsia="zh-CN"/>
        </w:rPr>
        <w:t>.9材料与设备专用</w:t>
      </w:r>
      <w:bookmarkEnd w:id="305"/>
      <w:r>
        <w:rPr>
          <w:rFonts w:ascii="宋体" w:hAnsi="宋体" w:hint="eastAsia"/>
          <w:bCs/>
          <w:lang w:eastAsia="zh-CN"/>
        </w:rPr>
        <w:t>要求</w:t>
      </w:r>
    </w:p>
    <w:bookmarkEnd w:id="306"/>
    <w:bookmarkEnd w:id="307"/>
    <w:bookmarkEnd w:id="308"/>
    <w:p w14:paraId="0D43C871">
      <w:pPr>
        <w:spacing w:line="360" w:lineRule="auto"/>
        <w:rPr>
          <w:rFonts w:ascii="宋体" w:hAnsi="宋体"/>
          <w:lang w:eastAsia="zh-CN"/>
        </w:rPr>
      </w:pPr>
      <w:r>
        <w:rPr>
          <w:rFonts w:ascii="宋体" w:hAnsi="宋体" w:hint="eastAsia"/>
          <w:lang w:eastAsia="zh-CN"/>
        </w:rPr>
        <w:t>承包人运入施工现场的材料、工程设备、施工设备以及在施工场地建设的临时设施，包括备品备件、安装工具与资料，必须专用于工程。未经发包人批准，承包人不得运出施工现场或挪作他用；</w:t>
      </w:r>
      <w:bookmarkEnd w:id="287"/>
      <w:r>
        <w:rPr>
          <w:rFonts w:ascii="宋体" w:hAnsi="宋体" w:hint="eastAsia"/>
          <w:lang w:eastAsia="zh-CN"/>
        </w:rPr>
        <w:t>经发包人批准，承包人可以根据施工进度计划撤走闲置的施工设备和其他物品。</w:t>
      </w:r>
    </w:p>
    <w:p w14:paraId="160ADBC7">
      <w:pPr>
        <w:spacing w:line="360" w:lineRule="auto"/>
        <w:rPr>
          <w:rFonts w:ascii="宋体" w:hAnsi="宋体"/>
          <w:bCs/>
          <w:lang w:eastAsia="zh-CN"/>
        </w:rPr>
      </w:pPr>
      <w:bookmarkStart w:id="309" w:name="_Toc351203562"/>
      <w:r>
        <w:rPr>
          <w:rFonts w:ascii="宋体" w:hAnsi="宋体" w:hint="eastAsia"/>
          <w:bCs/>
          <w:lang w:eastAsia="zh-CN"/>
        </w:rPr>
        <w:t>9</w:t>
      </w:r>
      <w:bookmarkStart w:id="310" w:name="_Toc337558782"/>
      <w:bookmarkStart w:id="311" w:name="_Toc296503083"/>
      <w:bookmarkStart w:id="312" w:name="_Toc296346584"/>
      <w:r>
        <w:rPr>
          <w:rFonts w:ascii="宋体" w:hAnsi="宋体" w:hint="eastAsia"/>
          <w:bCs/>
          <w:lang w:eastAsia="zh-CN"/>
        </w:rPr>
        <w:t>. 试验与检验</w:t>
      </w:r>
      <w:bookmarkEnd w:id="309"/>
    </w:p>
    <w:bookmarkEnd w:id="310"/>
    <w:p w14:paraId="644A3563">
      <w:pPr>
        <w:spacing w:line="360" w:lineRule="auto"/>
        <w:rPr>
          <w:rFonts w:ascii="宋体" w:hAnsi="宋体"/>
          <w:bCs/>
          <w:lang w:eastAsia="zh-CN"/>
        </w:rPr>
      </w:pPr>
      <w:bookmarkStart w:id="313" w:name="_Toc351203563"/>
      <w:r>
        <w:rPr>
          <w:rFonts w:ascii="宋体" w:hAnsi="宋体" w:hint="eastAsia"/>
          <w:bCs/>
          <w:lang w:eastAsia="zh-CN"/>
        </w:rPr>
        <w:t>9</w:t>
      </w:r>
      <w:bookmarkStart w:id="314" w:name="_Toc337558783"/>
      <w:r>
        <w:rPr>
          <w:rFonts w:ascii="宋体" w:hAnsi="宋体" w:hint="eastAsia"/>
          <w:bCs/>
          <w:lang w:eastAsia="zh-CN"/>
        </w:rPr>
        <w:t>.1试验设备与试验人员</w:t>
      </w:r>
      <w:bookmarkEnd w:id="313"/>
    </w:p>
    <w:bookmarkEnd w:id="314"/>
    <w:p w14:paraId="0A87DCDD">
      <w:pPr>
        <w:spacing w:line="360" w:lineRule="auto"/>
        <w:rPr>
          <w:rFonts w:ascii="宋体" w:hAnsi="宋体"/>
          <w:lang w:eastAsia="zh-CN"/>
        </w:rPr>
      </w:pPr>
      <w:r>
        <w:rPr>
          <w:rFonts w:ascii="宋体" w:hAnsi="宋体" w:hint="eastAsia"/>
          <w:lang w:eastAsia="zh-CN"/>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3B115DDE">
      <w:pPr>
        <w:spacing w:line="360" w:lineRule="auto"/>
        <w:rPr>
          <w:rFonts w:ascii="宋体" w:hAnsi="宋体"/>
          <w:lang w:eastAsia="zh-CN"/>
        </w:rPr>
      </w:pPr>
      <w:r>
        <w:rPr>
          <w:rFonts w:ascii="宋体" w:hAnsi="宋体" w:hint="eastAsia"/>
          <w:lang w:eastAsia="zh-CN"/>
        </w:rPr>
        <w:t>9.1.2 承包人应按专用合同条款的约定提供试验设备、取样装置、试验场所和试验条件，并向监理人提交相应进场计划表。</w:t>
      </w:r>
    </w:p>
    <w:p w14:paraId="6520477A">
      <w:pPr>
        <w:spacing w:line="360" w:lineRule="auto"/>
        <w:rPr>
          <w:rFonts w:ascii="宋体" w:hAnsi="宋体"/>
          <w:lang w:eastAsia="zh-CN"/>
        </w:rPr>
      </w:pPr>
      <w:r>
        <w:rPr>
          <w:rFonts w:ascii="宋体" w:hAnsi="宋体" w:hint="eastAsia"/>
          <w:lang w:eastAsia="zh-CN"/>
        </w:rPr>
        <w:t>承包人配置的试验设备要符合相应试验规程的要求并经过具有资质的检测单位检测，且在正式使用该试验设备前，需要经过监理人与承包人共同校定。</w:t>
      </w:r>
    </w:p>
    <w:p w14:paraId="64EA1179">
      <w:pPr>
        <w:spacing w:line="360" w:lineRule="auto"/>
        <w:rPr>
          <w:rFonts w:ascii="宋体" w:hAnsi="宋体"/>
          <w:lang w:eastAsia="zh-CN"/>
        </w:rPr>
      </w:pPr>
      <w:r>
        <w:rPr>
          <w:rFonts w:ascii="宋体" w:hAnsi="宋体" w:hint="eastAsia"/>
          <w:lang w:eastAsia="zh-CN"/>
        </w:rPr>
        <w:t>9.1.3 承包人应向监理人提交试验人员的名单及其岗位、资格等证明资料，试验人员必须能够熟练进行相应的检测试验，承包人对试验人员的试验程序和试验结果的正确性负责。</w:t>
      </w:r>
    </w:p>
    <w:p w14:paraId="754B725C">
      <w:pPr>
        <w:spacing w:line="360" w:lineRule="auto"/>
        <w:rPr>
          <w:rFonts w:ascii="宋体" w:hAnsi="宋体"/>
          <w:bCs/>
          <w:lang w:eastAsia="zh-CN"/>
        </w:rPr>
      </w:pPr>
      <w:bookmarkStart w:id="315" w:name="_Toc351203564"/>
      <w:r>
        <w:rPr>
          <w:rFonts w:ascii="宋体" w:hAnsi="宋体" w:hint="eastAsia"/>
          <w:bCs/>
          <w:lang w:eastAsia="zh-CN"/>
        </w:rPr>
        <w:t>9</w:t>
      </w:r>
      <w:bookmarkStart w:id="316" w:name="_Toc337558784"/>
      <w:r>
        <w:rPr>
          <w:rFonts w:ascii="宋体" w:hAnsi="宋体" w:hint="eastAsia"/>
          <w:bCs/>
          <w:lang w:eastAsia="zh-CN"/>
        </w:rPr>
        <w:t>.2取样</w:t>
      </w:r>
      <w:bookmarkEnd w:id="315"/>
    </w:p>
    <w:bookmarkEnd w:id="316"/>
    <w:p w14:paraId="5E6DBEF0">
      <w:pPr>
        <w:spacing w:line="360" w:lineRule="auto"/>
        <w:rPr>
          <w:rFonts w:ascii="宋体" w:hAnsi="宋体"/>
          <w:lang w:eastAsia="zh-CN"/>
        </w:rPr>
      </w:pPr>
      <w:r>
        <w:rPr>
          <w:rFonts w:ascii="宋体" w:hAnsi="宋体" w:hint="eastAsia"/>
          <w:lang w:eastAsia="zh-CN"/>
        </w:rPr>
        <w:t>试验属于自检性质的，承包人可以单独取样。试验属于监理人抽检性质的，可由监理人取样，也可由承包人的试验人员在监理人的监督下取样。</w:t>
      </w:r>
    </w:p>
    <w:p w14:paraId="306D60F1">
      <w:pPr>
        <w:spacing w:line="360" w:lineRule="auto"/>
        <w:rPr>
          <w:rFonts w:ascii="宋体" w:hAnsi="宋体"/>
          <w:bCs/>
          <w:lang w:eastAsia="zh-CN"/>
        </w:rPr>
      </w:pPr>
      <w:bookmarkStart w:id="317" w:name="_Toc351203565"/>
      <w:r>
        <w:rPr>
          <w:rFonts w:ascii="宋体" w:hAnsi="宋体" w:hint="eastAsia"/>
          <w:bCs/>
          <w:lang w:eastAsia="zh-CN"/>
        </w:rPr>
        <w:t>9</w:t>
      </w:r>
      <w:bookmarkStart w:id="318" w:name="_Toc337558785"/>
      <w:r>
        <w:rPr>
          <w:rFonts w:ascii="宋体" w:hAnsi="宋体" w:hint="eastAsia"/>
          <w:bCs/>
          <w:lang w:eastAsia="zh-CN"/>
        </w:rPr>
        <w:t>.3材料、工程设备和工程的试验和检验</w:t>
      </w:r>
      <w:bookmarkEnd w:id="317"/>
    </w:p>
    <w:bookmarkEnd w:id="318"/>
    <w:p w14:paraId="08129929">
      <w:pPr>
        <w:spacing w:line="360" w:lineRule="auto"/>
        <w:rPr>
          <w:rFonts w:ascii="宋体" w:hAnsi="宋体"/>
          <w:lang w:eastAsia="zh-CN"/>
        </w:rPr>
      </w:pPr>
      <w:r>
        <w:rPr>
          <w:rFonts w:ascii="宋体" w:hAnsi="宋体" w:hint="eastAsia"/>
          <w:lang w:eastAsia="zh-CN"/>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6B887FFB">
      <w:pPr>
        <w:spacing w:line="360" w:lineRule="auto"/>
        <w:rPr>
          <w:rFonts w:ascii="宋体" w:hAnsi="宋体"/>
          <w:lang w:eastAsia="zh-CN"/>
        </w:rPr>
      </w:pPr>
      <w:r>
        <w:rPr>
          <w:rFonts w:ascii="宋体" w:hAnsi="宋体" w:hint="eastAsia"/>
          <w:lang w:eastAsia="zh-CN"/>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5E82009D">
      <w:pPr>
        <w:spacing w:line="360" w:lineRule="auto"/>
        <w:rPr>
          <w:rFonts w:ascii="宋体" w:hAnsi="宋体"/>
          <w:lang w:eastAsia="zh-CN"/>
        </w:rPr>
      </w:pPr>
      <w:r>
        <w:rPr>
          <w:rFonts w:ascii="宋体" w:hAnsi="宋体" w:hint="eastAsia"/>
          <w:lang w:eastAsia="zh-CN"/>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12C4E888">
      <w:pPr>
        <w:spacing w:line="360" w:lineRule="auto"/>
        <w:rPr>
          <w:rFonts w:ascii="宋体" w:hAnsi="宋体"/>
          <w:bCs/>
          <w:lang w:eastAsia="zh-CN"/>
        </w:rPr>
      </w:pPr>
      <w:bookmarkStart w:id="319" w:name="_Toc351203566"/>
      <w:r>
        <w:rPr>
          <w:rFonts w:ascii="宋体" w:hAnsi="宋体" w:hint="eastAsia"/>
          <w:bCs/>
          <w:lang w:eastAsia="zh-CN"/>
        </w:rPr>
        <w:t>9</w:t>
      </w:r>
      <w:bookmarkStart w:id="320" w:name="_Toc337558786"/>
      <w:r>
        <w:rPr>
          <w:rFonts w:ascii="宋体" w:hAnsi="宋体" w:hint="eastAsia"/>
          <w:bCs/>
          <w:lang w:eastAsia="zh-CN"/>
        </w:rPr>
        <w:t>.4现场工艺试验</w:t>
      </w:r>
      <w:bookmarkEnd w:id="319"/>
    </w:p>
    <w:bookmarkEnd w:id="320"/>
    <w:p w14:paraId="6D3A029A">
      <w:pPr>
        <w:spacing w:line="360" w:lineRule="auto"/>
        <w:rPr>
          <w:rFonts w:ascii="宋体" w:hAnsi="宋体"/>
          <w:lang w:eastAsia="zh-CN"/>
        </w:rPr>
      </w:pPr>
      <w:r>
        <w:rPr>
          <w:rFonts w:ascii="宋体" w:hAnsi="宋体" w:hint="eastAsia"/>
          <w:lang w:eastAsia="zh-CN"/>
        </w:rPr>
        <w:t>承包人应按合同约定或监理人指示进行现场工艺试验。对大型的现场工艺试验，监理人认为必要时，承包人应根据监理人提出的工艺试验要求，编制工艺试验措施计划，报送监理人审查。</w:t>
      </w:r>
    </w:p>
    <w:p w14:paraId="67E2369C">
      <w:pPr>
        <w:spacing w:line="360" w:lineRule="auto"/>
        <w:rPr>
          <w:rFonts w:ascii="宋体" w:hAnsi="宋体"/>
          <w:bCs/>
          <w:lang w:eastAsia="zh-CN"/>
        </w:rPr>
      </w:pPr>
      <w:bookmarkStart w:id="321" w:name="_Toc351203567"/>
      <w:r>
        <w:rPr>
          <w:rFonts w:ascii="宋体" w:hAnsi="宋体" w:hint="eastAsia"/>
          <w:bCs/>
          <w:lang w:eastAsia="zh-CN"/>
        </w:rPr>
        <w:t>1</w:t>
      </w:r>
      <w:bookmarkStart w:id="322" w:name="_Toc337558787"/>
      <w:r>
        <w:rPr>
          <w:rFonts w:ascii="宋体" w:hAnsi="宋体" w:hint="eastAsia"/>
          <w:bCs/>
          <w:lang w:eastAsia="zh-CN"/>
        </w:rPr>
        <w:t>0. 变更</w:t>
      </w:r>
      <w:bookmarkEnd w:id="311"/>
      <w:bookmarkEnd w:id="312"/>
      <w:bookmarkEnd w:id="321"/>
    </w:p>
    <w:bookmarkEnd w:id="322"/>
    <w:p w14:paraId="04492AAF">
      <w:pPr>
        <w:spacing w:line="360" w:lineRule="auto"/>
        <w:rPr>
          <w:rFonts w:ascii="宋体" w:hAnsi="宋体"/>
          <w:bCs/>
          <w:lang w:eastAsia="zh-CN"/>
        </w:rPr>
      </w:pPr>
      <w:bookmarkStart w:id="323" w:name="_Toc351203568"/>
      <w:r>
        <w:rPr>
          <w:rFonts w:ascii="宋体" w:hAnsi="宋体" w:hint="eastAsia"/>
          <w:bCs/>
          <w:lang w:eastAsia="zh-CN"/>
        </w:rPr>
        <w:t>1</w:t>
      </w:r>
      <w:bookmarkStart w:id="324" w:name="_Toc296346585"/>
      <w:bookmarkStart w:id="325" w:name="_Toc296503084"/>
      <w:bookmarkStart w:id="326" w:name="_Toc337558788"/>
      <w:r>
        <w:rPr>
          <w:rFonts w:ascii="宋体" w:hAnsi="宋体" w:hint="eastAsia"/>
          <w:bCs/>
          <w:lang w:eastAsia="zh-CN"/>
        </w:rPr>
        <w:t>0.1变更的范围</w:t>
      </w:r>
      <w:bookmarkEnd w:id="323"/>
    </w:p>
    <w:bookmarkEnd w:id="324"/>
    <w:bookmarkEnd w:id="325"/>
    <w:bookmarkEnd w:id="326"/>
    <w:p w14:paraId="05ED757D">
      <w:pPr>
        <w:spacing w:line="360" w:lineRule="auto"/>
        <w:rPr>
          <w:rFonts w:ascii="宋体" w:hAnsi="宋体"/>
          <w:lang w:eastAsia="zh-CN"/>
        </w:rPr>
      </w:pPr>
      <w:r>
        <w:rPr>
          <w:rFonts w:ascii="宋体" w:hAnsi="宋体" w:hint="eastAsia"/>
          <w:lang w:eastAsia="zh-CN"/>
        </w:rPr>
        <w:t>除专用合同条款另有约定外，合同履行过程中发生以下情形的，应按照本条约定进行变更：</w:t>
      </w:r>
    </w:p>
    <w:p w14:paraId="07AEE06A">
      <w:pPr>
        <w:spacing w:line="360" w:lineRule="auto"/>
        <w:rPr>
          <w:rFonts w:ascii="宋体" w:hAnsi="宋体"/>
          <w:lang w:eastAsia="zh-CN"/>
        </w:rPr>
      </w:pPr>
      <w:r>
        <w:rPr>
          <w:rFonts w:ascii="宋体" w:hAnsi="宋体" w:hint="eastAsia"/>
          <w:lang w:eastAsia="zh-CN"/>
        </w:rPr>
        <w:t>（1）增加或减少合同中任何工作，或追加额外的工作；</w:t>
      </w:r>
    </w:p>
    <w:p w14:paraId="4C3AEA61">
      <w:pPr>
        <w:spacing w:line="360" w:lineRule="auto"/>
        <w:rPr>
          <w:rFonts w:ascii="宋体" w:hAnsi="宋体"/>
          <w:lang w:eastAsia="zh-CN"/>
        </w:rPr>
      </w:pPr>
      <w:r>
        <w:rPr>
          <w:rFonts w:ascii="宋体" w:hAnsi="宋体" w:hint="eastAsia"/>
          <w:lang w:eastAsia="zh-CN"/>
        </w:rPr>
        <w:t>（2）取消合同中任何工作，但转由他人实施的工作除外；</w:t>
      </w:r>
    </w:p>
    <w:p w14:paraId="31FA1358">
      <w:pPr>
        <w:spacing w:line="360" w:lineRule="auto"/>
        <w:rPr>
          <w:rFonts w:ascii="宋体" w:hAnsi="宋体"/>
          <w:lang w:eastAsia="zh-CN"/>
        </w:rPr>
      </w:pPr>
      <w:r>
        <w:rPr>
          <w:rFonts w:ascii="宋体" w:hAnsi="宋体" w:hint="eastAsia"/>
          <w:lang w:eastAsia="zh-CN"/>
        </w:rPr>
        <w:t>（3）改变合同中任何工作的质量标准或其他特性；</w:t>
      </w:r>
    </w:p>
    <w:p w14:paraId="195B9616">
      <w:pPr>
        <w:spacing w:line="360" w:lineRule="auto"/>
        <w:rPr>
          <w:rFonts w:ascii="宋体" w:hAnsi="宋体"/>
          <w:lang w:eastAsia="zh-CN"/>
        </w:rPr>
      </w:pPr>
      <w:r>
        <w:rPr>
          <w:rFonts w:ascii="宋体" w:hAnsi="宋体" w:hint="eastAsia"/>
          <w:lang w:eastAsia="zh-CN"/>
        </w:rPr>
        <w:t>（4）改变工程的基线、标高、位置和尺寸；</w:t>
      </w:r>
    </w:p>
    <w:p w14:paraId="38957E37">
      <w:pPr>
        <w:spacing w:line="360" w:lineRule="auto"/>
        <w:rPr>
          <w:rFonts w:ascii="宋体" w:hAnsi="宋体"/>
          <w:lang w:eastAsia="zh-CN"/>
        </w:rPr>
      </w:pPr>
      <w:r>
        <w:rPr>
          <w:rFonts w:ascii="宋体" w:hAnsi="宋体" w:hint="eastAsia"/>
          <w:lang w:eastAsia="zh-CN"/>
        </w:rPr>
        <w:t>（5）改变工程的时间安排或实施顺序。</w:t>
      </w:r>
    </w:p>
    <w:p w14:paraId="375BA424">
      <w:pPr>
        <w:spacing w:line="360" w:lineRule="auto"/>
        <w:rPr>
          <w:rFonts w:ascii="宋体" w:hAnsi="宋体"/>
          <w:bCs/>
          <w:lang w:eastAsia="zh-CN"/>
        </w:rPr>
      </w:pPr>
      <w:bookmarkStart w:id="327" w:name="_Toc351203569"/>
      <w:r>
        <w:rPr>
          <w:rFonts w:ascii="宋体" w:hAnsi="宋体" w:hint="eastAsia"/>
          <w:bCs/>
          <w:lang w:eastAsia="zh-CN"/>
        </w:rPr>
        <w:t>1</w:t>
      </w:r>
      <w:bookmarkStart w:id="328" w:name="_Toc337558789"/>
      <w:bookmarkStart w:id="329" w:name="_Toc296346586"/>
      <w:bookmarkStart w:id="330" w:name="_Toc296503085"/>
      <w:r>
        <w:rPr>
          <w:rFonts w:ascii="宋体" w:hAnsi="宋体" w:hint="eastAsia"/>
          <w:bCs/>
          <w:lang w:eastAsia="zh-CN"/>
        </w:rPr>
        <w:t>0.2变更权</w:t>
      </w:r>
      <w:bookmarkEnd w:id="327"/>
    </w:p>
    <w:bookmarkEnd w:id="328"/>
    <w:bookmarkEnd w:id="329"/>
    <w:bookmarkEnd w:id="330"/>
    <w:p w14:paraId="58C2CC10">
      <w:pPr>
        <w:spacing w:line="360" w:lineRule="auto"/>
        <w:rPr>
          <w:rFonts w:ascii="宋体" w:hAnsi="宋体"/>
          <w:lang w:eastAsia="zh-CN"/>
        </w:rPr>
      </w:pPr>
      <w:r>
        <w:rPr>
          <w:rFonts w:ascii="宋体" w:hAnsi="宋体" w:hint="eastAsia"/>
          <w:lang w:eastAsia="zh-CN"/>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646A70CF">
      <w:pPr>
        <w:spacing w:line="360" w:lineRule="auto"/>
        <w:rPr>
          <w:rFonts w:ascii="宋体" w:hAnsi="宋体"/>
          <w:lang w:eastAsia="zh-CN"/>
        </w:rPr>
      </w:pPr>
      <w:r>
        <w:rPr>
          <w:rFonts w:ascii="宋体" w:hAnsi="宋体" w:hint="eastAsia"/>
          <w:lang w:eastAsia="zh-CN"/>
        </w:rPr>
        <w:t>涉及设计变更的，应由设计人提供变更后的图纸和说明。如变更超过原设计标准或批准的建设规模时，发包人应及时办理规划、设计变更等审批手续。</w:t>
      </w:r>
    </w:p>
    <w:p w14:paraId="5A9AEC60">
      <w:pPr>
        <w:spacing w:line="360" w:lineRule="auto"/>
        <w:rPr>
          <w:rFonts w:ascii="宋体" w:hAnsi="宋体"/>
          <w:bCs/>
          <w:lang w:eastAsia="zh-CN"/>
        </w:rPr>
      </w:pPr>
      <w:bookmarkStart w:id="331" w:name="_Toc351203570"/>
      <w:r>
        <w:rPr>
          <w:rFonts w:ascii="宋体" w:hAnsi="宋体" w:hint="eastAsia"/>
          <w:bCs/>
          <w:lang w:eastAsia="zh-CN"/>
        </w:rPr>
        <w:t>1</w:t>
      </w:r>
      <w:bookmarkStart w:id="332" w:name="_Toc296346587"/>
      <w:bookmarkStart w:id="333" w:name="_Toc337558790"/>
      <w:bookmarkStart w:id="334" w:name="_Toc296503086"/>
      <w:r>
        <w:rPr>
          <w:rFonts w:ascii="宋体" w:hAnsi="宋体" w:hint="eastAsia"/>
          <w:bCs/>
          <w:lang w:eastAsia="zh-CN"/>
        </w:rPr>
        <w:t>0.3变更程序</w:t>
      </w:r>
      <w:bookmarkEnd w:id="331"/>
    </w:p>
    <w:bookmarkEnd w:id="332"/>
    <w:bookmarkEnd w:id="333"/>
    <w:bookmarkEnd w:id="334"/>
    <w:p w14:paraId="030EA786">
      <w:pPr>
        <w:spacing w:line="360" w:lineRule="auto"/>
        <w:rPr>
          <w:rFonts w:ascii="宋体" w:hAnsi="宋体"/>
          <w:lang w:eastAsia="zh-CN"/>
        </w:rPr>
      </w:pPr>
      <w:r>
        <w:rPr>
          <w:rFonts w:ascii="宋体" w:hAnsi="宋体" w:hint="eastAsia"/>
          <w:lang w:eastAsia="zh-CN"/>
        </w:rPr>
        <w:t>10.3.1 发包人提出变更</w:t>
      </w:r>
    </w:p>
    <w:p w14:paraId="35132A6A">
      <w:pPr>
        <w:spacing w:line="360" w:lineRule="auto"/>
        <w:rPr>
          <w:rFonts w:ascii="宋体" w:hAnsi="宋体"/>
          <w:lang w:eastAsia="zh-CN"/>
        </w:rPr>
      </w:pPr>
      <w:r>
        <w:rPr>
          <w:rFonts w:ascii="宋体" w:hAnsi="宋体" w:hint="eastAsia"/>
          <w:lang w:eastAsia="zh-CN"/>
        </w:rPr>
        <w:t>发包人提出变更的，应通过监理人向承包人发出变更指示，变更指示应说明计划变更的工程范围和变更的内容。</w:t>
      </w:r>
    </w:p>
    <w:p w14:paraId="022ABE2A">
      <w:pPr>
        <w:spacing w:line="360" w:lineRule="auto"/>
        <w:rPr>
          <w:rFonts w:ascii="宋体" w:hAnsi="宋体"/>
          <w:lang w:eastAsia="zh-CN"/>
        </w:rPr>
      </w:pPr>
      <w:r>
        <w:rPr>
          <w:rFonts w:ascii="宋体" w:hAnsi="宋体" w:hint="eastAsia"/>
          <w:lang w:eastAsia="zh-CN"/>
        </w:rPr>
        <w:t>10.3.2 监理人提出变更建议</w:t>
      </w:r>
    </w:p>
    <w:p w14:paraId="7E20ACF6">
      <w:pPr>
        <w:spacing w:line="360" w:lineRule="auto"/>
        <w:rPr>
          <w:rFonts w:ascii="宋体" w:hAnsi="宋体"/>
          <w:lang w:eastAsia="zh-CN"/>
        </w:rPr>
      </w:pPr>
      <w:r>
        <w:rPr>
          <w:rFonts w:ascii="宋体" w:hAnsi="宋体" w:hint="eastAsia"/>
          <w:lang w:eastAsia="zh-CN"/>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5CB2C264">
      <w:pPr>
        <w:spacing w:line="360" w:lineRule="auto"/>
        <w:rPr>
          <w:rFonts w:ascii="宋体" w:hAnsi="宋体"/>
          <w:lang w:eastAsia="zh-CN"/>
        </w:rPr>
      </w:pPr>
      <w:r>
        <w:rPr>
          <w:rFonts w:ascii="宋体" w:hAnsi="宋体" w:hint="eastAsia"/>
          <w:lang w:eastAsia="zh-CN"/>
        </w:rPr>
        <w:t>10.3.3 变更执行</w:t>
      </w:r>
    </w:p>
    <w:p w14:paraId="402B9295">
      <w:pPr>
        <w:spacing w:line="360" w:lineRule="auto"/>
        <w:rPr>
          <w:rFonts w:ascii="宋体" w:hAnsi="宋体"/>
          <w:lang w:eastAsia="zh-CN"/>
        </w:rPr>
      </w:pPr>
      <w:r>
        <w:rPr>
          <w:rFonts w:ascii="宋体" w:hAnsi="宋体" w:hint="eastAsia"/>
          <w:lang w:eastAsia="zh-CN"/>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59928A78">
      <w:pPr>
        <w:spacing w:line="360" w:lineRule="auto"/>
        <w:rPr>
          <w:rFonts w:ascii="宋体" w:hAnsi="宋体"/>
          <w:bCs/>
          <w:lang w:eastAsia="zh-CN"/>
        </w:rPr>
      </w:pPr>
      <w:bookmarkStart w:id="335" w:name="_Toc351203571"/>
      <w:r>
        <w:rPr>
          <w:rFonts w:ascii="宋体" w:hAnsi="宋体" w:hint="eastAsia"/>
          <w:bCs/>
          <w:lang w:eastAsia="zh-CN"/>
        </w:rPr>
        <w:t>1</w:t>
      </w:r>
      <w:bookmarkStart w:id="336" w:name="_Toc296503087"/>
      <w:bookmarkStart w:id="337" w:name="_Toc296346588"/>
      <w:bookmarkStart w:id="338" w:name="_Toc337558791"/>
      <w:r>
        <w:rPr>
          <w:rFonts w:ascii="宋体" w:hAnsi="宋体" w:hint="eastAsia"/>
          <w:bCs/>
          <w:lang w:eastAsia="zh-CN"/>
        </w:rPr>
        <w:t>0.4变更估价</w:t>
      </w:r>
      <w:bookmarkEnd w:id="335"/>
    </w:p>
    <w:bookmarkEnd w:id="336"/>
    <w:bookmarkEnd w:id="337"/>
    <w:bookmarkEnd w:id="338"/>
    <w:p w14:paraId="44D2F3AC">
      <w:pPr>
        <w:spacing w:line="360" w:lineRule="auto"/>
        <w:rPr>
          <w:rFonts w:ascii="宋体" w:hAnsi="宋体"/>
          <w:lang w:eastAsia="zh-CN"/>
        </w:rPr>
      </w:pPr>
      <w:r>
        <w:rPr>
          <w:rFonts w:ascii="宋体" w:hAnsi="宋体" w:hint="eastAsia"/>
          <w:lang w:eastAsia="zh-CN"/>
        </w:rPr>
        <w:t>10.4.1 变更估价原则</w:t>
      </w:r>
    </w:p>
    <w:p w14:paraId="357E09D4">
      <w:pPr>
        <w:spacing w:line="360" w:lineRule="auto"/>
        <w:rPr>
          <w:rFonts w:ascii="宋体" w:hAnsi="宋体"/>
          <w:lang w:eastAsia="zh-CN"/>
        </w:rPr>
      </w:pPr>
      <w:r>
        <w:rPr>
          <w:rFonts w:ascii="宋体" w:hAnsi="宋体" w:hint="eastAsia"/>
          <w:lang w:eastAsia="zh-CN"/>
        </w:rPr>
        <w:t>除专用合同条款另有约定外，变更估价按照本款约定处理：</w:t>
      </w:r>
    </w:p>
    <w:p w14:paraId="33FA5851">
      <w:pPr>
        <w:spacing w:line="360" w:lineRule="auto"/>
        <w:rPr>
          <w:rFonts w:ascii="宋体" w:hAnsi="宋体"/>
          <w:lang w:eastAsia="zh-CN"/>
        </w:rPr>
      </w:pPr>
      <w:r>
        <w:rPr>
          <w:rFonts w:ascii="宋体" w:hAnsi="宋体" w:hint="eastAsia"/>
          <w:lang w:eastAsia="zh-CN"/>
        </w:rPr>
        <w:t>（1）已标价工程量清单或预算书有相同项目的，按照相同项目单价认定；</w:t>
      </w:r>
    </w:p>
    <w:p w14:paraId="194416E5">
      <w:pPr>
        <w:spacing w:line="360" w:lineRule="auto"/>
        <w:rPr>
          <w:rFonts w:ascii="宋体" w:hAnsi="宋体"/>
          <w:lang w:eastAsia="zh-CN"/>
        </w:rPr>
      </w:pPr>
      <w:r>
        <w:rPr>
          <w:rFonts w:ascii="宋体" w:hAnsi="宋体" w:hint="eastAsia"/>
          <w:lang w:eastAsia="zh-CN"/>
        </w:rPr>
        <w:t>（2）已标价工程量清单或预算书中无相同项目，但有类似项目的，参照类似项目的单价认定；</w:t>
      </w:r>
    </w:p>
    <w:p w14:paraId="4797F35C">
      <w:pPr>
        <w:spacing w:line="360" w:lineRule="auto"/>
        <w:rPr>
          <w:rFonts w:ascii="宋体" w:hAnsi="宋体"/>
          <w:lang w:eastAsia="zh-CN"/>
        </w:rPr>
      </w:pPr>
      <w:r>
        <w:rPr>
          <w:rFonts w:ascii="宋体" w:hAnsi="宋体" w:hint="eastAsia"/>
          <w:lang w:eastAsia="zh-CN"/>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4749E9EE">
      <w:pPr>
        <w:spacing w:line="360" w:lineRule="auto"/>
        <w:rPr>
          <w:rFonts w:ascii="宋体" w:hAnsi="宋体"/>
          <w:lang w:eastAsia="zh-CN"/>
        </w:rPr>
      </w:pPr>
      <w:r>
        <w:rPr>
          <w:rFonts w:ascii="宋体" w:hAnsi="宋体" w:hint="eastAsia"/>
          <w:lang w:eastAsia="zh-CN"/>
        </w:rPr>
        <w:t>10.4.2 变更估价程序</w:t>
      </w:r>
    </w:p>
    <w:p w14:paraId="1971D06B">
      <w:pPr>
        <w:spacing w:line="360" w:lineRule="auto"/>
        <w:rPr>
          <w:rFonts w:ascii="宋体" w:hAnsi="宋体"/>
          <w:lang w:eastAsia="zh-CN"/>
        </w:rPr>
      </w:pPr>
      <w:r>
        <w:rPr>
          <w:rFonts w:ascii="宋体" w:hAnsi="宋体" w:hint="eastAsia"/>
          <w:lang w:eastAsia="zh-CN"/>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30D152AF">
      <w:pPr>
        <w:spacing w:line="360" w:lineRule="auto"/>
        <w:rPr>
          <w:rFonts w:ascii="宋体" w:hAnsi="宋体"/>
          <w:lang w:eastAsia="zh-CN"/>
        </w:rPr>
      </w:pPr>
      <w:r>
        <w:rPr>
          <w:rFonts w:ascii="宋体" w:hAnsi="宋体" w:hint="eastAsia"/>
          <w:lang w:eastAsia="zh-CN"/>
        </w:rPr>
        <w:t>因变更引起的价格调整应计入最近一期的进度款中支付。</w:t>
      </w:r>
    </w:p>
    <w:p w14:paraId="7D0FBF48">
      <w:pPr>
        <w:spacing w:line="360" w:lineRule="auto"/>
        <w:rPr>
          <w:rFonts w:ascii="宋体" w:hAnsi="宋体"/>
          <w:bCs/>
          <w:lang w:eastAsia="zh-CN"/>
        </w:rPr>
      </w:pPr>
      <w:bookmarkStart w:id="339" w:name="_Toc351203572"/>
      <w:r>
        <w:rPr>
          <w:rFonts w:ascii="宋体" w:hAnsi="宋体" w:hint="eastAsia"/>
          <w:bCs/>
          <w:lang w:eastAsia="zh-CN"/>
        </w:rPr>
        <w:t>1</w:t>
      </w:r>
      <w:bookmarkStart w:id="340" w:name="_Toc296503094"/>
      <w:bookmarkStart w:id="341" w:name="_Toc296346595"/>
      <w:bookmarkStart w:id="342" w:name="_Toc337558792"/>
      <w:r>
        <w:rPr>
          <w:rFonts w:ascii="宋体" w:hAnsi="宋体" w:hint="eastAsia"/>
          <w:bCs/>
          <w:lang w:eastAsia="zh-CN"/>
        </w:rPr>
        <w:t>0.5承包人的合理化建议</w:t>
      </w:r>
      <w:bookmarkEnd w:id="339"/>
    </w:p>
    <w:bookmarkEnd w:id="340"/>
    <w:bookmarkEnd w:id="341"/>
    <w:bookmarkEnd w:id="342"/>
    <w:p w14:paraId="10E99D94">
      <w:pPr>
        <w:spacing w:line="360" w:lineRule="auto"/>
        <w:rPr>
          <w:rFonts w:ascii="宋体" w:hAnsi="宋体"/>
          <w:lang w:eastAsia="zh-CN"/>
        </w:rPr>
      </w:pPr>
      <w:r>
        <w:rPr>
          <w:rFonts w:ascii="宋体" w:hAnsi="宋体" w:hint="eastAsia"/>
          <w:lang w:eastAsia="zh-CN"/>
        </w:rPr>
        <w:t>承包人提出合理化建议的，应向监理人提交合理化建议说明，说明建议的内容和理由，以及实施该建议对合同价格和工期的影响。</w:t>
      </w:r>
    </w:p>
    <w:p w14:paraId="46FE67E2">
      <w:pPr>
        <w:spacing w:line="360" w:lineRule="auto"/>
        <w:rPr>
          <w:rFonts w:ascii="宋体" w:hAnsi="宋体"/>
          <w:lang w:eastAsia="zh-CN"/>
        </w:rPr>
      </w:pPr>
      <w:r>
        <w:rPr>
          <w:rFonts w:ascii="宋体" w:hAnsi="宋体" w:hint="eastAsia"/>
          <w:lang w:eastAsia="zh-CN"/>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1411C455">
      <w:pPr>
        <w:spacing w:line="360" w:lineRule="auto"/>
        <w:rPr>
          <w:rFonts w:ascii="宋体" w:hAnsi="宋体"/>
          <w:lang w:eastAsia="zh-CN"/>
        </w:rPr>
      </w:pPr>
      <w:r>
        <w:rPr>
          <w:rFonts w:ascii="宋体" w:hAnsi="宋体" w:hint="eastAsia"/>
          <w:lang w:eastAsia="zh-CN"/>
        </w:rPr>
        <w:t>合理化建议降低了合同价格或者提高了工程经济效益的，发包人可对承包人给予奖励，奖励的方法和金额在专用合同条款中约定。</w:t>
      </w:r>
    </w:p>
    <w:p w14:paraId="2CDA54E6">
      <w:pPr>
        <w:spacing w:line="360" w:lineRule="auto"/>
        <w:rPr>
          <w:rFonts w:ascii="宋体" w:hAnsi="宋体"/>
          <w:b/>
          <w:bCs/>
          <w:lang w:eastAsia="zh-CN"/>
        </w:rPr>
      </w:pPr>
      <w:bookmarkStart w:id="343" w:name="_Toc351203573"/>
      <w:r>
        <w:rPr>
          <w:rFonts w:ascii="宋体" w:hAnsi="宋体" w:hint="eastAsia"/>
          <w:bCs/>
          <w:lang w:eastAsia="zh-CN"/>
        </w:rPr>
        <w:t>1</w:t>
      </w:r>
      <w:bookmarkStart w:id="344" w:name="_Toc337558793"/>
      <w:r>
        <w:rPr>
          <w:rFonts w:ascii="宋体" w:hAnsi="宋体" w:hint="eastAsia"/>
          <w:bCs/>
          <w:lang w:eastAsia="zh-CN"/>
        </w:rPr>
        <w:t>0.6变更引起的工期调整</w:t>
      </w:r>
      <w:bookmarkEnd w:id="343"/>
      <w:r>
        <w:rPr>
          <w:rFonts w:ascii="宋体" w:hAnsi="宋体" w:hint="eastAsia"/>
          <w:bCs/>
          <w:lang w:eastAsia="zh-CN"/>
        </w:rPr>
        <w:t xml:space="preserve"> </w:t>
      </w:r>
      <w:bookmarkEnd w:id="344"/>
      <w:r>
        <w:rPr>
          <w:rFonts w:ascii="宋体" w:hAnsi="宋体" w:hint="eastAsia"/>
          <w:bCs/>
          <w:lang w:eastAsia="zh-CN"/>
        </w:rPr>
        <w:t xml:space="preserve"> </w:t>
      </w:r>
      <w:r>
        <w:rPr>
          <w:rFonts w:ascii="宋体" w:hAnsi="宋体" w:hint="eastAsia"/>
          <w:b/>
          <w:bCs/>
          <w:lang w:eastAsia="zh-CN"/>
        </w:rPr>
        <w:t xml:space="preserve"> </w:t>
      </w:r>
    </w:p>
    <w:p w14:paraId="71DF346C">
      <w:pPr>
        <w:spacing w:line="360" w:lineRule="auto"/>
        <w:rPr>
          <w:rFonts w:ascii="宋体" w:hAnsi="宋体"/>
          <w:lang w:eastAsia="zh-CN"/>
        </w:rPr>
      </w:pPr>
      <w:r>
        <w:rPr>
          <w:rFonts w:ascii="宋体" w:hAnsi="宋体" w:hint="eastAsia"/>
          <w:lang w:eastAsia="zh-CN"/>
        </w:rPr>
        <w:t>因变更引起工期变化的，合同当事人均可要求调整合同工期，由合同当事人按照第4.4款〔商定或确定〕并参考工程所在地的工期定额标准确定增减工期天数。</w:t>
      </w:r>
    </w:p>
    <w:p w14:paraId="70A84CF7">
      <w:pPr>
        <w:spacing w:line="360" w:lineRule="auto"/>
        <w:rPr>
          <w:rFonts w:ascii="宋体" w:hAnsi="宋体"/>
          <w:bCs/>
          <w:lang w:eastAsia="zh-CN"/>
        </w:rPr>
      </w:pPr>
      <w:bookmarkStart w:id="345" w:name="_Toc351203574"/>
      <w:r>
        <w:rPr>
          <w:rFonts w:ascii="宋体" w:hAnsi="宋体" w:hint="eastAsia"/>
          <w:bCs/>
          <w:lang w:eastAsia="zh-CN"/>
        </w:rPr>
        <w:t>10.7暂估价</w:t>
      </w:r>
      <w:bookmarkEnd w:id="345"/>
    </w:p>
    <w:p w14:paraId="5515C76B">
      <w:pPr>
        <w:spacing w:line="360" w:lineRule="auto"/>
        <w:rPr>
          <w:rFonts w:ascii="宋体" w:hAnsi="宋体"/>
          <w:lang w:eastAsia="zh-CN"/>
        </w:rPr>
      </w:pPr>
      <w:r>
        <w:rPr>
          <w:rFonts w:ascii="宋体" w:hAnsi="宋体" w:hint="eastAsia"/>
          <w:lang w:eastAsia="zh-CN"/>
        </w:rPr>
        <w:t>暂估价专业分包工程、服务、材料和工程设备的明细由合同当事人在专用合同条款中约定。</w:t>
      </w:r>
    </w:p>
    <w:p w14:paraId="7E09B6BC">
      <w:pPr>
        <w:spacing w:line="360" w:lineRule="auto"/>
        <w:rPr>
          <w:rFonts w:ascii="宋体" w:hAnsi="宋体"/>
          <w:lang w:eastAsia="zh-CN"/>
        </w:rPr>
      </w:pPr>
      <w:r>
        <w:rPr>
          <w:rFonts w:ascii="宋体" w:hAnsi="宋体" w:hint="eastAsia"/>
          <w:lang w:eastAsia="zh-CN"/>
        </w:rPr>
        <w:t>10.7.1 依法必须招标的暂估价项目</w:t>
      </w:r>
    </w:p>
    <w:p w14:paraId="045DD586">
      <w:pPr>
        <w:spacing w:line="360" w:lineRule="auto"/>
        <w:rPr>
          <w:rFonts w:ascii="宋体" w:hAnsi="宋体"/>
          <w:lang w:eastAsia="zh-CN"/>
        </w:rPr>
      </w:pPr>
      <w:r>
        <w:rPr>
          <w:rFonts w:ascii="宋体" w:hAnsi="宋体" w:hint="eastAsia"/>
          <w:lang w:eastAsia="zh-CN"/>
        </w:rPr>
        <w:t>对于依法必须招标的暂估价项目，采取以下第1种方式确定。合同当事人也可以在专用合同条款中选择其他招标方式。</w:t>
      </w:r>
    </w:p>
    <w:p w14:paraId="726CC7F2">
      <w:pPr>
        <w:spacing w:line="360" w:lineRule="auto"/>
        <w:rPr>
          <w:rFonts w:ascii="宋体" w:hAnsi="宋体"/>
          <w:lang w:eastAsia="zh-CN"/>
        </w:rPr>
      </w:pPr>
      <w:r>
        <w:rPr>
          <w:rFonts w:ascii="宋体" w:hAnsi="宋体" w:hint="eastAsia"/>
          <w:lang w:eastAsia="zh-CN"/>
        </w:rPr>
        <w:t>第1种方式：对于依法必须招标的暂估价项目，由承包人招标，对该暂估价项目的确认和批准按照以下约定执行：</w:t>
      </w:r>
    </w:p>
    <w:p w14:paraId="707DD2B3">
      <w:pPr>
        <w:spacing w:line="360" w:lineRule="auto"/>
        <w:rPr>
          <w:rFonts w:ascii="宋体" w:hAnsi="宋体"/>
          <w:lang w:eastAsia="zh-CN"/>
        </w:rPr>
      </w:pPr>
      <w:r>
        <w:rPr>
          <w:rFonts w:ascii="宋体" w:hAnsi="宋体" w:hint="eastAsia"/>
          <w:lang w:eastAsia="zh-CN"/>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2491CFEB">
      <w:pPr>
        <w:spacing w:line="360" w:lineRule="auto"/>
        <w:rPr>
          <w:rFonts w:ascii="宋体" w:hAnsi="宋体"/>
          <w:lang w:eastAsia="zh-CN"/>
        </w:rPr>
      </w:pPr>
      <w:r>
        <w:rPr>
          <w:rFonts w:ascii="宋体" w:hAnsi="宋体" w:hint="eastAsia"/>
          <w:lang w:eastAsia="zh-CN"/>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384D3605">
      <w:pPr>
        <w:spacing w:line="360" w:lineRule="auto"/>
        <w:rPr>
          <w:rFonts w:ascii="宋体" w:hAnsi="宋体"/>
          <w:lang w:eastAsia="zh-CN"/>
        </w:rPr>
      </w:pPr>
      <w:r>
        <w:rPr>
          <w:rFonts w:ascii="宋体" w:hAnsi="宋体" w:hint="eastAsia"/>
          <w:lang w:eastAsia="zh-CN"/>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2DA81B95">
      <w:pPr>
        <w:spacing w:line="360" w:lineRule="auto"/>
        <w:rPr>
          <w:rFonts w:ascii="宋体" w:hAnsi="宋体"/>
          <w:lang w:eastAsia="zh-CN"/>
        </w:rPr>
      </w:pPr>
      <w:r>
        <w:rPr>
          <w:rFonts w:ascii="宋体" w:hAnsi="宋体" w:hint="eastAsia"/>
          <w:lang w:eastAsia="zh-CN"/>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78F013EE">
      <w:pPr>
        <w:spacing w:line="360" w:lineRule="auto"/>
        <w:rPr>
          <w:rFonts w:ascii="宋体" w:hAnsi="宋体"/>
          <w:lang w:eastAsia="zh-CN"/>
        </w:rPr>
      </w:pPr>
      <w:r>
        <w:rPr>
          <w:rFonts w:ascii="宋体" w:hAnsi="宋体" w:hint="eastAsia"/>
          <w:lang w:eastAsia="zh-CN"/>
        </w:rPr>
        <w:t>10.7.2不属于依法必须招标的暂估价项目</w:t>
      </w:r>
    </w:p>
    <w:p w14:paraId="354F8E33">
      <w:pPr>
        <w:spacing w:line="360" w:lineRule="auto"/>
        <w:rPr>
          <w:rFonts w:ascii="宋体" w:hAnsi="宋体"/>
          <w:lang w:eastAsia="zh-CN"/>
        </w:rPr>
      </w:pPr>
      <w:r>
        <w:rPr>
          <w:rFonts w:ascii="宋体" w:hAnsi="宋体" w:hint="eastAsia"/>
          <w:lang w:eastAsia="zh-CN"/>
        </w:rPr>
        <w:t xml:space="preserve">除专用合同条款另有约定外，对于不属于依法必须招标的暂估价项目，采取以下第1种方式确定： </w:t>
      </w:r>
    </w:p>
    <w:p w14:paraId="0F1E521F">
      <w:pPr>
        <w:spacing w:line="360" w:lineRule="auto"/>
        <w:rPr>
          <w:rFonts w:ascii="宋体" w:hAnsi="宋体"/>
          <w:lang w:eastAsia="zh-CN"/>
        </w:rPr>
      </w:pPr>
      <w:r>
        <w:rPr>
          <w:rFonts w:ascii="宋体" w:hAnsi="宋体" w:hint="eastAsia"/>
          <w:lang w:eastAsia="zh-CN"/>
        </w:rPr>
        <w:t>第1种方式：对于不属于依法必须招标的暂估价项目，按本项约定确认和批准：</w:t>
      </w:r>
    </w:p>
    <w:p w14:paraId="1E85C245">
      <w:pPr>
        <w:spacing w:line="360" w:lineRule="auto"/>
        <w:rPr>
          <w:rFonts w:ascii="宋体" w:hAnsi="宋体"/>
          <w:lang w:eastAsia="zh-CN"/>
        </w:rPr>
      </w:pPr>
      <w:r>
        <w:rPr>
          <w:rFonts w:ascii="宋体" w:hAnsi="宋体" w:hint="eastAsia"/>
          <w:lang w:eastAsia="zh-CN"/>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7C0EE2DA">
      <w:pPr>
        <w:spacing w:line="360" w:lineRule="auto"/>
        <w:rPr>
          <w:rFonts w:ascii="宋体" w:hAnsi="宋体"/>
          <w:lang w:eastAsia="zh-CN"/>
        </w:rPr>
      </w:pPr>
      <w:r>
        <w:rPr>
          <w:rFonts w:ascii="宋体" w:hAnsi="宋体" w:hint="eastAsia"/>
          <w:lang w:eastAsia="zh-CN"/>
        </w:rPr>
        <w:t>（2）发包人认为承包人确定的供应商、分包人无法满足工程质量或合同要求的，发包人可以要求承包人重新确定暂估价项目的供应商、分包人;</w:t>
      </w:r>
    </w:p>
    <w:p w14:paraId="10FA9335">
      <w:pPr>
        <w:spacing w:line="360" w:lineRule="auto"/>
        <w:rPr>
          <w:rFonts w:ascii="宋体" w:hAnsi="宋体"/>
          <w:lang w:eastAsia="zh-CN"/>
        </w:rPr>
      </w:pPr>
      <w:r>
        <w:rPr>
          <w:rFonts w:ascii="宋体" w:hAnsi="宋体" w:hint="eastAsia"/>
          <w:lang w:eastAsia="zh-CN"/>
        </w:rPr>
        <w:t>（3）承包人应当在签订暂估价合同后7天内，将暂估价合同副本报送发包人留存。</w:t>
      </w:r>
    </w:p>
    <w:p w14:paraId="3090C8F3">
      <w:pPr>
        <w:spacing w:line="360" w:lineRule="auto"/>
        <w:rPr>
          <w:rFonts w:ascii="宋体" w:hAnsi="宋体"/>
          <w:lang w:eastAsia="zh-CN"/>
        </w:rPr>
      </w:pPr>
      <w:r>
        <w:rPr>
          <w:rFonts w:ascii="宋体" w:hAnsi="宋体" w:hint="eastAsia"/>
          <w:lang w:eastAsia="zh-CN"/>
        </w:rPr>
        <w:t>第2种方式：承包人按照第10.7.1项〔依法必须招标的暂估价项目〕约定的第1种方式确定暂估价项目。</w:t>
      </w:r>
    </w:p>
    <w:p w14:paraId="7F9E4A5A">
      <w:pPr>
        <w:spacing w:line="360" w:lineRule="auto"/>
        <w:rPr>
          <w:rFonts w:ascii="宋体" w:hAnsi="宋体"/>
          <w:lang w:eastAsia="zh-CN"/>
        </w:rPr>
      </w:pPr>
      <w:r>
        <w:rPr>
          <w:rFonts w:ascii="宋体" w:hAnsi="宋体" w:hint="eastAsia"/>
          <w:lang w:eastAsia="zh-CN"/>
        </w:rPr>
        <w:t>第3种方式：承包人直接实施的暂估价项目</w:t>
      </w:r>
    </w:p>
    <w:p w14:paraId="63B95C0B">
      <w:pPr>
        <w:spacing w:line="360" w:lineRule="auto"/>
        <w:rPr>
          <w:rFonts w:ascii="宋体" w:hAnsi="宋体"/>
          <w:lang w:eastAsia="zh-CN"/>
        </w:rPr>
      </w:pPr>
      <w:r>
        <w:rPr>
          <w:rFonts w:ascii="宋体" w:hAnsi="宋体" w:hint="eastAsia"/>
          <w:lang w:eastAsia="zh-CN"/>
        </w:rPr>
        <w:t>承包人具备实施暂估价项目的资格和条件的，经发包人和承包人协商一致后，可由承包人自行实施暂估价项目，合同当事人可以在专用合同条款约定具体事项。</w:t>
      </w:r>
    </w:p>
    <w:p w14:paraId="5E47E759">
      <w:pPr>
        <w:spacing w:line="360" w:lineRule="auto"/>
        <w:rPr>
          <w:rFonts w:ascii="宋体" w:hAnsi="宋体"/>
          <w:lang w:eastAsia="zh-CN"/>
        </w:rPr>
      </w:pPr>
      <w:r>
        <w:rPr>
          <w:rFonts w:ascii="宋体" w:hAnsi="宋体" w:hint="eastAsia"/>
          <w:lang w:eastAsia="zh-CN"/>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00D589B0">
      <w:pPr>
        <w:spacing w:line="360" w:lineRule="auto"/>
        <w:rPr>
          <w:rFonts w:ascii="宋体" w:hAnsi="宋体"/>
          <w:bCs/>
          <w:lang w:eastAsia="zh-CN"/>
        </w:rPr>
      </w:pPr>
      <w:bookmarkStart w:id="346" w:name="_Toc351203575"/>
      <w:r>
        <w:rPr>
          <w:rFonts w:ascii="宋体" w:hAnsi="宋体" w:hint="eastAsia"/>
          <w:bCs/>
          <w:lang w:eastAsia="zh-CN"/>
        </w:rPr>
        <w:t>1</w:t>
      </w:r>
      <w:bookmarkStart w:id="347" w:name="_Toc337558794"/>
      <w:bookmarkStart w:id="348" w:name="_Toc296503090"/>
      <w:bookmarkStart w:id="349" w:name="_Toc322522561"/>
      <w:bookmarkStart w:id="350" w:name="_Toc296346591"/>
      <w:r>
        <w:rPr>
          <w:rFonts w:ascii="宋体" w:hAnsi="宋体" w:hint="eastAsia"/>
          <w:bCs/>
          <w:lang w:eastAsia="zh-CN"/>
        </w:rPr>
        <w:t>0.8暂列金额</w:t>
      </w:r>
      <w:bookmarkEnd w:id="346"/>
    </w:p>
    <w:bookmarkEnd w:id="347"/>
    <w:p w14:paraId="72FDADE0">
      <w:pPr>
        <w:spacing w:line="360" w:lineRule="auto"/>
        <w:rPr>
          <w:rFonts w:ascii="宋体" w:hAnsi="宋体"/>
          <w:lang w:eastAsia="zh-CN"/>
        </w:rPr>
      </w:pPr>
      <w:r>
        <w:rPr>
          <w:rFonts w:ascii="宋体" w:hAnsi="宋体" w:hint="eastAsia"/>
          <w:lang w:eastAsia="zh-CN"/>
        </w:rPr>
        <w:t>暂列金额应按照发包人的要求使用，发包人的要求应通过监理人发出。合同当事人可以在专用合同条款中协商确定有关事项。</w:t>
      </w:r>
    </w:p>
    <w:bookmarkEnd w:id="348"/>
    <w:bookmarkEnd w:id="349"/>
    <w:bookmarkEnd w:id="350"/>
    <w:p w14:paraId="71102A9E">
      <w:pPr>
        <w:spacing w:line="360" w:lineRule="auto"/>
        <w:rPr>
          <w:rFonts w:ascii="宋体" w:hAnsi="宋体"/>
          <w:bCs/>
          <w:lang w:eastAsia="zh-CN"/>
        </w:rPr>
      </w:pPr>
      <w:bookmarkStart w:id="351" w:name="_Toc351203576"/>
      <w:r>
        <w:rPr>
          <w:rFonts w:ascii="宋体" w:hAnsi="宋体" w:hint="eastAsia"/>
          <w:bCs/>
          <w:lang w:eastAsia="zh-CN"/>
        </w:rPr>
        <w:t>1</w:t>
      </w:r>
      <w:bookmarkStart w:id="352" w:name="_Toc296346592"/>
      <w:bookmarkStart w:id="353" w:name="_Toc296503091"/>
      <w:bookmarkStart w:id="354" w:name="_Toc337558796"/>
      <w:r>
        <w:rPr>
          <w:rFonts w:ascii="宋体" w:hAnsi="宋体" w:hint="eastAsia"/>
          <w:bCs/>
          <w:lang w:eastAsia="zh-CN"/>
        </w:rPr>
        <w:t>0.9计日工</w:t>
      </w:r>
      <w:bookmarkEnd w:id="351"/>
      <w:r>
        <w:rPr>
          <w:rFonts w:ascii="宋体" w:hAnsi="宋体" w:hint="eastAsia"/>
          <w:bCs/>
          <w:lang w:eastAsia="zh-CN"/>
        </w:rPr>
        <w:t xml:space="preserve"> </w:t>
      </w:r>
      <w:bookmarkEnd w:id="352"/>
      <w:bookmarkEnd w:id="353"/>
      <w:bookmarkEnd w:id="354"/>
    </w:p>
    <w:p w14:paraId="6ED9BC4A">
      <w:pPr>
        <w:spacing w:line="360" w:lineRule="auto"/>
        <w:rPr>
          <w:rFonts w:ascii="宋体" w:hAnsi="宋体"/>
          <w:lang w:eastAsia="zh-CN"/>
        </w:rPr>
      </w:pPr>
      <w:r>
        <w:rPr>
          <w:rFonts w:ascii="宋体" w:hAnsi="宋体" w:hint="eastAsia"/>
          <w:lang w:eastAsia="zh-CN"/>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67D9DDC1">
      <w:pPr>
        <w:spacing w:line="360" w:lineRule="auto"/>
        <w:rPr>
          <w:rFonts w:ascii="宋体" w:hAnsi="宋体"/>
          <w:lang w:eastAsia="zh-CN"/>
        </w:rPr>
      </w:pPr>
      <w:r>
        <w:rPr>
          <w:rFonts w:ascii="宋体" w:hAnsi="宋体" w:hint="eastAsia"/>
          <w:lang w:eastAsia="zh-CN"/>
        </w:rPr>
        <w:t>采用计日工计价的任何一项工作，承包人应在该项工作实施过程中，每天提交以下报表和有关凭证报送监理人审查：</w:t>
      </w:r>
    </w:p>
    <w:p w14:paraId="1BFF6C28">
      <w:pPr>
        <w:spacing w:line="360" w:lineRule="auto"/>
        <w:rPr>
          <w:rFonts w:ascii="宋体" w:hAnsi="宋体"/>
          <w:lang w:eastAsia="zh-CN"/>
        </w:rPr>
      </w:pPr>
      <w:r>
        <w:rPr>
          <w:rFonts w:ascii="宋体" w:hAnsi="宋体" w:hint="eastAsia"/>
          <w:lang w:eastAsia="zh-CN"/>
        </w:rPr>
        <w:t>（1）工作名称、内容和数量；</w:t>
      </w:r>
    </w:p>
    <w:p w14:paraId="28DD87AD">
      <w:pPr>
        <w:spacing w:line="360" w:lineRule="auto"/>
        <w:rPr>
          <w:rFonts w:ascii="宋体" w:hAnsi="宋体"/>
          <w:lang w:eastAsia="zh-CN"/>
        </w:rPr>
      </w:pPr>
      <w:r>
        <w:rPr>
          <w:rFonts w:ascii="宋体" w:hAnsi="宋体" w:hint="eastAsia"/>
          <w:lang w:eastAsia="zh-CN"/>
        </w:rPr>
        <w:t>（2）投入该工作的所有人员的姓名、专业、工种、级别和耗用工时；</w:t>
      </w:r>
    </w:p>
    <w:p w14:paraId="3C65A51B">
      <w:pPr>
        <w:spacing w:line="360" w:lineRule="auto"/>
        <w:rPr>
          <w:rFonts w:ascii="宋体" w:hAnsi="宋体"/>
          <w:lang w:eastAsia="zh-CN"/>
        </w:rPr>
      </w:pPr>
      <w:r>
        <w:rPr>
          <w:rFonts w:ascii="宋体" w:hAnsi="宋体" w:hint="eastAsia"/>
          <w:lang w:eastAsia="zh-CN"/>
        </w:rPr>
        <w:t>（3）投入该工作的材料类别和数量；</w:t>
      </w:r>
    </w:p>
    <w:p w14:paraId="29091706">
      <w:pPr>
        <w:spacing w:line="360" w:lineRule="auto"/>
        <w:rPr>
          <w:rFonts w:ascii="宋体" w:hAnsi="宋体"/>
          <w:lang w:eastAsia="zh-CN"/>
        </w:rPr>
      </w:pPr>
      <w:r>
        <w:rPr>
          <w:rFonts w:ascii="宋体" w:hAnsi="宋体" w:hint="eastAsia"/>
          <w:lang w:eastAsia="zh-CN"/>
        </w:rPr>
        <w:t>（4）投入该工作的施工设备型号、台数和耗用台时；</w:t>
      </w:r>
    </w:p>
    <w:p w14:paraId="11F2F2D8">
      <w:pPr>
        <w:spacing w:line="360" w:lineRule="auto"/>
        <w:rPr>
          <w:rFonts w:ascii="宋体" w:hAnsi="宋体"/>
          <w:lang w:eastAsia="zh-CN"/>
        </w:rPr>
      </w:pPr>
      <w:r>
        <w:rPr>
          <w:rFonts w:ascii="宋体" w:hAnsi="宋体" w:hint="eastAsia"/>
          <w:lang w:eastAsia="zh-CN"/>
        </w:rPr>
        <w:t>（5）其他有关资料和凭证。</w:t>
      </w:r>
    </w:p>
    <w:p w14:paraId="7A9BA8E8">
      <w:pPr>
        <w:spacing w:line="360" w:lineRule="auto"/>
        <w:rPr>
          <w:rFonts w:ascii="宋体" w:hAnsi="宋体"/>
          <w:lang w:eastAsia="zh-CN"/>
        </w:rPr>
      </w:pPr>
      <w:r>
        <w:rPr>
          <w:rFonts w:ascii="宋体" w:hAnsi="宋体" w:hint="eastAsia"/>
          <w:lang w:eastAsia="zh-CN"/>
        </w:rPr>
        <w:t xml:space="preserve"> 计日工由承包人汇总后，列入最近一期进度付款申请单，由监理人审查并经发包人批准后列入进度付款。</w:t>
      </w:r>
    </w:p>
    <w:p w14:paraId="4E37870E">
      <w:pPr>
        <w:spacing w:line="360" w:lineRule="auto"/>
        <w:rPr>
          <w:rFonts w:ascii="宋体" w:hAnsi="宋体"/>
          <w:bCs/>
          <w:lang w:eastAsia="zh-CN"/>
        </w:rPr>
      </w:pPr>
      <w:bookmarkStart w:id="355" w:name="_Toc351203577"/>
      <w:r>
        <w:rPr>
          <w:rFonts w:ascii="宋体" w:hAnsi="宋体" w:hint="eastAsia"/>
          <w:bCs/>
          <w:lang w:eastAsia="zh-CN"/>
        </w:rPr>
        <w:t>11. 价格调整</w:t>
      </w:r>
      <w:bookmarkEnd w:id="355"/>
    </w:p>
    <w:p w14:paraId="6D456B0D">
      <w:pPr>
        <w:spacing w:line="360" w:lineRule="auto"/>
        <w:rPr>
          <w:rFonts w:ascii="宋体" w:hAnsi="宋体"/>
          <w:bCs/>
          <w:lang w:eastAsia="zh-CN"/>
        </w:rPr>
      </w:pPr>
      <w:bookmarkStart w:id="356" w:name="_Toc351203578"/>
      <w:bookmarkStart w:id="357" w:name="_Toc296503092"/>
      <w:bookmarkStart w:id="358" w:name="_Toc337558797"/>
      <w:bookmarkStart w:id="359" w:name="_Toc296346593"/>
      <w:r>
        <w:rPr>
          <w:rFonts w:ascii="宋体" w:hAnsi="宋体" w:hint="eastAsia"/>
          <w:bCs/>
          <w:lang w:eastAsia="zh-CN"/>
        </w:rPr>
        <w:t>11.1市场价格波动引起的调整</w:t>
      </w:r>
      <w:bookmarkEnd w:id="356"/>
    </w:p>
    <w:bookmarkEnd w:id="357"/>
    <w:bookmarkEnd w:id="358"/>
    <w:bookmarkEnd w:id="359"/>
    <w:p w14:paraId="34C0170C">
      <w:pPr>
        <w:spacing w:line="360" w:lineRule="auto"/>
        <w:rPr>
          <w:rFonts w:ascii="宋体" w:hAnsi="宋体"/>
          <w:lang w:eastAsia="zh-CN"/>
        </w:rPr>
      </w:pPr>
      <w:r>
        <w:rPr>
          <w:rFonts w:ascii="宋体" w:hAnsi="宋体" w:hint="eastAsia"/>
          <w:lang w:eastAsia="zh-CN"/>
        </w:rPr>
        <w:t>除专用合同条款另有约定外，市场价格波动超过合同当事人约定的范围，合同价格应当调整。合同当事人可以在专用合同条款中约定选择以下一种方式对合同价格进行调整：</w:t>
      </w:r>
    </w:p>
    <w:p w14:paraId="2D33D45C">
      <w:pPr>
        <w:spacing w:line="360" w:lineRule="auto"/>
        <w:rPr>
          <w:rFonts w:ascii="宋体" w:hAnsi="宋体"/>
          <w:lang w:eastAsia="zh-CN"/>
        </w:rPr>
      </w:pPr>
      <w:r>
        <w:rPr>
          <w:rFonts w:ascii="宋体" w:hAnsi="宋体" w:hint="eastAsia"/>
          <w:lang w:eastAsia="zh-CN"/>
        </w:rPr>
        <w:t>第1种方式：采用价格指数进行价格调整。</w:t>
      </w:r>
    </w:p>
    <w:p w14:paraId="59910F50">
      <w:pPr>
        <w:spacing w:line="360" w:lineRule="auto"/>
        <w:rPr>
          <w:rFonts w:ascii="宋体" w:hAnsi="宋体"/>
          <w:lang w:eastAsia="zh-CN"/>
        </w:rPr>
      </w:pPr>
      <w:r>
        <w:rPr>
          <w:rFonts w:ascii="宋体" w:hAnsi="宋体" w:hint="eastAsia"/>
          <w:lang w:eastAsia="zh-CN"/>
        </w:rPr>
        <w:t>（1）价格调整公式</w:t>
      </w:r>
    </w:p>
    <w:p w14:paraId="33F7E680">
      <w:pPr>
        <w:spacing w:line="360" w:lineRule="auto"/>
        <w:rPr>
          <w:rFonts w:ascii="宋体" w:hAnsi="宋体"/>
          <w:lang w:eastAsia="zh-CN"/>
        </w:rPr>
      </w:pPr>
      <w:r>
        <w:rPr>
          <w:rFonts w:ascii="宋体" w:hAnsi="宋体" w:hint="eastAsia"/>
          <w:lang w:eastAsia="zh-CN"/>
        </w:rPr>
        <w:t>因人工、材料和设备等价格波动影响合同价格时，根据专用合同条款中约定的数据，按以下公式计算差额并调整合同价格：</w:t>
      </w:r>
    </w:p>
    <w:p w14:paraId="0C7632DF">
      <w:pPr>
        <w:spacing w:line="360" w:lineRule="auto"/>
        <w:rPr>
          <w:rFonts w:ascii="宋体" w:hAnsi="宋体"/>
        </w:rPr>
      </w:pPr>
      <w:r>
        <w:rPr>
          <w:rFonts w:ascii="宋体" w:eastAsia="宋体" w:hAnsi="宋体" w:hint="eastAsia"/>
          <w:kern w:val="2"/>
          <w:lang w:eastAsia="zh-CN"/>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in;height:44.5pt" o:oleicon="f" o:ole="" coordsize="21600,21600" o:preferrelative="t" filled="f" stroked="f">
            <v:stroke joinstyle="miter"/>
            <v:imagedata r:id="rId8" o:title=""/>
            <o:lock v:ext="edit" aspectratio="t"/>
            <w10:anchorlock/>
          </v:shape>
          <o:OLEObject Type="Embed" ProgID="Equation.3" ShapeID="_x0000_i1026" DrawAspect="Content" ObjectID="_1468075725" r:id="rId9"/>
        </w:object>
      </w:r>
    </w:p>
    <w:p w14:paraId="5CBE2DE2">
      <w:pPr>
        <w:spacing w:line="360" w:lineRule="auto"/>
        <w:rPr>
          <w:rFonts w:ascii="宋体" w:hAnsi="宋体"/>
          <w:lang w:eastAsia="zh-CN"/>
        </w:rPr>
      </w:pPr>
      <w:r>
        <w:rPr>
          <w:rFonts w:ascii="宋体" w:hAnsi="宋体" w:hint="eastAsia"/>
          <w:lang w:eastAsia="zh-CN"/>
        </w:rPr>
        <w:t>公式中：</w:t>
      </w:r>
      <w:r>
        <w:rPr>
          <w:rFonts w:ascii="宋体" w:hAnsi="宋体" w:hint="eastAsia"/>
        </w:rPr>
        <w:t>Δ</w:t>
      </w:r>
      <w:r>
        <w:rPr>
          <w:rFonts w:ascii="宋体" w:hAnsi="宋体" w:hint="eastAsia"/>
          <w:lang w:eastAsia="zh-CN"/>
        </w:rPr>
        <w:t>P——需调整的价格差额；</w:t>
      </w:r>
    </w:p>
    <w:p w14:paraId="087885FF">
      <w:pPr>
        <w:spacing w:line="360" w:lineRule="auto"/>
        <w:rPr>
          <w:rFonts w:ascii="宋体" w:hAnsi="宋体"/>
          <w:lang w:eastAsia="zh-CN"/>
        </w:rPr>
      </w:pPr>
      <w:r>
        <w:rPr>
          <w:rFonts w:ascii="宋体" w:eastAsia="宋体" w:hAnsi="宋体" w:hint="eastAsia"/>
          <w:kern w:val="2"/>
          <w:lang w:eastAsia="zh-CN"/>
        </w:rPr>
        <w:object>
          <v:shape id="_x0000_i1027" type="#_x0000_t75" style="width:17.5pt;height:17.5pt" o:oleicon="f" o:ole="" coordsize="21600,21600" o:preferrelative="t" filled="f" stroked="f">
            <v:stroke joinstyle="miter"/>
            <v:imagedata r:id="rId10" o:title=""/>
            <o:lock v:ext="edit" aspectratio="t"/>
            <w10:anchorlock/>
          </v:shape>
          <o:OLEObject Type="Embed" ProgID="Equation.3" ShapeID="_x0000_i1027" DrawAspect="Content" ObjectID="_1468075726" r:id="rId11"/>
        </w:object>
      </w:r>
      <w:r>
        <w:rPr>
          <w:rFonts w:ascii="宋体" w:hAnsi="宋体" w:hint="eastAsia"/>
          <w:lang w:eastAsia="zh-CN"/>
        </w:rPr>
        <w:t>——约定的付款证书中承包人应得到的已完成工程量的金额。此项金额应不包括价格调整、不计质量保证金的扣留和支付、预付款的支付和扣回。约定的变更及其他金额已按现行价格计价的，也不计在内；</w:t>
      </w:r>
    </w:p>
    <w:p w14:paraId="288C45E2">
      <w:pPr>
        <w:spacing w:line="360" w:lineRule="auto"/>
        <w:rPr>
          <w:rFonts w:ascii="宋体" w:hAnsi="宋体"/>
          <w:lang w:eastAsia="zh-CN"/>
        </w:rPr>
      </w:pPr>
      <w:r>
        <w:rPr>
          <w:rFonts w:ascii="宋体" w:hAnsi="宋体" w:hint="eastAsia"/>
          <w:lang w:eastAsia="zh-CN"/>
        </w:rPr>
        <w:t>A——定值权重（即不调部分的权重）；</w:t>
      </w:r>
    </w:p>
    <w:p w14:paraId="7301CC79">
      <w:pPr>
        <w:spacing w:line="360" w:lineRule="auto"/>
        <w:rPr>
          <w:rFonts w:ascii="宋体" w:hAnsi="宋体"/>
          <w:lang w:eastAsia="zh-CN"/>
        </w:rPr>
      </w:pPr>
      <w:r>
        <w:rPr>
          <w:rFonts w:ascii="宋体" w:eastAsia="宋体" w:hAnsi="宋体" w:hint="eastAsia"/>
          <w:kern w:val="2"/>
          <w:lang w:eastAsia="zh-CN"/>
        </w:rPr>
        <w:object>
          <v:shape id="_x0000_i1028" type="#_x0000_t75" style="width:101pt;height:21.5pt" o:oleicon="f" o:ole="" coordsize="21600,21600" o:preferrelative="t" filled="f" stroked="f">
            <v:stroke joinstyle="miter"/>
            <v:imagedata r:id="rId12" o:title=""/>
            <o:lock v:ext="edit" aspectratio="t"/>
            <w10:anchorlock/>
          </v:shape>
          <o:OLEObject Type="Embed" ProgID="Equation.3" ShapeID="_x0000_i1028" DrawAspect="Content" ObjectID="_1468075727" r:id="rId13"/>
        </w:object>
      </w:r>
      <w:r>
        <w:rPr>
          <w:rFonts w:ascii="宋体" w:hAnsi="宋体" w:hint="eastAsia"/>
          <w:lang w:eastAsia="zh-CN"/>
        </w:rPr>
        <w:t>——各可调因子的变值权重（即可调部分的权重），为各可调因子在签约合同价中所占的比例；</w:t>
      </w:r>
    </w:p>
    <w:p w14:paraId="1F87A31B">
      <w:pPr>
        <w:spacing w:line="360" w:lineRule="auto"/>
        <w:rPr>
          <w:rFonts w:ascii="宋体" w:hAnsi="宋体"/>
          <w:lang w:eastAsia="zh-CN"/>
        </w:rPr>
      </w:pPr>
      <w:r>
        <w:rPr>
          <w:rFonts w:ascii="宋体" w:eastAsia="宋体" w:hAnsi="宋体" w:hint="eastAsia"/>
          <w:kern w:val="2"/>
          <w:lang w:eastAsia="zh-CN"/>
        </w:rPr>
        <w:object>
          <v:shape id="_x0000_i1029" type="#_x0000_t75" style="width:102pt;height:19.5pt" o:oleicon="f" o:ole="" coordsize="21600,21600" o:preferrelative="t" filled="f" stroked="f">
            <v:stroke joinstyle="miter"/>
            <v:imagedata r:id="rId14" o:title=""/>
            <o:lock v:ext="edit" aspectratio="t"/>
            <w10:anchorlock/>
          </v:shape>
          <o:OLEObject Type="Embed" ProgID="Equation.3" ShapeID="_x0000_i1029" DrawAspect="Content" ObjectID="_1468075728" r:id="rId15"/>
        </w:object>
      </w:r>
      <w:r>
        <w:rPr>
          <w:rFonts w:ascii="宋体" w:hAnsi="宋体" w:hint="eastAsia"/>
          <w:lang w:eastAsia="zh-CN"/>
        </w:rPr>
        <w:t>——各可调因子的现行价格指数，指约定的付款证书相关周期最后一天的前42天的各可调因子的价格指数；</w:t>
      </w:r>
    </w:p>
    <w:p w14:paraId="4ED2700E">
      <w:pPr>
        <w:spacing w:line="360" w:lineRule="auto"/>
        <w:rPr>
          <w:rFonts w:ascii="宋体" w:hAnsi="宋体"/>
          <w:lang w:eastAsia="zh-CN"/>
        </w:rPr>
      </w:pPr>
      <w:r>
        <w:rPr>
          <w:rFonts w:ascii="宋体" w:eastAsia="宋体" w:hAnsi="宋体" w:hint="eastAsia"/>
          <w:kern w:val="2"/>
          <w:lang w:eastAsia="zh-CN"/>
        </w:rPr>
        <w:object>
          <v:shape id="_x0000_i1030" type="#_x0000_t75" style="width:108.5pt;height:19.5pt" o:oleicon="f" o:ole="" coordsize="21600,21600" o:preferrelative="t" filled="f" stroked="f">
            <v:stroke joinstyle="miter"/>
            <v:imagedata r:id="rId16" o:title=""/>
            <o:lock v:ext="edit" aspectratio="t"/>
            <w10:anchorlock/>
          </v:shape>
          <o:OLEObject Type="Embed" ProgID="Equation.3" ShapeID="_x0000_i1030" DrawAspect="Content" ObjectID="_1468075729" r:id="rId17"/>
        </w:object>
      </w:r>
      <w:r>
        <w:rPr>
          <w:rFonts w:ascii="宋体" w:hAnsi="宋体" w:hint="eastAsia"/>
          <w:lang w:eastAsia="zh-CN"/>
        </w:rPr>
        <w:t>——各可调因子的基本价格指数，指基准日期的各可调因子的价格指数。</w:t>
      </w:r>
    </w:p>
    <w:p w14:paraId="08CB0357">
      <w:pPr>
        <w:spacing w:line="360" w:lineRule="auto"/>
        <w:rPr>
          <w:rFonts w:ascii="宋体" w:hAnsi="宋体"/>
          <w:lang w:eastAsia="zh-CN"/>
        </w:rPr>
      </w:pPr>
      <w:r>
        <w:rPr>
          <w:rFonts w:ascii="宋体" w:hAnsi="宋体" w:hint="eastAsia"/>
          <w:lang w:eastAsia="zh-CN"/>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402FE57F">
      <w:pPr>
        <w:spacing w:line="360" w:lineRule="auto"/>
        <w:rPr>
          <w:rFonts w:ascii="宋体" w:hAnsi="宋体"/>
          <w:lang w:eastAsia="zh-CN"/>
        </w:rPr>
      </w:pPr>
      <w:r>
        <w:rPr>
          <w:rFonts w:ascii="宋体" w:hAnsi="宋体" w:hint="eastAsia"/>
          <w:lang w:eastAsia="zh-CN"/>
        </w:rPr>
        <w:t>（2）暂时确定调整差额</w:t>
      </w:r>
    </w:p>
    <w:p w14:paraId="5A420C95">
      <w:pPr>
        <w:spacing w:line="360" w:lineRule="auto"/>
        <w:rPr>
          <w:rFonts w:ascii="宋体" w:hAnsi="宋体"/>
          <w:lang w:eastAsia="zh-CN"/>
        </w:rPr>
      </w:pPr>
      <w:r>
        <w:rPr>
          <w:rFonts w:ascii="宋体" w:hAnsi="宋体" w:hint="eastAsia"/>
          <w:lang w:eastAsia="zh-CN"/>
        </w:rPr>
        <w:t>在计算调整差额时无现行价格指数的，合同当事人同意暂用前次价格指数计算。实际价格指数有调整的，合同当事人进行相应调整。</w:t>
      </w:r>
    </w:p>
    <w:p w14:paraId="5E94F962">
      <w:pPr>
        <w:spacing w:line="360" w:lineRule="auto"/>
        <w:rPr>
          <w:rFonts w:ascii="宋体" w:hAnsi="宋体"/>
          <w:lang w:eastAsia="zh-CN"/>
        </w:rPr>
      </w:pPr>
      <w:r>
        <w:rPr>
          <w:rFonts w:ascii="宋体" w:hAnsi="宋体" w:hint="eastAsia"/>
          <w:lang w:eastAsia="zh-CN"/>
        </w:rPr>
        <w:t>（3）权重的调整</w:t>
      </w:r>
    </w:p>
    <w:p w14:paraId="335D3C32">
      <w:pPr>
        <w:spacing w:line="360" w:lineRule="auto"/>
        <w:rPr>
          <w:rFonts w:ascii="宋体" w:hAnsi="宋体"/>
          <w:lang w:eastAsia="zh-CN"/>
        </w:rPr>
      </w:pPr>
      <w:r>
        <w:rPr>
          <w:rFonts w:ascii="宋体" w:hAnsi="宋体" w:hint="eastAsia"/>
          <w:lang w:eastAsia="zh-CN"/>
        </w:rPr>
        <w:t>因变更导致合同约定的权重不合理时，按照第4.4款〔商定或确定〕执行。</w:t>
      </w:r>
    </w:p>
    <w:p w14:paraId="3D87FB9D">
      <w:pPr>
        <w:spacing w:line="360" w:lineRule="auto"/>
        <w:rPr>
          <w:rFonts w:ascii="宋体" w:hAnsi="宋体"/>
          <w:lang w:eastAsia="zh-CN"/>
        </w:rPr>
      </w:pPr>
      <w:r>
        <w:rPr>
          <w:rFonts w:ascii="宋体" w:hAnsi="宋体" w:hint="eastAsia"/>
          <w:lang w:eastAsia="zh-CN"/>
        </w:rPr>
        <w:t>（4）因承包人原因工期延误后的价格调整</w:t>
      </w:r>
    </w:p>
    <w:p w14:paraId="01741571">
      <w:pPr>
        <w:spacing w:line="360" w:lineRule="auto"/>
        <w:rPr>
          <w:rFonts w:ascii="宋体" w:hAnsi="宋体"/>
          <w:lang w:eastAsia="zh-CN"/>
        </w:rPr>
      </w:pPr>
      <w:r>
        <w:rPr>
          <w:rFonts w:ascii="宋体" w:hAnsi="宋体" w:hint="eastAsia"/>
          <w:lang w:eastAsia="zh-CN"/>
        </w:rPr>
        <w:t>因承包人原因未按期竣工的，对合同约定的竣工日期后继续施工的工程，在使用价格调整公式时，应采用计划竣工日期与实际竣工日期的两个价格指数中较低的一个作为现行价格指数。</w:t>
      </w:r>
    </w:p>
    <w:p w14:paraId="295EF2EB">
      <w:pPr>
        <w:spacing w:line="360" w:lineRule="auto"/>
        <w:rPr>
          <w:rFonts w:ascii="宋体" w:hAnsi="宋体"/>
          <w:lang w:eastAsia="zh-CN"/>
        </w:rPr>
      </w:pPr>
      <w:r>
        <w:rPr>
          <w:rFonts w:ascii="宋体" w:hAnsi="宋体" w:hint="eastAsia"/>
          <w:lang w:eastAsia="zh-CN"/>
        </w:rPr>
        <w:t>第2种方式：采用造价信息进行价格调整。</w:t>
      </w:r>
    </w:p>
    <w:p w14:paraId="18BFE6B1">
      <w:pPr>
        <w:spacing w:line="360" w:lineRule="auto"/>
        <w:rPr>
          <w:rFonts w:ascii="宋体" w:hAnsi="宋体"/>
          <w:lang w:eastAsia="zh-CN"/>
        </w:rPr>
      </w:pPr>
      <w:r>
        <w:rPr>
          <w:rFonts w:ascii="宋体" w:hAnsi="宋体" w:hint="eastAsia"/>
          <w:lang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66F0D63F">
      <w:pPr>
        <w:spacing w:line="360" w:lineRule="auto"/>
        <w:rPr>
          <w:rFonts w:ascii="宋体" w:hAnsi="宋体"/>
          <w:lang w:eastAsia="zh-CN"/>
        </w:rPr>
      </w:pPr>
      <w:r>
        <w:rPr>
          <w:rFonts w:ascii="宋体" w:hAnsi="宋体" w:hint="eastAsia"/>
          <w:lang w:eastAsia="zh-CN"/>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D6D24D9">
      <w:pPr>
        <w:spacing w:line="360" w:lineRule="auto"/>
        <w:rPr>
          <w:rFonts w:ascii="宋体" w:hAnsi="宋体"/>
          <w:lang w:eastAsia="zh-CN"/>
        </w:rPr>
      </w:pPr>
      <w:r>
        <w:rPr>
          <w:rFonts w:ascii="宋体" w:hAnsi="宋体" w:hint="eastAsia"/>
          <w:lang w:eastAsia="zh-CN"/>
        </w:rPr>
        <w:t>（2）材料、工程设备价格变化的价款调整按照发包人提供的基准价格，按以下风险范围规定执行:</w:t>
      </w:r>
    </w:p>
    <w:p w14:paraId="716EA060">
      <w:pPr>
        <w:spacing w:line="360" w:lineRule="auto"/>
        <w:rPr>
          <w:rFonts w:ascii="宋体" w:hAnsi="宋体"/>
          <w:lang w:eastAsia="zh-CN"/>
        </w:rPr>
      </w:pPr>
      <w:r>
        <w:rPr>
          <w:rFonts w:ascii="宋体" w:hAnsi="宋体" w:hint="eastAsia"/>
          <w:lang w:eastAsia="zh-CN"/>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6D08C125">
      <w:pPr>
        <w:spacing w:line="360" w:lineRule="auto"/>
        <w:rPr>
          <w:rFonts w:ascii="宋体" w:hAnsi="宋体"/>
          <w:lang w:eastAsia="zh-CN"/>
        </w:rPr>
      </w:pPr>
      <w:r>
        <w:rPr>
          <w:rFonts w:ascii="宋体" w:hAnsi="宋体" w:hint="eastAsia"/>
          <w:lang w:eastAsia="zh-CN"/>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5909FEAE">
      <w:pPr>
        <w:spacing w:line="360" w:lineRule="auto"/>
        <w:rPr>
          <w:rFonts w:ascii="宋体" w:hAnsi="宋体"/>
          <w:lang w:eastAsia="zh-CN"/>
        </w:rPr>
      </w:pPr>
      <w:r>
        <w:rPr>
          <w:rFonts w:ascii="宋体" w:hAnsi="宋体" w:hint="eastAsia"/>
          <w:lang w:eastAsia="zh-CN"/>
        </w:rPr>
        <w:t>③承包人在已标价工程量清单或预算书中载明材料单价等于基准价格的：除专用合同条款另有约定外，合同履行期间材料单价涨跌幅以基准价格为基础超过±5%时，其超过部分据实调整。</w:t>
      </w:r>
    </w:p>
    <w:p w14:paraId="152FD9C3">
      <w:pPr>
        <w:spacing w:line="360" w:lineRule="auto"/>
        <w:rPr>
          <w:rFonts w:ascii="宋体" w:hAnsi="宋体"/>
          <w:lang w:eastAsia="zh-CN"/>
        </w:rPr>
      </w:pPr>
      <w:r>
        <w:rPr>
          <w:rFonts w:ascii="宋体" w:hAnsi="宋体" w:hint="eastAsia"/>
          <w:lang w:eastAsia="zh-CN"/>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0CD21E41">
      <w:pPr>
        <w:spacing w:line="360" w:lineRule="auto"/>
        <w:rPr>
          <w:rFonts w:ascii="宋体" w:hAnsi="宋体"/>
          <w:lang w:eastAsia="zh-CN"/>
        </w:rPr>
      </w:pPr>
      <w:bookmarkStart w:id="360" w:name="OLE_LINK3"/>
      <w:r>
        <w:rPr>
          <w:rFonts w:ascii="宋体" w:hAnsi="宋体" w:hint="eastAsia"/>
          <w:lang w:eastAsia="zh-CN"/>
        </w:rPr>
        <w:t>前述基准价格是指由发包人在招标文件或专用合同条款中给定的材料、工程设备的价格，该价格原则上应当按照省级或行业建设主管部门或其授权的工程造价管理机构发布的信息价编制。</w:t>
      </w:r>
    </w:p>
    <w:p w14:paraId="63B4C41B">
      <w:pPr>
        <w:spacing w:line="360" w:lineRule="auto"/>
        <w:rPr>
          <w:rFonts w:ascii="宋体" w:hAnsi="宋体"/>
          <w:lang w:eastAsia="zh-CN"/>
        </w:rPr>
      </w:pPr>
      <w:r>
        <w:rPr>
          <w:rFonts w:ascii="宋体" w:hAnsi="宋体" w:hint="eastAsia"/>
          <w:lang w:eastAsia="zh-CN"/>
        </w:rPr>
        <w:t>（3）施工机械台班单价或施工机械使用费发生变化超过省级或行业建设主管部门或其授权的工程造价管理机构规定的范围时，按规定调整合同价格。</w:t>
      </w:r>
    </w:p>
    <w:p w14:paraId="438A5278">
      <w:pPr>
        <w:spacing w:line="360" w:lineRule="auto"/>
        <w:rPr>
          <w:rFonts w:ascii="宋体" w:hAnsi="宋体"/>
          <w:lang w:eastAsia="zh-CN"/>
        </w:rPr>
      </w:pPr>
      <w:r>
        <w:rPr>
          <w:rFonts w:ascii="宋体" w:hAnsi="宋体" w:hint="eastAsia"/>
          <w:lang w:eastAsia="zh-CN"/>
        </w:rPr>
        <w:t>第3种方式：专用合同条款约定的其他方式。</w:t>
      </w:r>
    </w:p>
    <w:p w14:paraId="12B24ED8">
      <w:pPr>
        <w:spacing w:line="360" w:lineRule="auto"/>
        <w:rPr>
          <w:rFonts w:ascii="宋体" w:hAnsi="宋体"/>
          <w:bCs/>
          <w:lang w:eastAsia="zh-CN"/>
        </w:rPr>
      </w:pPr>
      <w:bookmarkStart w:id="361" w:name="_Toc351203579"/>
      <w:bookmarkStart w:id="362" w:name="_Toc296346594"/>
      <w:bookmarkStart w:id="363" w:name="_Toc296503093"/>
      <w:bookmarkStart w:id="364" w:name="_Toc337558798"/>
      <w:r>
        <w:rPr>
          <w:rFonts w:ascii="宋体" w:hAnsi="宋体" w:hint="eastAsia"/>
          <w:bCs/>
          <w:lang w:eastAsia="zh-CN"/>
        </w:rPr>
        <w:t>11.2法律变化引起的调整</w:t>
      </w:r>
      <w:bookmarkEnd w:id="361"/>
    </w:p>
    <w:bookmarkEnd w:id="362"/>
    <w:bookmarkEnd w:id="363"/>
    <w:bookmarkEnd w:id="364"/>
    <w:p w14:paraId="378E687A">
      <w:pPr>
        <w:spacing w:line="360" w:lineRule="auto"/>
        <w:rPr>
          <w:rFonts w:ascii="宋体" w:hAnsi="宋体"/>
          <w:lang w:eastAsia="zh-CN"/>
        </w:rPr>
      </w:pPr>
      <w:r>
        <w:rPr>
          <w:rFonts w:ascii="宋体" w:hAnsi="宋体" w:hint="eastAsia"/>
          <w:lang w:eastAsia="zh-CN"/>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238977A1">
      <w:pPr>
        <w:spacing w:line="360" w:lineRule="auto"/>
        <w:rPr>
          <w:rFonts w:ascii="宋体" w:hAnsi="宋体"/>
          <w:lang w:eastAsia="zh-CN"/>
        </w:rPr>
      </w:pPr>
      <w:r>
        <w:rPr>
          <w:rFonts w:ascii="宋体" w:hAnsi="宋体" w:hint="eastAsia"/>
          <w:lang w:eastAsia="zh-CN"/>
        </w:rPr>
        <w:t>因法律变化引起的合同价格和工期调整，合同当事人无法达成一致的，由总监理工程师按第4.4款〔商定或确定〕的约定处理。</w:t>
      </w:r>
    </w:p>
    <w:p w14:paraId="60B88893">
      <w:pPr>
        <w:spacing w:line="360" w:lineRule="auto"/>
        <w:rPr>
          <w:rFonts w:ascii="宋体" w:hAnsi="宋体"/>
          <w:lang w:eastAsia="zh-CN"/>
        </w:rPr>
      </w:pPr>
      <w:r>
        <w:rPr>
          <w:rFonts w:ascii="宋体" w:hAnsi="宋体" w:hint="eastAsia"/>
          <w:lang w:eastAsia="zh-CN"/>
        </w:rPr>
        <w:t>因承包人原因造成工期延误，在工期延误期间出现法律变化的，由此增加的费用和（或）延误的工期由承包人承担。</w:t>
      </w:r>
    </w:p>
    <w:p w14:paraId="73417E00">
      <w:pPr>
        <w:spacing w:line="360" w:lineRule="auto"/>
        <w:rPr>
          <w:rFonts w:ascii="宋体" w:hAnsi="宋体"/>
          <w:bCs/>
          <w:lang w:eastAsia="zh-CN"/>
        </w:rPr>
      </w:pPr>
      <w:bookmarkStart w:id="365" w:name="_Toc351203580"/>
      <w:bookmarkStart w:id="366" w:name="_Toc337558799"/>
      <w:bookmarkStart w:id="367" w:name="_Toc296503096"/>
      <w:bookmarkStart w:id="368" w:name="_Toc296346597"/>
      <w:r>
        <w:rPr>
          <w:rFonts w:ascii="宋体" w:hAnsi="宋体" w:hint="eastAsia"/>
          <w:bCs/>
          <w:lang w:eastAsia="zh-CN"/>
        </w:rPr>
        <w:t>12. 合同价格、计量与支付</w:t>
      </w:r>
      <w:bookmarkEnd w:id="365"/>
    </w:p>
    <w:bookmarkEnd w:id="366"/>
    <w:p w14:paraId="1A54A3EF">
      <w:pPr>
        <w:spacing w:line="360" w:lineRule="auto"/>
        <w:rPr>
          <w:rFonts w:ascii="宋体" w:hAnsi="宋体"/>
          <w:bCs/>
          <w:lang w:eastAsia="zh-CN"/>
        </w:rPr>
      </w:pPr>
      <w:bookmarkStart w:id="369" w:name="_Toc351203581"/>
      <w:bookmarkStart w:id="370" w:name="_Toc337558800"/>
      <w:r>
        <w:rPr>
          <w:rFonts w:ascii="宋体" w:hAnsi="宋体" w:hint="eastAsia"/>
          <w:bCs/>
          <w:lang w:eastAsia="zh-CN"/>
        </w:rPr>
        <w:t>12.1 合同价</w:t>
      </w:r>
      <w:bookmarkEnd w:id="367"/>
      <w:bookmarkEnd w:id="368"/>
      <w:r>
        <w:rPr>
          <w:rFonts w:ascii="宋体" w:hAnsi="宋体" w:hint="eastAsia"/>
          <w:bCs/>
          <w:lang w:eastAsia="zh-CN"/>
        </w:rPr>
        <w:t>格形式</w:t>
      </w:r>
      <w:bookmarkEnd w:id="369"/>
    </w:p>
    <w:bookmarkEnd w:id="370"/>
    <w:p w14:paraId="71E5B87D">
      <w:pPr>
        <w:spacing w:line="360" w:lineRule="auto"/>
        <w:rPr>
          <w:rFonts w:ascii="宋体" w:hAnsi="宋体"/>
          <w:lang w:eastAsia="zh-CN"/>
        </w:rPr>
      </w:pPr>
      <w:r>
        <w:rPr>
          <w:rFonts w:ascii="宋体" w:hAnsi="宋体" w:hint="eastAsia"/>
          <w:lang w:eastAsia="zh-CN"/>
        </w:rPr>
        <w:t xml:space="preserve">发包人和承包人应在合同协议书中选择下列一种合同价格形式： </w:t>
      </w:r>
    </w:p>
    <w:p w14:paraId="012BF8CE">
      <w:pPr>
        <w:spacing w:line="360" w:lineRule="auto"/>
        <w:rPr>
          <w:rFonts w:ascii="宋体" w:hAnsi="宋体"/>
          <w:lang w:eastAsia="zh-CN"/>
        </w:rPr>
      </w:pPr>
      <w:r>
        <w:rPr>
          <w:rFonts w:ascii="宋体" w:hAnsi="宋体" w:hint="eastAsia"/>
          <w:lang w:eastAsia="zh-CN"/>
        </w:rPr>
        <w:t>1.单价合同</w:t>
      </w:r>
    </w:p>
    <w:p w14:paraId="40352974">
      <w:pPr>
        <w:spacing w:line="360" w:lineRule="auto"/>
        <w:rPr>
          <w:rFonts w:ascii="宋体" w:hAnsi="宋体"/>
          <w:lang w:eastAsia="zh-CN"/>
        </w:rPr>
      </w:pPr>
      <w:r>
        <w:rPr>
          <w:rFonts w:ascii="宋体" w:hAnsi="宋体" w:hint="eastAsia"/>
          <w:lang w:eastAsia="zh-CN"/>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57A15201">
      <w:pPr>
        <w:spacing w:line="360" w:lineRule="auto"/>
        <w:rPr>
          <w:rFonts w:ascii="宋体" w:hAnsi="宋体"/>
          <w:lang w:eastAsia="zh-CN"/>
        </w:rPr>
      </w:pPr>
      <w:r>
        <w:rPr>
          <w:rFonts w:ascii="宋体" w:hAnsi="宋体" w:hint="eastAsia"/>
          <w:lang w:eastAsia="zh-CN"/>
        </w:rPr>
        <w:t>2.总价合同</w:t>
      </w:r>
    </w:p>
    <w:p w14:paraId="74A375A6">
      <w:pPr>
        <w:spacing w:line="360" w:lineRule="auto"/>
        <w:rPr>
          <w:rFonts w:ascii="宋体" w:hAnsi="宋体"/>
          <w:lang w:eastAsia="zh-CN"/>
        </w:rPr>
      </w:pPr>
      <w:r>
        <w:rPr>
          <w:rFonts w:ascii="宋体" w:hAnsi="宋体" w:hint="eastAsia"/>
          <w:lang w:eastAsia="zh-CN"/>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691163DA">
      <w:pPr>
        <w:spacing w:line="360" w:lineRule="auto"/>
        <w:rPr>
          <w:rFonts w:ascii="宋体" w:hAnsi="宋体"/>
          <w:lang w:eastAsia="zh-CN"/>
        </w:rPr>
      </w:pPr>
      <w:r>
        <w:rPr>
          <w:rFonts w:ascii="宋体" w:hAnsi="宋体" w:hint="eastAsia"/>
          <w:lang w:eastAsia="zh-CN"/>
        </w:rPr>
        <w:t>3.其它价格形式</w:t>
      </w:r>
    </w:p>
    <w:p w14:paraId="0648914E">
      <w:pPr>
        <w:spacing w:line="360" w:lineRule="auto"/>
        <w:rPr>
          <w:rFonts w:ascii="宋体" w:hAnsi="宋体"/>
          <w:lang w:eastAsia="zh-CN"/>
        </w:rPr>
      </w:pPr>
      <w:r>
        <w:rPr>
          <w:rFonts w:ascii="宋体" w:hAnsi="宋体" w:hint="eastAsia"/>
          <w:lang w:eastAsia="zh-CN"/>
        </w:rPr>
        <w:t>合同当事人可在专用合同条款中约定其他合同价格形式。</w:t>
      </w:r>
    </w:p>
    <w:p w14:paraId="17030B81">
      <w:pPr>
        <w:spacing w:line="360" w:lineRule="auto"/>
        <w:rPr>
          <w:rFonts w:ascii="宋体" w:hAnsi="宋体"/>
          <w:bCs/>
          <w:lang w:eastAsia="zh-CN"/>
        </w:rPr>
      </w:pPr>
      <w:bookmarkStart w:id="371" w:name="_Toc296346598"/>
      <w:bookmarkStart w:id="372" w:name="_Toc296503097"/>
      <w:bookmarkStart w:id="373" w:name="_Toc351203582"/>
      <w:bookmarkStart w:id="374" w:name="_Toc337558801"/>
      <w:r>
        <w:rPr>
          <w:rFonts w:ascii="宋体" w:hAnsi="宋体" w:hint="eastAsia"/>
          <w:bCs/>
          <w:lang w:eastAsia="zh-CN"/>
        </w:rPr>
        <w:t>12.2预</w:t>
      </w:r>
      <w:bookmarkEnd w:id="371"/>
      <w:bookmarkEnd w:id="372"/>
      <w:bookmarkStart w:id="375" w:name="_Toc296503100"/>
      <w:bookmarkStart w:id="376" w:name="_Toc296346601"/>
      <w:r>
        <w:rPr>
          <w:rFonts w:ascii="宋体" w:hAnsi="宋体" w:hint="eastAsia"/>
          <w:bCs/>
          <w:lang w:eastAsia="zh-CN"/>
        </w:rPr>
        <w:t>付款</w:t>
      </w:r>
      <w:bookmarkEnd w:id="373"/>
    </w:p>
    <w:bookmarkEnd w:id="374"/>
    <w:bookmarkEnd w:id="375"/>
    <w:bookmarkEnd w:id="376"/>
    <w:p w14:paraId="69C4F4A5">
      <w:pPr>
        <w:spacing w:line="360" w:lineRule="auto"/>
        <w:rPr>
          <w:rFonts w:ascii="宋体" w:hAnsi="宋体"/>
          <w:lang w:eastAsia="zh-CN"/>
        </w:rPr>
      </w:pPr>
      <w:r>
        <w:rPr>
          <w:rFonts w:ascii="宋体" w:hAnsi="宋体" w:hint="eastAsia"/>
          <w:lang w:eastAsia="zh-CN"/>
        </w:rPr>
        <w:t>12.2.1预付款的支付</w:t>
      </w:r>
    </w:p>
    <w:p w14:paraId="73F9740E">
      <w:pPr>
        <w:spacing w:line="360" w:lineRule="auto"/>
        <w:rPr>
          <w:rFonts w:ascii="宋体" w:hAnsi="宋体"/>
          <w:lang w:eastAsia="zh-CN"/>
        </w:rPr>
      </w:pPr>
      <w:r>
        <w:rPr>
          <w:rFonts w:ascii="宋体" w:hAnsi="宋体" w:hint="eastAsia"/>
          <w:lang w:eastAsia="zh-CN"/>
        </w:rPr>
        <w:t>预付款的支付按照专用合同条款约定执行，但至迟应在开工通知载明的开工日期7天前支付。预付款应当用于材料、工程设备、施工设备的采购及修建临时工程、组织施工队伍进场等。</w:t>
      </w:r>
    </w:p>
    <w:p w14:paraId="6BE526BC">
      <w:pPr>
        <w:spacing w:line="360" w:lineRule="auto"/>
        <w:rPr>
          <w:rFonts w:ascii="宋体" w:hAnsi="宋体"/>
          <w:lang w:eastAsia="zh-CN"/>
        </w:rPr>
      </w:pPr>
      <w:r>
        <w:rPr>
          <w:rFonts w:ascii="宋体" w:hAnsi="宋体" w:hint="eastAsia"/>
          <w:lang w:eastAsia="zh-CN"/>
        </w:rPr>
        <w:t>除专用合同条款另有约定外，预付款在进度付款中同比例扣回。</w:t>
      </w:r>
      <w:bookmarkEnd w:id="360"/>
      <w:r>
        <w:rPr>
          <w:rFonts w:ascii="宋体" w:hAnsi="宋体" w:hint="eastAsia"/>
          <w:lang w:eastAsia="zh-CN"/>
        </w:rPr>
        <w:t>在颁发工程接收证书前，提前解除合同的，尚未扣完的预付款应与合同价款一并结算。</w:t>
      </w:r>
    </w:p>
    <w:p w14:paraId="10B7D92B">
      <w:pPr>
        <w:spacing w:line="360" w:lineRule="auto"/>
        <w:rPr>
          <w:rFonts w:ascii="宋体" w:hAnsi="宋体"/>
          <w:lang w:eastAsia="zh-CN"/>
        </w:rPr>
      </w:pPr>
      <w:r>
        <w:rPr>
          <w:rFonts w:ascii="宋体" w:hAnsi="宋体" w:hint="eastAsia"/>
          <w:lang w:eastAsia="zh-CN"/>
        </w:rPr>
        <w:t>发包人逾期支付预付款超过7天的，承包人有权向发包人发出要求预付的催告通知，发包人收到通知后7天内仍未支付的，承包人有权暂停施工，并按第16.1.1项〔发包人违约的情形〕执行。</w:t>
      </w:r>
    </w:p>
    <w:p w14:paraId="09A53A53">
      <w:pPr>
        <w:spacing w:line="360" w:lineRule="auto"/>
        <w:rPr>
          <w:rFonts w:ascii="宋体" w:hAnsi="宋体"/>
          <w:lang w:eastAsia="zh-CN"/>
        </w:rPr>
      </w:pPr>
      <w:r>
        <w:rPr>
          <w:rFonts w:ascii="宋体" w:hAnsi="宋体" w:hint="eastAsia"/>
          <w:lang w:eastAsia="zh-CN"/>
        </w:rPr>
        <w:t>12.2.2 预付款担保</w:t>
      </w:r>
    </w:p>
    <w:p w14:paraId="017D59FB">
      <w:pPr>
        <w:spacing w:line="360" w:lineRule="auto"/>
        <w:rPr>
          <w:rFonts w:ascii="宋体" w:hAnsi="宋体"/>
          <w:lang w:eastAsia="zh-CN"/>
        </w:rPr>
      </w:pPr>
      <w:r>
        <w:rPr>
          <w:rFonts w:ascii="宋体" w:hAnsi="宋体" w:hint="eastAsia"/>
          <w:lang w:eastAsia="zh-CN"/>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088AB128">
      <w:pPr>
        <w:spacing w:line="360" w:lineRule="auto"/>
        <w:rPr>
          <w:rFonts w:ascii="宋体" w:hAnsi="宋体"/>
          <w:lang w:eastAsia="zh-CN"/>
        </w:rPr>
      </w:pPr>
      <w:r>
        <w:rPr>
          <w:rFonts w:ascii="宋体" w:hAnsi="宋体" w:hint="eastAsia"/>
          <w:lang w:eastAsia="zh-CN"/>
        </w:rPr>
        <w:t>发包人在工程款中逐期扣回预付款后，预付款担保额度应相应减少，但剩余的预付款担保金额不得低于未被扣回的预付款金额。</w:t>
      </w:r>
    </w:p>
    <w:p w14:paraId="584384EF">
      <w:pPr>
        <w:spacing w:line="360" w:lineRule="auto"/>
        <w:rPr>
          <w:rFonts w:ascii="宋体" w:hAnsi="宋体"/>
          <w:bCs/>
          <w:lang w:eastAsia="zh-CN"/>
        </w:rPr>
      </w:pPr>
      <w:bookmarkStart w:id="377" w:name="_Toc351203583"/>
      <w:bookmarkStart w:id="378" w:name="_Toc337558802"/>
      <w:r>
        <w:rPr>
          <w:rFonts w:ascii="宋体" w:hAnsi="宋体" w:hint="eastAsia"/>
          <w:bCs/>
          <w:lang w:eastAsia="zh-CN"/>
        </w:rPr>
        <w:t>12.3计量</w:t>
      </w:r>
      <w:bookmarkEnd w:id="377"/>
    </w:p>
    <w:bookmarkEnd w:id="378"/>
    <w:p w14:paraId="37FCC390">
      <w:pPr>
        <w:spacing w:line="360" w:lineRule="auto"/>
        <w:rPr>
          <w:rFonts w:ascii="宋体" w:hAnsi="宋体"/>
          <w:lang w:eastAsia="zh-CN"/>
        </w:rPr>
      </w:pPr>
      <w:r>
        <w:rPr>
          <w:rFonts w:ascii="宋体" w:hAnsi="宋体" w:hint="eastAsia"/>
          <w:lang w:eastAsia="zh-CN"/>
        </w:rPr>
        <w:t>12.3.1 计量原则</w:t>
      </w:r>
    </w:p>
    <w:p w14:paraId="499ACD23">
      <w:pPr>
        <w:spacing w:line="360" w:lineRule="auto"/>
        <w:rPr>
          <w:rFonts w:ascii="宋体" w:hAnsi="宋体"/>
          <w:lang w:eastAsia="zh-CN"/>
        </w:rPr>
      </w:pPr>
      <w:r>
        <w:rPr>
          <w:rFonts w:ascii="宋体" w:hAnsi="宋体" w:hint="eastAsia"/>
          <w:lang w:eastAsia="zh-CN"/>
        </w:rPr>
        <w:t>工程量计量按照合同约定的工程量计算规则、图纸及变更指示等进行计量。工程量计算规则应以相关的国家标准、行业标准等为依据，由合同当事人在专用合同条款中约定。</w:t>
      </w:r>
    </w:p>
    <w:p w14:paraId="5B111679">
      <w:pPr>
        <w:spacing w:line="360" w:lineRule="auto"/>
        <w:rPr>
          <w:rFonts w:ascii="宋体" w:hAnsi="宋体"/>
          <w:lang w:eastAsia="zh-CN"/>
        </w:rPr>
      </w:pPr>
      <w:r>
        <w:rPr>
          <w:rFonts w:ascii="宋体" w:hAnsi="宋体" w:hint="eastAsia"/>
          <w:lang w:eastAsia="zh-CN"/>
        </w:rPr>
        <w:t>12.3.2 计量周期</w:t>
      </w:r>
    </w:p>
    <w:p w14:paraId="55B0EAF0">
      <w:pPr>
        <w:spacing w:line="360" w:lineRule="auto"/>
        <w:rPr>
          <w:rFonts w:ascii="宋体" w:hAnsi="宋体"/>
          <w:lang w:eastAsia="zh-CN"/>
        </w:rPr>
      </w:pPr>
      <w:r>
        <w:rPr>
          <w:rFonts w:ascii="宋体" w:hAnsi="宋体" w:hint="eastAsia"/>
          <w:lang w:eastAsia="zh-CN"/>
        </w:rPr>
        <w:t>除专用合同条款另有约定外，工程量的计量按月进行。</w:t>
      </w:r>
    </w:p>
    <w:p w14:paraId="44FC63BB">
      <w:pPr>
        <w:spacing w:line="360" w:lineRule="auto"/>
        <w:rPr>
          <w:rFonts w:ascii="宋体" w:hAnsi="宋体"/>
          <w:lang w:eastAsia="zh-CN"/>
        </w:rPr>
      </w:pPr>
      <w:r>
        <w:rPr>
          <w:rFonts w:ascii="宋体" w:hAnsi="宋体" w:hint="eastAsia"/>
          <w:lang w:eastAsia="zh-CN"/>
        </w:rPr>
        <w:t>12.3.3 单价合同的计量</w:t>
      </w:r>
    </w:p>
    <w:p w14:paraId="0F38FAA6">
      <w:pPr>
        <w:spacing w:line="360" w:lineRule="auto"/>
        <w:rPr>
          <w:rFonts w:ascii="宋体" w:hAnsi="宋体"/>
          <w:lang w:eastAsia="zh-CN"/>
        </w:rPr>
      </w:pPr>
      <w:r>
        <w:rPr>
          <w:rFonts w:ascii="宋体" w:hAnsi="宋体" w:hint="eastAsia"/>
          <w:lang w:eastAsia="zh-CN"/>
        </w:rPr>
        <w:t>除专用合同条款另有约定外，单价合同的计量按照本项约定执行：</w:t>
      </w:r>
    </w:p>
    <w:p w14:paraId="20AEA244">
      <w:pPr>
        <w:spacing w:line="360" w:lineRule="auto"/>
        <w:rPr>
          <w:rFonts w:ascii="宋体" w:hAnsi="宋体"/>
          <w:lang w:eastAsia="zh-CN"/>
        </w:rPr>
      </w:pPr>
      <w:r>
        <w:rPr>
          <w:rFonts w:ascii="宋体" w:hAnsi="宋体" w:hint="eastAsia"/>
          <w:lang w:eastAsia="zh-CN"/>
        </w:rPr>
        <w:t>（1）承包人应于每月25日向监理人报送上月20日至当月19日已完成的工程量报告，并附具进度付款申请单、已完成工程量报表和有关资料。</w:t>
      </w:r>
    </w:p>
    <w:p w14:paraId="474483E8">
      <w:pPr>
        <w:spacing w:line="360" w:lineRule="auto"/>
        <w:rPr>
          <w:rFonts w:ascii="宋体" w:hAnsi="宋体"/>
          <w:lang w:eastAsia="zh-CN"/>
        </w:rPr>
      </w:pPr>
      <w:r>
        <w:rPr>
          <w:rFonts w:ascii="宋体" w:hAnsi="宋体" w:hint="eastAsia"/>
          <w:lang w:eastAsia="zh-CN"/>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78F3D9ED">
      <w:pPr>
        <w:spacing w:line="360" w:lineRule="auto"/>
        <w:rPr>
          <w:rFonts w:ascii="宋体" w:hAnsi="宋体"/>
          <w:lang w:eastAsia="zh-CN"/>
        </w:rPr>
      </w:pPr>
      <w:r>
        <w:rPr>
          <w:rFonts w:ascii="宋体" w:hAnsi="宋体" w:hint="eastAsia"/>
          <w:lang w:eastAsia="zh-CN"/>
        </w:rPr>
        <w:t>（3）监理人未在收到承包人提交的工程量报表后的7天内完成审核的，承包人报送的工程量报告中的工程量视为承包人实际完成的工程量，据此计算工程价款。</w:t>
      </w:r>
    </w:p>
    <w:p w14:paraId="5B7119F4">
      <w:pPr>
        <w:spacing w:line="360" w:lineRule="auto"/>
        <w:rPr>
          <w:rFonts w:ascii="宋体" w:hAnsi="宋体"/>
          <w:lang w:eastAsia="zh-CN"/>
        </w:rPr>
      </w:pPr>
      <w:r>
        <w:rPr>
          <w:rFonts w:ascii="宋体" w:hAnsi="宋体" w:hint="eastAsia"/>
          <w:lang w:eastAsia="zh-CN"/>
        </w:rPr>
        <w:t>12.3.4 总价合同的计量</w:t>
      </w:r>
    </w:p>
    <w:p w14:paraId="44A0563B">
      <w:pPr>
        <w:spacing w:line="360" w:lineRule="auto"/>
        <w:rPr>
          <w:rFonts w:ascii="宋体" w:hAnsi="宋体"/>
          <w:lang w:eastAsia="zh-CN"/>
        </w:rPr>
      </w:pPr>
      <w:r>
        <w:rPr>
          <w:rFonts w:ascii="宋体" w:hAnsi="宋体" w:hint="eastAsia"/>
          <w:lang w:eastAsia="zh-CN"/>
        </w:rPr>
        <w:t>除专用合同条款另有约定外，按月计量支付的总价合同，按照本项约定执行：</w:t>
      </w:r>
    </w:p>
    <w:p w14:paraId="2EBBB842">
      <w:pPr>
        <w:spacing w:line="360" w:lineRule="auto"/>
        <w:rPr>
          <w:rFonts w:ascii="宋体" w:hAnsi="宋体"/>
          <w:lang w:eastAsia="zh-CN"/>
        </w:rPr>
      </w:pPr>
      <w:r>
        <w:rPr>
          <w:rFonts w:ascii="宋体" w:hAnsi="宋体" w:hint="eastAsia"/>
          <w:lang w:eastAsia="zh-CN"/>
        </w:rPr>
        <w:t>（1）承包人应于每月25日向监理人报送上月20日至当月19日已完成的工程量报告，并附具进度付款申请单、已完成工程量报表和有关资料。</w:t>
      </w:r>
    </w:p>
    <w:p w14:paraId="31BF8D56">
      <w:pPr>
        <w:spacing w:line="360" w:lineRule="auto"/>
        <w:rPr>
          <w:rFonts w:ascii="宋体" w:hAnsi="宋体"/>
          <w:lang w:eastAsia="zh-CN"/>
        </w:rPr>
      </w:pPr>
      <w:r>
        <w:rPr>
          <w:rFonts w:ascii="宋体" w:hAnsi="宋体" w:hint="eastAsia"/>
          <w:lang w:eastAsia="zh-CN"/>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5AE9ADD5">
      <w:pPr>
        <w:spacing w:line="360" w:lineRule="auto"/>
        <w:rPr>
          <w:rFonts w:ascii="宋体" w:hAnsi="宋体"/>
          <w:lang w:eastAsia="zh-CN"/>
        </w:rPr>
      </w:pPr>
      <w:r>
        <w:rPr>
          <w:rFonts w:ascii="宋体" w:hAnsi="宋体" w:hint="eastAsia"/>
          <w:lang w:eastAsia="zh-CN"/>
        </w:rPr>
        <w:t>（3）监理人未在收到承包人提交的工程量报表后的7天内完成复核的，承包人提交的工程量报告中的工程量视为承包人实际完成的工程量。</w:t>
      </w:r>
    </w:p>
    <w:p w14:paraId="51E00CB8">
      <w:pPr>
        <w:spacing w:line="360" w:lineRule="auto"/>
        <w:rPr>
          <w:rFonts w:ascii="宋体" w:hAnsi="宋体"/>
          <w:lang w:eastAsia="zh-CN"/>
        </w:rPr>
      </w:pPr>
      <w:r>
        <w:rPr>
          <w:rFonts w:ascii="宋体" w:hAnsi="宋体" w:hint="eastAsia"/>
          <w:lang w:eastAsia="zh-CN"/>
        </w:rPr>
        <w:t>12.3.5 总价合同采用支付分解表计量支付的，可以按照第12.3.4项〔总价合同的计量〕约定进行计量，但合同价款按照支付分解表进行支付。</w:t>
      </w:r>
    </w:p>
    <w:p w14:paraId="7A23A30C">
      <w:pPr>
        <w:spacing w:line="360" w:lineRule="auto"/>
        <w:rPr>
          <w:rFonts w:ascii="宋体" w:hAnsi="宋体"/>
          <w:lang w:eastAsia="zh-CN"/>
        </w:rPr>
      </w:pPr>
      <w:r>
        <w:rPr>
          <w:rFonts w:ascii="宋体" w:hAnsi="宋体" w:hint="eastAsia"/>
          <w:lang w:eastAsia="zh-CN"/>
        </w:rPr>
        <w:t>12.3.6 其他价格形式合同的计量</w:t>
      </w:r>
    </w:p>
    <w:p w14:paraId="1B9CD8DC">
      <w:pPr>
        <w:spacing w:line="360" w:lineRule="auto"/>
        <w:rPr>
          <w:rFonts w:ascii="宋体" w:hAnsi="宋体"/>
          <w:lang w:eastAsia="zh-CN"/>
        </w:rPr>
      </w:pPr>
      <w:r>
        <w:rPr>
          <w:rFonts w:ascii="宋体" w:hAnsi="宋体" w:hint="eastAsia"/>
          <w:lang w:eastAsia="zh-CN"/>
        </w:rPr>
        <w:t>合同当事人可在专用合同条款中约定其他价格形式合同的计量方式和程序。</w:t>
      </w:r>
    </w:p>
    <w:p w14:paraId="2EEB011D">
      <w:pPr>
        <w:spacing w:line="360" w:lineRule="auto"/>
        <w:rPr>
          <w:rFonts w:ascii="宋体" w:hAnsi="宋体"/>
          <w:bCs/>
          <w:lang w:eastAsia="zh-CN"/>
        </w:rPr>
      </w:pPr>
      <w:bookmarkStart w:id="379" w:name="_Toc296346602"/>
      <w:bookmarkStart w:id="380" w:name="_Toc296503101"/>
      <w:bookmarkStart w:id="381" w:name="_Toc351203584"/>
      <w:bookmarkStart w:id="382" w:name="_Toc337558803"/>
      <w:r>
        <w:rPr>
          <w:rFonts w:ascii="宋体" w:hAnsi="宋体" w:hint="eastAsia"/>
          <w:bCs/>
          <w:lang w:eastAsia="zh-CN"/>
        </w:rPr>
        <w:t>12.4工程进度款支</w:t>
      </w:r>
      <w:bookmarkEnd w:id="379"/>
      <w:bookmarkEnd w:id="380"/>
      <w:r>
        <w:rPr>
          <w:rFonts w:ascii="宋体" w:hAnsi="宋体" w:hint="eastAsia"/>
          <w:bCs/>
          <w:lang w:eastAsia="zh-CN"/>
        </w:rPr>
        <w:t>付</w:t>
      </w:r>
      <w:bookmarkEnd w:id="381"/>
    </w:p>
    <w:bookmarkEnd w:id="382"/>
    <w:p w14:paraId="5680FCB5">
      <w:pPr>
        <w:spacing w:line="360" w:lineRule="auto"/>
        <w:rPr>
          <w:rFonts w:ascii="宋体" w:hAnsi="宋体"/>
          <w:lang w:eastAsia="zh-CN"/>
        </w:rPr>
      </w:pPr>
      <w:r>
        <w:rPr>
          <w:rFonts w:ascii="宋体" w:hAnsi="宋体" w:hint="eastAsia"/>
          <w:lang w:eastAsia="zh-CN"/>
        </w:rPr>
        <w:t>12.4.1 付款周期</w:t>
      </w:r>
    </w:p>
    <w:p w14:paraId="1FE63677">
      <w:pPr>
        <w:spacing w:line="360" w:lineRule="auto"/>
        <w:rPr>
          <w:rFonts w:ascii="宋体" w:hAnsi="宋体"/>
          <w:lang w:eastAsia="zh-CN"/>
        </w:rPr>
      </w:pPr>
      <w:r>
        <w:rPr>
          <w:rFonts w:ascii="宋体" w:hAnsi="宋体" w:hint="eastAsia"/>
          <w:lang w:eastAsia="zh-CN"/>
        </w:rPr>
        <w:t>除专用合同条款另有约定外，付款周期应按照第12.3.2项〔计量周期〕的约定与计量周期保持一致。</w:t>
      </w:r>
    </w:p>
    <w:p w14:paraId="1C4F742D">
      <w:pPr>
        <w:spacing w:line="360" w:lineRule="auto"/>
        <w:rPr>
          <w:rFonts w:ascii="宋体" w:hAnsi="宋体"/>
          <w:lang w:eastAsia="zh-CN"/>
        </w:rPr>
      </w:pPr>
      <w:r>
        <w:rPr>
          <w:rFonts w:ascii="宋体" w:hAnsi="宋体" w:hint="eastAsia"/>
          <w:lang w:eastAsia="zh-CN"/>
        </w:rPr>
        <w:t>12.4.2 进度付款申请单的编制</w:t>
      </w:r>
    </w:p>
    <w:p w14:paraId="5A57FD60">
      <w:pPr>
        <w:spacing w:line="360" w:lineRule="auto"/>
        <w:rPr>
          <w:rFonts w:ascii="宋体" w:hAnsi="宋体"/>
          <w:lang w:eastAsia="zh-CN"/>
        </w:rPr>
      </w:pPr>
      <w:r>
        <w:rPr>
          <w:rFonts w:ascii="宋体" w:hAnsi="宋体" w:hint="eastAsia"/>
          <w:lang w:eastAsia="zh-CN"/>
        </w:rPr>
        <w:t>除专用合同条款另有约定外，进度付款申请单应包括下列内容：</w:t>
      </w:r>
    </w:p>
    <w:p w14:paraId="41D20978">
      <w:pPr>
        <w:spacing w:line="360" w:lineRule="auto"/>
        <w:rPr>
          <w:rFonts w:ascii="宋体" w:hAnsi="宋体"/>
          <w:lang w:eastAsia="zh-CN"/>
        </w:rPr>
      </w:pPr>
      <w:r>
        <w:rPr>
          <w:rFonts w:ascii="宋体" w:hAnsi="宋体" w:hint="eastAsia"/>
          <w:lang w:eastAsia="zh-CN"/>
        </w:rPr>
        <w:t>（1）截至本次付款周期已完成工作对应的金额；</w:t>
      </w:r>
    </w:p>
    <w:p w14:paraId="763593C9">
      <w:pPr>
        <w:spacing w:line="360" w:lineRule="auto"/>
        <w:rPr>
          <w:rFonts w:ascii="宋体" w:hAnsi="宋体"/>
          <w:lang w:eastAsia="zh-CN"/>
        </w:rPr>
      </w:pPr>
      <w:r>
        <w:rPr>
          <w:rFonts w:ascii="宋体" w:hAnsi="宋体" w:hint="eastAsia"/>
          <w:lang w:eastAsia="zh-CN"/>
        </w:rPr>
        <w:t>（2）根据第10条〔变更〕应增加和扣减的变更金额；</w:t>
      </w:r>
    </w:p>
    <w:p w14:paraId="4AF93547">
      <w:pPr>
        <w:spacing w:line="360" w:lineRule="auto"/>
        <w:rPr>
          <w:rFonts w:ascii="宋体" w:hAnsi="宋体"/>
          <w:lang w:eastAsia="zh-CN"/>
        </w:rPr>
      </w:pPr>
      <w:r>
        <w:rPr>
          <w:rFonts w:ascii="宋体" w:hAnsi="宋体" w:hint="eastAsia"/>
          <w:lang w:eastAsia="zh-CN"/>
        </w:rPr>
        <w:t>（3）根据第12.2款〔预付款〕约定应支付的预付款和扣减的返还预付款；</w:t>
      </w:r>
    </w:p>
    <w:p w14:paraId="54742748">
      <w:pPr>
        <w:spacing w:line="360" w:lineRule="auto"/>
        <w:rPr>
          <w:rFonts w:ascii="宋体" w:hAnsi="宋体"/>
          <w:lang w:eastAsia="zh-CN"/>
        </w:rPr>
      </w:pPr>
      <w:r>
        <w:rPr>
          <w:rFonts w:ascii="宋体" w:hAnsi="宋体" w:hint="eastAsia"/>
          <w:lang w:eastAsia="zh-CN"/>
        </w:rPr>
        <w:t>（4）根据第15.3款〔质量保证金〕约定应扣减的质量保证金；</w:t>
      </w:r>
    </w:p>
    <w:p w14:paraId="0657E580">
      <w:pPr>
        <w:spacing w:line="360" w:lineRule="auto"/>
        <w:rPr>
          <w:rFonts w:ascii="宋体" w:hAnsi="宋体"/>
          <w:lang w:eastAsia="zh-CN"/>
        </w:rPr>
      </w:pPr>
      <w:r>
        <w:rPr>
          <w:rFonts w:ascii="宋体" w:hAnsi="宋体" w:hint="eastAsia"/>
          <w:lang w:eastAsia="zh-CN"/>
        </w:rPr>
        <w:t>（5）根据第19条〔索赔〕应增加和扣减的索赔金额；</w:t>
      </w:r>
    </w:p>
    <w:p w14:paraId="1E3071E9">
      <w:pPr>
        <w:spacing w:line="360" w:lineRule="auto"/>
        <w:rPr>
          <w:rFonts w:ascii="宋体" w:hAnsi="宋体"/>
          <w:lang w:eastAsia="zh-CN"/>
        </w:rPr>
      </w:pPr>
      <w:r>
        <w:rPr>
          <w:rFonts w:ascii="宋体" w:hAnsi="宋体" w:hint="eastAsia"/>
          <w:lang w:eastAsia="zh-CN"/>
        </w:rPr>
        <w:t>（6）对已签发的进度款支付证书中出现错误的修正，应在本次进度付款中支付或扣除的金额；</w:t>
      </w:r>
    </w:p>
    <w:p w14:paraId="179D4B14">
      <w:pPr>
        <w:spacing w:line="360" w:lineRule="auto"/>
        <w:rPr>
          <w:rFonts w:ascii="宋体" w:hAnsi="宋体"/>
          <w:lang w:eastAsia="zh-CN"/>
        </w:rPr>
      </w:pPr>
      <w:r>
        <w:rPr>
          <w:rFonts w:ascii="宋体" w:hAnsi="宋体" w:hint="eastAsia"/>
          <w:lang w:eastAsia="zh-CN"/>
        </w:rPr>
        <w:t>（7）根据合同约定应增加和扣减的其他金额。</w:t>
      </w:r>
    </w:p>
    <w:p w14:paraId="3FD7BD10">
      <w:pPr>
        <w:spacing w:line="360" w:lineRule="auto"/>
        <w:rPr>
          <w:rFonts w:ascii="宋体" w:hAnsi="宋体"/>
          <w:lang w:eastAsia="zh-CN"/>
        </w:rPr>
      </w:pPr>
      <w:r>
        <w:rPr>
          <w:rFonts w:ascii="宋体" w:hAnsi="宋体" w:hint="eastAsia"/>
          <w:lang w:eastAsia="zh-CN"/>
        </w:rPr>
        <w:t>12.4.3 进度付款申请单的提交</w:t>
      </w:r>
    </w:p>
    <w:p w14:paraId="6A7686EE">
      <w:pPr>
        <w:spacing w:line="360" w:lineRule="auto"/>
        <w:rPr>
          <w:rFonts w:ascii="宋体" w:hAnsi="宋体"/>
          <w:lang w:eastAsia="zh-CN"/>
        </w:rPr>
      </w:pPr>
      <w:r>
        <w:rPr>
          <w:rFonts w:ascii="宋体" w:hAnsi="宋体" w:hint="eastAsia"/>
          <w:lang w:eastAsia="zh-CN"/>
        </w:rPr>
        <w:t>（1）单价合同进度付款申请单的提交</w:t>
      </w:r>
    </w:p>
    <w:p w14:paraId="65F045C0">
      <w:pPr>
        <w:spacing w:line="360" w:lineRule="auto"/>
        <w:rPr>
          <w:rFonts w:ascii="宋体" w:hAnsi="宋体"/>
          <w:lang w:eastAsia="zh-CN"/>
        </w:rPr>
      </w:pPr>
      <w:r>
        <w:rPr>
          <w:rFonts w:ascii="宋体" w:hAnsi="宋体" w:hint="eastAsia"/>
          <w:lang w:eastAsia="zh-CN"/>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28BD27A4">
      <w:pPr>
        <w:spacing w:line="360" w:lineRule="auto"/>
        <w:rPr>
          <w:rFonts w:ascii="宋体" w:hAnsi="宋体"/>
          <w:lang w:eastAsia="zh-CN"/>
        </w:rPr>
      </w:pPr>
      <w:r>
        <w:rPr>
          <w:rFonts w:ascii="宋体" w:hAnsi="宋体" w:hint="eastAsia"/>
          <w:lang w:eastAsia="zh-CN"/>
        </w:rPr>
        <w:t>（2）总价合同进度付款申请单的提交</w:t>
      </w:r>
    </w:p>
    <w:p w14:paraId="52F55D40">
      <w:pPr>
        <w:spacing w:line="360" w:lineRule="auto"/>
        <w:rPr>
          <w:rFonts w:ascii="宋体" w:hAnsi="宋体"/>
          <w:lang w:eastAsia="zh-CN"/>
        </w:rPr>
      </w:pPr>
      <w:r>
        <w:rPr>
          <w:rFonts w:ascii="宋体" w:hAnsi="宋体" w:hint="eastAsia"/>
          <w:lang w:eastAsia="zh-CN"/>
        </w:rPr>
        <w:t>总价合同按月计量支付的，承包人按照第12.3.4项〔总价合同的计量〕约定的时间按月向监理人提交进度付款申请单，并附上已完成工程量报表和有关资料。</w:t>
      </w:r>
    </w:p>
    <w:p w14:paraId="5902E1A9">
      <w:pPr>
        <w:spacing w:line="360" w:lineRule="auto"/>
        <w:rPr>
          <w:rFonts w:ascii="宋体" w:hAnsi="宋体"/>
          <w:lang w:eastAsia="zh-CN"/>
        </w:rPr>
      </w:pPr>
      <w:r>
        <w:rPr>
          <w:rFonts w:ascii="宋体" w:hAnsi="宋体" w:hint="eastAsia"/>
          <w:lang w:eastAsia="zh-CN"/>
        </w:rPr>
        <w:t>总价合同按支付分解表支付的，承包人应按照第12.4.6项〔支付分解表〕及第12.4.2项〔进度付款申请单的编制〕的约定向监理人提交进度付款申请单。</w:t>
      </w:r>
    </w:p>
    <w:p w14:paraId="3C3984BD">
      <w:pPr>
        <w:spacing w:line="360" w:lineRule="auto"/>
        <w:rPr>
          <w:rFonts w:ascii="宋体" w:hAnsi="宋体"/>
          <w:lang w:eastAsia="zh-CN"/>
        </w:rPr>
      </w:pPr>
      <w:r>
        <w:rPr>
          <w:rFonts w:ascii="宋体" w:hAnsi="宋体" w:hint="eastAsia"/>
          <w:lang w:eastAsia="zh-CN"/>
        </w:rPr>
        <w:t>（3）其他价格形式合同的进度付款申请单的提交</w:t>
      </w:r>
    </w:p>
    <w:p w14:paraId="3CC8B3BD">
      <w:pPr>
        <w:spacing w:line="360" w:lineRule="auto"/>
        <w:rPr>
          <w:rFonts w:ascii="宋体" w:hAnsi="宋体"/>
          <w:lang w:eastAsia="zh-CN"/>
        </w:rPr>
      </w:pPr>
      <w:r>
        <w:rPr>
          <w:rFonts w:ascii="宋体" w:hAnsi="宋体" w:hint="eastAsia"/>
          <w:lang w:eastAsia="zh-CN"/>
        </w:rPr>
        <w:t>合同当事人可在专用合同条款中约定其他价格形式合同的进度付款申请单的编制和提交程序。</w:t>
      </w:r>
    </w:p>
    <w:p w14:paraId="0165F6F0">
      <w:pPr>
        <w:spacing w:line="360" w:lineRule="auto"/>
        <w:rPr>
          <w:rFonts w:ascii="宋体" w:hAnsi="宋体"/>
          <w:lang w:eastAsia="zh-CN"/>
        </w:rPr>
      </w:pPr>
      <w:r>
        <w:rPr>
          <w:rFonts w:ascii="宋体" w:hAnsi="宋体" w:hint="eastAsia"/>
          <w:lang w:eastAsia="zh-CN"/>
        </w:rPr>
        <w:t>12.4.4 进度款审核和支付</w:t>
      </w:r>
    </w:p>
    <w:p w14:paraId="0CEF99C9">
      <w:pPr>
        <w:spacing w:line="360" w:lineRule="auto"/>
        <w:rPr>
          <w:rFonts w:ascii="宋体" w:hAnsi="宋体"/>
          <w:lang w:eastAsia="zh-CN"/>
        </w:rPr>
      </w:pPr>
      <w:r>
        <w:rPr>
          <w:rFonts w:ascii="宋体" w:hAnsi="宋体" w:hint="eastAsia"/>
          <w:lang w:eastAsia="zh-CN"/>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00F6073F">
      <w:pPr>
        <w:spacing w:line="360" w:lineRule="auto"/>
        <w:rPr>
          <w:rFonts w:ascii="宋体" w:hAnsi="宋体"/>
          <w:lang w:eastAsia="zh-CN"/>
        </w:rPr>
      </w:pPr>
      <w:r>
        <w:rPr>
          <w:rFonts w:ascii="宋体" w:hAnsi="宋体" w:hint="eastAsia"/>
          <w:lang w:eastAsia="zh-CN"/>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5D0480C4">
      <w:pPr>
        <w:spacing w:line="360" w:lineRule="auto"/>
        <w:rPr>
          <w:rFonts w:ascii="宋体" w:hAnsi="宋体"/>
          <w:lang w:eastAsia="zh-CN"/>
        </w:rPr>
      </w:pPr>
      <w:r>
        <w:rPr>
          <w:rFonts w:ascii="宋体" w:hAnsi="宋体" w:hint="eastAsia"/>
          <w:lang w:eastAsia="zh-CN"/>
        </w:rPr>
        <w:t>（2）除专用合同条款另有约定外，发包人应在进度款支付证书或临时进度款支付证书签发后14天内完成支付，发包人逾期支付进度款的，应按照中国人民银行发布的同期同类贷款基准利率支付违约金。</w:t>
      </w:r>
    </w:p>
    <w:p w14:paraId="697F95CC">
      <w:pPr>
        <w:spacing w:line="360" w:lineRule="auto"/>
        <w:rPr>
          <w:rFonts w:ascii="宋体" w:hAnsi="宋体"/>
          <w:lang w:eastAsia="zh-CN"/>
        </w:rPr>
      </w:pPr>
      <w:r>
        <w:rPr>
          <w:rFonts w:ascii="宋体" w:hAnsi="宋体" w:hint="eastAsia"/>
          <w:lang w:eastAsia="zh-CN"/>
        </w:rPr>
        <w:t>（3）发包人签发进度款支付证书或临时进度款支付证书，不表明发包人已同意、批准或接受了承包人完成的相应部分的工作。</w:t>
      </w:r>
    </w:p>
    <w:p w14:paraId="220B8143">
      <w:pPr>
        <w:spacing w:line="360" w:lineRule="auto"/>
        <w:rPr>
          <w:rFonts w:ascii="宋体" w:hAnsi="宋体"/>
          <w:lang w:eastAsia="zh-CN"/>
        </w:rPr>
      </w:pPr>
      <w:r>
        <w:rPr>
          <w:rFonts w:ascii="宋体" w:hAnsi="宋体" w:hint="eastAsia"/>
          <w:lang w:eastAsia="zh-CN"/>
        </w:rPr>
        <w:t>12.4.5 进度付款的修正</w:t>
      </w:r>
    </w:p>
    <w:p w14:paraId="6D5371D6">
      <w:pPr>
        <w:spacing w:line="360" w:lineRule="auto"/>
        <w:rPr>
          <w:rFonts w:ascii="宋体" w:hAnsi="宋体"/>
          <w:lang w:eastAsia="zh-CN"/>
        </w:rPr>
      </w:pPr>
      <w:r>
        <w:rPr>
          <w:rFonts w:ascii="宋体" w:hAnsi="宋体" w:hint="eastAsia"/>
          <w:lang w:eastAsia="zh-CN"/>
        </w:rPr>
        <w:t>在对已签发的进度款支付证书进行阶段汇总和复核中发现错误、遗漏或重复的，发包人和承包人均有权提出修正申请。经发包人和承包人同意的修正，应在下期进度付款中支付或扣除。</w:t>
      </w:r>
    </w:p>
    <w:p w14:paraId="2DE63325">
      <w:pPr>
        <w:spacing w:line="360" w:lineRule="auto"/>
        <w:rPr>
          <w:rFonts w:ascii="宋体" w:hAnsi="宋体"/>
          <w:lang w:eastAsia="zh-CN"/>
        </w:rPr>
      </w:pPr>
      <w:r>
        <w:rPr>
          <w:rFonts w:ascii="宋体" w:hAnsi="宋体" w:hint="eastAsia"/>
          <w:lang w:eastAsia="zh-CN"/>
        </w:rPr>
        <w:t>12.4.6 支付分解表</w:t>
      </w:r>
    </w:p>
    <w:p w14:paraId="668F0631">
      <w:pPr>
        <w:spacing w:line="360" w:lineRule="auto"/>
        <w:rPr>
          <w:rFonts w:ascii="宋体" w:hAnsi="宋体"/>
          <w:lang w:eastAsia="zh-CN"/>
        </w:rPr>
      </w:pPr>
      <w:r>
        <w:rPr>
          <w:rFonts w:ascii="宋体" w:hAnsi="宋体" w:hint="eastAsia"/>
          <w:lang w:eastAsia="zh-CN"/>
        </w:rPr>
        <w:t>1.支付分解表的编制要求</w:t>
      </w:r>
    </w:p>
    <w:p w14:paraId="14CC02F3">
      <w:pPr>
        <w:spacing w:line="360" w:lineRule="auto"/>
        <w:rPr>
          <w:rFonts w:ascii="宋体" w:hAnsi="宋体"/>
          <w:lang w:eastAsia="zh-CN"/>
        </w:rPr>
      </w:pPr>
      <w:r>
        <w:rPr>
          <w:rFonts w:ascii="宋体" w:hAnsi="宋体" w:hint="eastAsia"/>
          <w:lang w:eastAsia="zh-CN"/>
        </w:rPr>
        <w:t>（1）支付分解表中所列的每期付款金额，应为第12.4.2项〔进度付款申请单的编制〕第（1）目的估算金额；</w:t>
      </w:r>
    </w:p>
    <w:p w14:paraId="43A63F16">
      <w:pPr>
        <w:spacing w:line="360" w:lineRule="auto"/>
        <w:rPr>
          <w:rFonts w:ascii="宋体" w:hAnsi="宋体"/>
          <w:lang w:eastAsia="zh-CN"/>
        </w:rPr>
      </w:pPr>
      <w:r>
        <w:rPr>
          <w:rFonts w:ascii="宋体" w:hAnsi="宋体" w:hint="eastAsia"/>
          <w:lang w:eastAsia="zh-CN"/>
        </w:rPr>
        <w:t>（2）实际进度与施工进度计划不一致的，合同当事人可按照第4.4款〔商定或确定〕修改支付分解表；</w:t>
      </w:r>
    </w:p>
    <w:p w14:paraId="22036E52">
      <w:pPr>
        <w:spacing w:line="360" w:lineRule="auto"/>
        <w:rPr>
          <w:rFonts w:ascii="宋体" w:hAnsi="宋体"/>
          <w:lang w:eastAsia="zh-CN"/>
        </w:rPr>
      </w:pPr>
      <w:r>
        <w:rPr>
          <w:rFonts w:ascii="宋体" w:hAnsi="宋体" w:hint="eastAsia"/>
          <w:lang w:eastAsia="zh-CN"/>
        </w:rPr>
        <w:t>（3）不采用支付分解表的，承包人应向发包人和监理人提交按季度编制的支付估算分解表，用于支付参考。</w:t>
      </w:r>
    </w:p>
    <w:p w14:paraId="0BD59D20">
      <w:pPr>
        <w:spacing w:line="360" w:lineRule="auto"/>
        <w:rPr>
          <w:rFonts w:ascii="宋体" w:hAnsi="宋体"/>
          <w:lang w:eastAsia="zh-CN"/>
        </w:rPr>
      </w:pPr>
      <w:r>
        <w:rPr>
          <w:rFonts w:ascii="宋体" w:hAnsi="宋体" w:hint="eastAsia"/>
          <w:lang w:eastAsia="zh-CN"/>
        </w:rPr>
        <w:t>2.总价合同支付分解表的编制与审批</w:t>
      </w:r>
    </w:p>
    <w:p w14:paraId="20D019CD">
      <w:pPr>
        <w:spacing w:line="360" w:lineRule="auto"/>
        <w:rPr>
          <w:rFonts w:ascii="宋体" w:hAnsi="宋体"/>
          <w:lang w:eastAsia="zh-CN"/>
        </w:rPr>
      </w:pPr>
      <w:r>
        <w:rPr>
          <w:rFonts w:ascii="宋体" w:hAnsi="宋体" w:hint="eastAsia"/>
          <w:lang w:eastAsia="zh-CN"/>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2DB3BCAB">
      <w:pPr>
        <w:spacing w:line="360" w:lineRule="auto"/>
        <w:rPr>
          <w:rFonts w:ascii="宋体" w:hAnsi="宋体"/>
          <w:lang w:eastAsia="zh-CN"/>
        </w:rPr>
      </w:pPr>
      <w:r>
        <w:rPr>
          <w:rFonts w:ascii="宋体" w:hAnsi="宋体" w:hint="eastAsia"/>
          <w:lang w:eastAsia="zh-CN"/>
        </w:rPr>
        <w:t>（2）监理人应在收到支付分解表后7天内完成审核并报送发包人。发包人应在收到经监理人审核的支付分解表后7天内完成审批，经发包人批准的支付分解表为有约束力的支付分解表。</w:t>
      </w:r>
    </w:p>
    <w:p w14:paraId="1394D890">
      <w:pPr>
        <w:spacing w:line="360" w:lineRule="auto"/>
        <w:rPr>
          <w:rFonts w:ascii="宋体" w:hAnsi="宋体"/>
          <w:lang w:eastAsia="zh-CN"/>
        </w:rPr>
      </w:pPr>
      <w:r>
        <w:rPr>
          <w:rFonts w:ascii="宋体" w:hAnsi="宋体" w:hint="eastAsia"/>
          <w:lang w:eastAsia="zh-CN"/>
        </w:rPr>
        <w:t xml:space="preserve">    （3）发包人逾期未完成支付分解表审批的，也未及时要求承包人进行修正和提供补充资料的，则承包人提交的支付分解表视为已经获得发包人批准。</w:t>
      </w:r>
    </w:p>
    <w:p w14:paraId="20C99D19">
      <w:pPr>
        <w:spacing w:line="360" w:lineRule="auto"/>
        <w:rPr>
          <w:rFonts w:ascii="宋体" w:hAnsi="宋体"/>
          <w:lang w:eastAsia="zh-CN"/>
        </w:rPr>
      </w:pPr>
      <w:r>
        <w:rPr>
          <w:rFonts w:ascii="宋体" w:hAnsi="宋体" w:hint="eastAsia"/>
          <w:lang w:eastAsia="zh-CN"/>
        </w:rPr>
        <w:t>3.单价合同的总价项目支付分解表的编制与审批</w:t>
      </w:r>
    </w:p>
    <w:p w14:paraId="7CF4C839">
      <w:pPr>
        <w:spacing w:line="360" w:lineRule="auto"/>
        <w:rPr>
          <w:rFonts w:ascii="宋体" w:hAnsi="宋体"/>
          <w:lang w:eastAsia="zh-CN"/>
        </w:rPr>
      </w:pPr>
      <w:r>
        <w:rPr>
          <w:rFonts w:ascii="宋体" w:hAnsi="宋体" w:hint="eastAsia"/>
          <w:lang w:eastAsia="zh-CN"/>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3F6AD9EF">
      <w:pPr>
        <w:spacing w:line="360" w:lineRule="auto"/>
        <w:rPr>
          <w:rFonts w:ascii="宋体" w:hAnsi="宋体"/>
          <w:bCs/>
          <w:lang w:eastAsia="zh-CN"/>
        </w:rPr>
      </w:pPr>
      <w:bookmarkStart w:id="383" w:name="_Toc351203585"/>
      <w:r>
        <w:rPr>
          <w:rFonts w:ascii="宋体" w:hAnsi="宋体" w:hint="eastAsia"/>
          <w:bCs/>
          <w:lang w:eastAsia="zh-CN"/>
        </w:rPr>
        <w:t>12.5支付账户</w:t>
      </w:r>
      <w:bookmarkEnd w:id="383"/>
    </w:p>
    <w:p w14:paraId="7FFE56FA">
      <w:pPr>
        <w:spacing w:line="360" w:lineRule="auto"/>
        <w:rPr>
          <w:rFonts w:ascii="宋体" w:hAnsi="宋体"/>
          <w:lang w:eastAsia="zh-CN"/>
        </w:rPr>
      </w:pPr>
      <w:r>
        <w:rPr>
          <w:rFonts w:ascii="宋体" w:hAnsi="宋体" w:hint="eastAsia"/>
          <w:lang w:eastAsia="zh-CN"/>
        </w:rPr>
        <w:t>发包人应将合同价款支付至合同协议书中约定的承包人账户。</w:t>
      </w:r>
    </w:p>
    <w:p w14:paraId="0F6FC98D">
      <w:pPr>
        <w:spacing w:line="360" w:lineRule="auto"/>
        <w:rPr>
          <w:rFonts w:ascii="宋体" w:hAnsi="宋体"/>
          <w:bCs/>
          <w:lang w:eastAsia="zh-CN"/>
        </w:rPr>
      </w:pPr>
      <w:bookmarkStart w:id="384" w:name="_Toc351203586"/>
      <w:bookmarkStart w:id="385" w:name="_Toc296346607"/>
      <w:bookmarkStart w:id="386" w:name="_Toc322522574"/>
      <w:bookmarkStart w:id="387" w:name="_Toc296503106"/>
      <w:bookmarkStart w:id="388" w:name="_Toc337558804"/>
      <w:r>
        <w:rPr>
          <w:rFonts w:ascii="宋体" w:hAnsi="宋体" w:hint="eastAsia"/>
          <w:bCs/>
          <w:lang w:eastAsia="zh-CN"/>
        </w:rPr>
        <w:t>13. 验收和工程试车</w:t>
      </w:r>
      <w:bookmarkEnd w:id="384"/>
    </w:p>
    <w:bookmarkEnd w:id="385"/>
    <w:bookmarkEnd w:id="386"/>
    <w:bookmarkEnd w:id="387"/>
    <w:bookmarkEnd w:id="388"/>
    <w:p w14:paraId="0444785E">
      <w:pPr>
        <w:spacing w:line="360" w:lineRule="auto"/>
        <w:rPr>
          <w:rFonts w:ascii="宋体" w:hAnsi="宋体"/>
          <w:bCs/>
          <w:lang w:eastAsia="zh-CN"/>
        </w:rPr>
      </w:pPr>
      <w:bookmarkStart w:id="389" w:name="_Toc351203587"/>
      <w:bookmarkStart w:id="390" w:name="_Toc337558805"/>
      <w:bookmarkStart w:id="391" w:name="_Toc296346611"/>
      <w:bookmarkStart w:id="392" w:name="_Toc296503110"/>
      <w:r>
        <w:rPr>
          <w:rFonts w:ascii="宋体" w:hAnsi="宋体" w:hint="eastAsia"/>
          <w:bCs/>
          <w:lang w:eastAsia="zh-CN"/>
        </w:rPr>
        <w:t>13.1分部分项工程验收</w:t>
      </w:r>
      <w:bookmarkEnd w:id="389"/>
    </w:p>
    <w:bookmarkEnd w:id="390"/>
    <w:p w14:paraId="54C4E686">
      <w:pPr>
        <w:spacing w:line="360" w:lineRule="auto"/>
        <w:rPr>
          <w:rFonts w:ascii="宋体" w:hAnsi="宋体"/>
          <w:lang w:eastAsia="zh-CN"/>
        </w:rPr>
      </w:pPr>
      <w:r>
        <w:rPr>
          <w:rFonts w:ascii="宋体" w:hAnsi="宋体" w:hint="eastAsia"/>
          <w:lang w:eastAsia="zh-CN"/>
        </w:rPr>
        <w:t>13.1.1 分部分项工程质量应符合国家有关工程施工验收规范、标准及合同约定，承包人应按照施工组织设计的要求完成分部分项工程施工。</w:t>
      </w:r>
    </w:p>
    <w:p w14:paraId="670DA555">
      <w:pPr>
        <w:spacing w:line="360" w:lineRule="auto"/>
        <w:rPr>
          <w:rFonts w:ascii="宋体" w:hAnsi="宋体"/>
          <w:lang w:eastAsia="zh-CN"/>
        </w:rPr>
      </w:pPr>
      <w:r>
        <w:rPr>
          <w:rFonts w:ascii="宋体" w:hAnsi="宋体" w:hint="eastAsia"/>
          <w:lang w:eastAsia="zh-CN"/>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5C02DCE8">
      <w:pPr>
        <w:spacing w:line="360" w:lineRule="auto"/>
        <w:rPr>
          <w:rFonts w:ascii="宋体" w:hAnsi="宋体"/>
          <w:lang w:eastAsia="zh-CN"/>
        </w:rPr>
      </w:pPr>
      <w:r>
        <w:rPr>
          <w:rFonts w:ascii="宋体" w:hAnsi="宋体" w:hint="eastAsia"/>
          <w:lang w:eastAsia="zh-CN"/>
        </w:rPr>
        <w:t>分部分项工程的验收资料应当作为竣工资料的组成部分。</w:t>
      </w:r>
    </w:p>
    <w:p w14:paraId="29249315">
      <w:pPr>
        <w:spacing w:line="360" w:lineRule="auto"/>
        <w:rPr>
          <w:rFonts w:ascii="宋体" w:hAnsi="宋体"/>
          <w:bCs/>
          <w:lang w:eastAsia="zh-CN"/>
        </w:rPr>
      </w:pPr>
      <w:bookmarkStart w:id="393" w:name="_Toc351203588"/>
      <w:bookmarkStart w:id="394" w:name="_Toc337558806"/>
      <w:r>
        <w:rPr>
          <w:rFonts w:ascii="宋体" w:hAnsi="宋体" w:hint="eastAsia"/>
          <w:bCs/>
          <w:lang w:eastAsia="zh-CN"/>
        </w:rPr>
        <w:t>13.2竣工验收</w:t>
      </w:r>
      <w:bookmarkEnd w:id="393"/>
    </w:p>
    <w:bookmarkEnd w:id="391"/>
    <w:bookmarkEnd w:id="392"/>
    <w:bookmarkEnd w:id="394"/>
    <w:p w14:paraId="1B96252B">
      <w:pPr>
        <w:spacing w:line="360" w:lineRule="auto"/>
        <w:rPr>
          <w:rFonts w:ascii="宋体" w:hAnsi="宋体"/>
          <w:lang w:eastAsia="zh-CN"/>
        </w:rPr>
      </w:pPr>
      <w:r>
        <w:rPr>
          <w:rFonts w:ascii="宋体" w:hAnsi="宋体" w:hint="eastAsia"/>
          <w:lang w:eastAsia="zh-CN"/>
        </w:rPr>
        <w:t>13.2.1竣工验收条件</w:t>
      </w:r>
    </w:p>
    <w:p w14:paraId="158F169D">
      <w:pPr>
        <w:spacing w:line="360" w:lineRule="auto"/>
        <w:rPr>
          <w:rFonts w:ascii="宋体" w:hAnsi="宋体"/>
          <w:lang w:eastAsia="zh-CN"/>
        </w:rPr>
      </w:pPr>
      <w:r>
        <w:rPr>
          <w:rFonts w:ascii="宋体" w:hAnsi="宋体" w:hint="eastAsia"/>
          <w:lang w:eastAsia="zh-CN"/>
        </w:rPr>
        <w:t>工程具备以下条件的，承包人可以申请竣工验收：</w:t>
      </w:r>
    </w:p>
    <w:p w14:paraId="6053B14F">
      <w:pPr>
        <w:spacing w:line="360" w:lineRule="auto"/>
        <w:rPr>
          <w:rFonts w:ascii="宋体" w:hAnsi="宋体"/>
          <w:lang w:eastAsia="zh-CN"/>
        </w:rPr>
      </w:pPr>
      <w:r>
        <w:rPr>
          <w:rFonts w:ascii="宋体" w:hAnsi="宋体" w:hint="eastAsia"/>
          <w:lang w:eastAsia="zh-CN"/>
        </w:rPr>
        <w:t>（1）除发包人同意的甩项工作和缺陷修补工作外，合同范围内的全部工程以及有关工作，包括合同要求的试验、试运行以及检验均已完成，并符合合同要求；</w:t>
      </w:r>
    </w:p>
    <w:p w14:paraId="369DFB6A">
      <w:pPr>
        <w:spacing w:line="360" w:lineRule="auto"/>
        <w:rPr>
          <w:rFonts w:ascii="宋体" w:hAnsi="宋体"/>
          <w:lang w:eastAsia="zh-CN"/>
        </w:rPr>
      </w:pPr>
      <w:r>
        <w:rPr>
          <w:rFonts w:ascii="宋体" w:hAnsi="宋体" w:hint="eastAsia"/>
          <w:lang w:eastAsia="zh-CN"/>
        </w:rPr>
        <w:t>（2）已按合同约定编制了甩项工作和缺陷修补工作清单以及相应的施工计划；</w:t>
      </w:r>
    </w:p>
    <w:p w14:paraId="2E9EC589">
      <w:pPr>
        <w:spacing w:line="360" w:lineRule="auto"/>
        <w:rPr>
          <w:rFonts w:ascii="宋体" w:hAnsi="宋体"/>
          <w:lang w:eastAsia="zh-CN"/>
        </w:rPr>
      </w:pPr>
      <w:r>
        <w:rPr>
          <w:rFonts w:ascii="宋体" w:hAnsi="宋体" w:hint="eastAsia"/>
          <w:lang w:eastAsia="zh-CN"/>
        </w:rPr>
        <w:t>（3）已按合同约定的内容和份数备齐竣工资料。</w:t>
      </w:r>
    </w:p>
    <w:p w14:paraId="720C58F7">
      <w:pPr>
        <w:spacing w:line="360" w:lineRule="auto"/>
        <w:rPr>
          <w:rFonts w:ascii="宋体" w:hAnsi="宋体"/>
          <w:lang w:eastAsia="zh-CN"/>
        </w:rPr>
      </w:pPr>
      <w:r>
        <w:rPr>
          <w:rFonts w:ascii="宋体" w:hAnsi="宋体" w:hint="eastAsia"/>
          <w:lang w:eastAsia="zh-CN"/>
        </w:rPr>
        <w:t>13.2.2竣工验收程序</w:t>
      </w:r>
    </w:p>
    <w:p w14:paraId="61AD39CB">
      <w:pPr>
        <w:spacing w:line="360" w:lineRule="auto"/>
        <w:rPr>
          <w:rFonts w:ascii="宋体" w:hAnsi="宋体"/>
          <w:lang w:eastAsia="zh-CN"/>
        </w:rPr>
      </w:pPr>
      <w:r>
        <w:rPr>
          <w:rFonts w:ascii="宋体" w:hAnsi="宋体" w:hint="eastAsia"/>
          <w:lang w:eastAsia="zh-CN"/>
        </w:rPr>
        <w:t>除专用合同条款另有约定外，承包人申请竣工验收的，应当按照以下程序进行：</w:t>
      </w:r>
    </w:p>
    <w:p w14:paraId="30A98C5A">
      <w:pPr>
        <w:spacing w:line="360" w:lineRule="auto"/>
        <w:rPr>
          <w:rFonts w:ascii="宋体" w:hAnsi="宋体"/>
          <w:lang w:eastAsia="zh-CN"/>
        </w:rPr>
      </w:pPr>
      <w:r>
        <w:rPr>
          <w:rFonts w:ascii="宋体" w:hAnsi="宋体" w:hint="eastAsia"/>
          <w:lang w:eastAsia="zh-CN"/>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72D54C51">
      <w:pPr>
        <w:spacing w:line="360" w:lineRule="auto"/>
        <w:rPr>
          <w:rFonts w:ascii="宋体" w:hAnsi="宋体"/>
          <w:lang w:eastAsia="zh-CN"/>
        </w:rPr>
      </w:pPr>
      <w:r>
        <w:rPr>
          <w:rFonts w:ascii="宋体" w:hAnsi="宋体" w:hint="eastAsia"/>
          <w:lang w:eastAsia="zh-CN"/>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6F3DEEAC">
      <w:pPr>
        <w:spacing w:line="360" w:lineRule="auto"/>
        <w:rPr>
          <w:rFonts w:ascii="宋体" w:hAnsi="宋体"/>
          <w:lang w:eastAsia="zh-CN"/>
        </w:rPr>
      </w:pPr>
      <w:r>
        <w:rPr>
          <w:rFonts w:ascii="宋体" w:hAnsi="宋体" w:hint="eastAsia"/>
          <w:lang w:eastAsia="zh-CN"/>
        </w:rPr>
        <w:t>（3）竣工验收合格的，发包人应在验收合格后14天内向承包人签发工程接收证书。发包人无正当理由逾期不颁发工程接收证书的，自验收合格后第15天起视为已颁发工程接收证书。</w:t>
      </w:r>
    </w:p>
    <w:p w14:paraId="186C3EC7">
      <w:pPr>
        <w:spacing w:line="360" w:lineRule="auto"/>
        <w:rPr>
          <w:rFonts w:ascii="宋体" w:hAnsi="宋体"/>
          <w:lang w:eastAsia="zh-CN"/>
        </w:rPr>
      </w:pPr>
      <w:r>
        <w:rPr>
          <w:rFonts w:ascii="宋体" w:hAnsi="宋体" w:hint="eastAsia"/>
          <w:lang w:eastAsia="zh-CN"/>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3B78CDE1">
      <w:pPr>
        <w:spacing w:line="360" w:lineRule="auto"/>
        <w:rPr>
          <w:rFonts w:ascii="宋体" w:hAnsi="宋体"/>
          <w:lang w:eastAsia="zh-CN"/>
        </w:rPr>
      </w:pPr>
      <w:r>
        <w:rPr>
          <w:rFonts w:ascii="宋体" w:hAnsi="宋体" w:hint="eastAsia"/>
          <w:lang w:eastAsia="zh-CN"/>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367A8385">
      <w:pPr>
        <w:spacing w:line="360" w:lineRule="auto"/>
        <w:rPr>
          <w:rFonts w:ascii="宋体" w:hAnsi="宋体"/>
          <w:lang w:eastAsia="zh-CN"/>
        </w:rPr>
      </w:pPr>
      <w:r>
        <w:rPr>
          <w:rFonts w:ascii="宋体" w:hAnsi="宋体" w:hint="eastAsia"/>
          <w:lang w:eastAsia="zh-CN"/>
        </w:rPr>
        <w:t>除专用合同条款另有约定外，发包人不按照本项约定组织竣工验收、颁发工程接收证书的，每逾期一天，应以签约合同价为基数，按照中国人民银行发布的同期同类贷款基准利率支付违约金。</w:t>
      </w:r>
    </w:p>
    <w:p w14:paraId="1707A2D2">
      <w:pPr>
        <w:spacing w:line="360" w:lineRule="auto"/>
        <w:rPr>
          <w:rFonts w:ascii="宋体" w:hAnsi="宋体"/>
          <w:lang w:eastAsia="zh-CN"/>
        </w:rPr>
      </w:pPr>
      <w:r>
        <w:rPr>
          <w:rFonts w:ascii="宋体" w:hAnsi="宋体" w:hint="eastAsia"/>
          <w:lang w:eastAsia="zh-CN"/>
        </w:rPr>
        <w:t>13.2.3竣工日期</w:t>
      </w:r>
    </w:p>
    <w:p w14:paraId="629955B9">
      <w:pPr>
        <w:spacing w:line="360" w:lineRule="auto"/>
        <w:rPr>
          <w:rFonts w:ascii="宋体" w:hAnsi="宋体"/>
          <w:lang w:eastAsia="zh-CN"/>
        </w:rPr>
      </w:pPr>
      <w:r>
        <w:rPr>
          <w:rFonts w:ascii="宋体" w:hAnsi="宋体" w:hint="eastAsia"/>
          <w:lang w:eastAsia="zh-CN"/>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395" w:name="#go14"/>
      <w:bookmarkEnd w:id="395"/>
      <w:r>
        <w:rPr>
          <w:rFonts w:ascii="宋体" w:hAnsi="宋体" w:hint="eastAsia"/>
          <w:lang w:eastAsia="zh-CN"/>
        </w:rPr>
        <w:t>收申请报告的日期为实际竣工日期；工程未经竣工验收，发包人擅自使用的，以转移占有工程之日为实际竣工日期。</w:t>
      </w:r>
    </w:p>
    <w:p w14:paraId="66E3B108">
      <w:pPr>
        <w:spacing w:line="360" w:lineRule="auto"/>
        <w:rPr>
          <w:rFonts w:ascii="宋体" w:hAnsi="宋体"/>
          <w:lang w:eastAsia="zh-CN"/>
        </w:rPr>
      </w:pPr>
      <w:r>
        <w:rPr>
          <w:rFonts w:ascii="宋体" w:hAnsi="宋体" w:hint="eastAsia"/>
          <w:lang w:eastAsia="zh-CN"/>
        </w:rPr>
        <w:t>13.2.4 拒绝接收全部或部分工程</w:t>
      </w:r>
    </w:p>
    <w:p w14:paraId="33A199FB">
      <w:pPr>
        <w:spacing w:line="360" w:lineRule="auto"/>
        <w:rPr>
          <w:rFonts w:ascii="宋体" w:hAnsi="宋体"/>
          <w:lang w:eastAsia="zh-CN"/>
        </w:rPr>
      </w:pPr>
      <w:r>
        <w:rPr>
          <w:rFonts w:ascii="宋体" w:hAnsi="宋体" w:hint="eastAsia"/>
          <w:lang w:eastAsia="zh-CN"/>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74E831D8">
      <w:pPr>
        <w:spacing w:line="360" w:lineRule="auto"/>
        <w:rPr>
          <w:rFonts w:ascii="宋体" w:hAnsi="宋体"/>
        </w:rPr>
      </w:pPr>
      <w:r>
        <w:rPr>
          <w:rFonts w:ascii="宋体" w:hAnsi="宋体" w:hint="eastAsia"/>
        </w:rPr>
        <w:t>13.2.5 移交、接收全部与部分工程</w:t>
      </w:r>
    </w:p>
    <w:p w14:paraId="55E3205D">
      <w:pPr>
        <w:spacing w:line="360" w:lineRule="auto"/>
        <w:rPr>
          <w:rFonts w:ascii="宋体" w:hAnsi="宋体"/>
          <w:lang w:eastAsia="zh-CN"/>
        </w:rPr>
      </w:pPr>
      <w:r>
        <w:rPr>
          <w:rFonts w:ascii="宋体" w:hAnsi="宋体" w:hint="eastAsia"/>
          <w:lang w:eastAsia="zh-CN"/>
        </w:rPr>
        <w:t>除专用合同条款另有约定外，合同当事人应当在颁发工程接收证书后7天内完成工程的移交。</w:t>
      </w:r>
    </w:p>
    <w:p w14:paraId="019E975C">
      <w:pPr>
        <w:spacing w:line="360" w:lineRule="auto"/>
        <w:rPr>
          <w:rFonts w:ascii="宋体" w:hAnsi="宋体"/>
          <w:lang w:eastAsia="zh-CN"/>
        </w:rPr>
      </w:pPr>
      <w:r>
        <w:rPr>
          <w:rFonts w:ascii="宋体" w:hAnsi="宋体" w:hint="eastAsia"/>
          <w:lang w:eastAsia="zh-CN"/>
        </w:rPr>
        <w:t>发包人无正当理由不接收工程的，发包人自应当接收工程之日起，承担工程照管、成品保护、保管等与工程有关的各项费用，合同当事人可以在专用合同条款中另行约定发包人逾期接收工程的违约责任。</w:t>
      </w:r>
    </w:p>
    <w:p w14:paraId="0A016F9B">
      <w:pPr>
        <w:spacing w:line="360" w:lineRule="auto"/>
        <w:rPr>
          <w:rFonts w:ascii="宋体" w:hAnsi="宋体"/>
          <w:lang w:eastAsia="zh-CN"/>
        </w:rPr>
      </w:pPr>
      <w:r>
        <w:rPr>
          <w:rFonts w:ascii="宋体" w:hAnsi="宋体" w:hint="eastAsia"/>
          <w:lang w:eastAsia="zh-CN"/>
        </w:rPr>
        <w:t>承包人无正当理由不移交工程的，承包人应承担工程照管、成品保护、保管等与工程有关的各项费用，合同当事人可以在专用合同条款中另行约定承包人无正当理由不移交工程的违约责任。</w:t>
      </w:r>
    </w:p>
    <w:p w14:paraId="26B8FD23">
      <w:pPr>
        <w:spacing w:line="360" w:lineRule="auto"/>
        <w:rPr>
          <w:rFonts w:ascii="宋体" w:hAnsi="宋体"/>
          <w:bCs/>
          <w:lang w:eastAsia="zh-CN"/>
        </w:rPr>
      </w:pPr>
      <w:bookmarkStart w:id="396" w:name="_Toc351203589"/>
      <w:bookmarkStart w:id="397" w:name="_Toc296503111"/>
      <w:bookmarkStart w:id="398" w:name="_Toc337558807"/>
      <w:bookmarkStart w:id="399" w:name="_Toc296346612"/>
      <w:r>
        <w:rPr>
          <w:rFonts w:ascii="宋体" w:hAnsi="宋体" w:hint="eastAsia"/>
          <w:bCs/>
          <w:lang w:eastAsia="zh-CN"/>
        </w:rPr>
        <w:t>13.3工程试车</w:t>
      </w:r>
      <w:bookmarkEnd w:id="396"/>
    </w:p>
    <w:bookmarkEnd w:id="397"/>
    <w:bookmarkEnd w:id="398"/>
    <w:bookmarkEnd w:id="399"/>
    <w:p w14:paraId="3489D07B">
      <w:pPr>
        <w:spacing w:line="360" w:lineRule="auto"/>
        <w:rPr>
          <w:rFonts w:ascii="宋体" w:hAnsi="宋体"/>
          <w:lang w:eastAsia="zh-CN"/>
        </w:rPr>
      </w:pPr>
      <w:r>
        <w:rPr>
          <w:rFonts w:ascii="宋体" w:hAnsi="宋体" w:hint="eastAsia"/>
          <w:lang w:eastAsia="zh-CN"/>
        </w:rPr>
        <w:t>13.3.1试车程序</w:t>
      </w:r>
    </w:p>
    <w:p w14:paraId="427B4FB6">
      <w:pPr>
        <w:spacing w:line="360" w:lineRule="auto"/>
        <w:rPr>
          <w:rFonts w:ascii="宋体" w:hAnsi="宋体"/>
          <w:lang w:eastAsia="zh-CN"/>
        </w:rPr>
      </w:pPr>
      <w:r>
        <w:rPr>
          <w:rFonts w:ascii="宋体" w:hAnsi="宋体" w:hint="eastAsia"/>
          <w:lang w:eastAsia="zh-CN"/>
        </w:rPr>
        <w:t>工程需要试车的，除专用合同条款另有约定外，试车内容应与承包人承包范围相一致，试车费用由承包人承担。工程试车应按如下程序进行：</w:t>
      </w:r>
    </w:p>
    <w:p w14:paraId="292EC5DA">
      <w:pPr>
        <w:spacing w:line="360" w:lineRule="auto"/>
        <w:rPr>
          <w:rFonts w:ascii="宋体" w:hAnsi="宋体"/>
          <w:lang w:eastAsia="zh-CN"/>
        </w:rPr>
      </w:pPr>
      <w:r>
        <w:rPr>
          <w:rFonts w:ascii="宋体" w:hAnsi="宋体" w:hint="eastAsia"/>
          <w:lang w:eastAsia="zh-CN"/>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721E079D">
      <w:pPr>
        <w:spacing w:line="360" w:lineRule="auto"/>
        <w:rPr>
          <w:rFonts w:ascii="宋体" w:hAnsi="宋体"/>
          <w:lang w:eastAsia="zh-CN"/>
        </w:rPr>
      </w:pPr>
      <w:r>
        <w:rPr>
          <w:rFonts w:ascii="宋体" w:hAnsi="宋体" w:hint="eastAsia"/>
          <w:lang w:eastAsia="zh-CN"/>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38B3305E">
      <w:pPr>
        <w:spacing w:line="360" w:lineRule="auto"/>
        <w:rPr>
          <w:rFonts w:ascii="宋体" w:hAnsi="宋体"/>
          <w:lang w:eastAsia="zh-CN"/>
        </w:rPr>
      </w:pPr>
      <w:r>
        <w:rPr>
          <w:rFonts w:ascii="宋体" w:hAnsi="宋体" w:hint="eastAsia"/>
          <w:lang w:eastAsia="zh-CN"/>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1E2F2991">
      <w:pPr>
        <w:spacing w:line="360" w:lineRule="auto"/>
        <w:rPr>
          <w:rFonts w:ascii="宋体" w:hAnsi="宋体"/>
          <w:lang w:eastAsia="zh-CN"/>
        </w:rPr>
      </w:pPr>
      <w:r>
        <w:rPr>
          <w:rFonts w:ascii="宋体" w:hAnsi="宋体" w:hint="eastAsia"/>
          <w:lang w:eastAsia="zh-CN"/>
        </w:rPr>
        <w:t>13.3.2 试车中的责任</w:t>
      </w:r>
    </w:p>
    <w:p w14:paraId="55B12D95">
      <w:pPr>
        <w:spacing w:line="360" w:lineRule="auto"/>
        <w:rPr>
          <w:rFonts w:ascii="宋体" w:hAnsi="宋体"/>
          <w:lang w:eastAsia="zh-CN"/>
        </w:rPr>
      </w:pPr>
      <w:r>
        <w:rPr>
          <w:rFonts w:ascii="宋体" w:hAnsi="宋体" w:hint="eastAsia"/>
          <w:lang w:eastAsia="zh-CN"/>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6B06F1ED">
      <w:pPr>
        <w:spacing w:line="360" w:lineRule="auto"/>
        <w:rPr>
          <w:rFonts w:ascii="宋体" w:hAnsi="宋体"/>
          <w:lang w:eastAsia="zh-CN"/>
        </w:rPr>
      </w:pPr>
      <w:r>
        <w:rPr>
          <w:rFonts w:ascii="宋体" w:hAnsi="宋体" w:hint="eastAsia"/>
          <w:lang w:eastAsia="zh-CN"/>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2D8E52B2">
      <w:pPr>
        <w:spacing w:line="360" w:lineRule="auto"/>
        <w:rPr>
          <w:rFonts w:ascii="宋体" w:hAnsi="宋体"/>
          <w:lang w:eastAsia="zh-CN"/>
        </w:rPr>
      </w:pPr>
      <w:r>
        <w:rPr>
          <w:rFonts w:ascii="宋体" w:hAnsi="宋体" w:hint="eastAsia"/>
          <w:lang w:eastAsia="zh-CN"/>
        </w:rPr>
        <w:t>13.3.3 投料试车</w:t>
      </w:r>
    </w:p>
    <w:p w14:paraId="6ECFB986">
      <w:pPr>
        <w:spacing w:line="360" w:lineRule="auto"/>
        <w:rPr>
          <w:rFonts w:ascii="宋体" w:hAnsi="宋体"/>
          <w:lang w:eastAsia="zh-CN"/>
        </w:rPr>
      </w:pPr>
      <w:r>
        <w:rPr>
          <w:rFonts w:ascii="宋体" w:hAnsi="宋体" w:hint="eastAsia"/>
          <w:lang w:eastAsia="zh-CN"/>
        </w:rPr>
        <w:t>如需进行投料试车的，发包人应在工程竣工验收后组织投料试车。发包人要求在工程竣工验收前进行或需要承包人配合时，应征得承包人同意，并在专用合同条款中约定有关事项。</w:t>
      </w:r>
    </w:p>
    <w:p w14:paraId="478E596B">
      <w:pPr>
        <w:spacing w:line="360" w:lineRule="auto"/>
        <w:rPr>
          <w:rFonts w:ascii="宋体" w:hAnsi="宋体"/>
          <w:lang w:eastAsia="zh-CN"/>
        </w:rPr>
      </w:pPr>
      <w:r>
        <w:rPr>
          <w:rFonts w:ascii="宋体" w:hAnsi="宋体" w:hint="eastAsia"/>
          <w:lang w:eastAsia="zh-CN"/>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6FFBD1C2">
      <w:pPr>
        <w:spacing w:line="360" w:lineRule="auto"/>
        <w:rPr>
          <w:rFonts w:ascii="宋体" w:hAnsi="宋体"/>
          <w:bCs/>
          <w:lang w:eastAsia="zh-CN"/>
        </w:rPr>
      </w:pPr>
      <w:bookmarkStart w:id="400" w:name="_Toc337558808"/>
      <w:r>
        <w:rPr>
          <w:rFonts w:ascii="宋体" w:hAnsi="宋体" w:hint="eastAsia"/>
          <w:bCs/>
          <w:lang w:eastAsia="zh-CN"/>
        </w:rPr>
        <w:t xml:space="preserve">    </w:t>
      </w:r>
      <w:bookmarkStart w:id="401" w:name="_Toc351203590"/>
      <w:r>
        <w:rPr>
          <w:rFonts w:ascii="宋体" w:hAnsi="宋体" w:hint="eastAsia"/>
          <w:bCs/>
          <w:lang w:eastAsia="zh-CN"/>
        </w:rPr>
        <w:t>13.4提前交付单位工程的验收</w:t>
      </w:r>
      <w:bookmarkEnd w:id="401"/>
    </w:p>
    <w:bookmarkEnd w:id="400"/>
    <w:p w14:paraId="6A5AA019">
      <w:pPr>
        <w:spacing w:line="360" w:lineRule="auto"/>
        <w:rPr>
          <w:rFonts w:ascii="宋体" w:hAnsi="宋体"/>
          <w:lang w:eastAsia="zh-CN"/>
        </w:rPr>
      </w:pPr>
      <w:r>
        <w:rPr>
          <w:rFonts w:ascii="宋体" w:hAnsi="宋体" w:hint="eastAsia"/>
          <w:lang w:eastAsia="zh-CN"/>
        </w:rPr>
        <w:t>13.4.1 发包人需要在工程竣工前使用单位工程的，或承包人提出提前交付已经竣工的单位工程且经发包人同意的，可进行单位工程验收，验收的程序按照第13.2款〔竣工验收〕的约定进行。</w:t>
      </w:r>
    </w:p>
    <w:p w14:paraId="270B9D0A">
      <w:pPr>
        <w:spacing w:line="360" w:lineRule="auto"/>
        <w:rPr>
          <w:rFonts w:ascii="宋体" w:hAnsi="宋体"/>
          <w:lang w:eastAsia="zh-CN"/>
        </w:rPr>
      </w:pPr>
      <w:r>
        <w:rPr>
          <w:rFonts w:ascii="宋体" w:hAnsi="宋体" w:hint="eastAsia"/>
          <w:lang w:eastAsia="zh-CN"/>
        </w:rPr>
        <w:t>验收合格后，由监理人向承包人出具经发包人签认的单位工程接收证书。已签发单位工程接收证书的单位工程由发包人负责照管。单位工程的验收成果和结论作为整体工程竣工验收申请报告的附件。</w:t>
      </w:r>
    </w:p>
    <w:p w14:paraId="62562388">
      <w:pPr>
        <w:spacing w:line="360" w:lineRule="auto"/>
        <w:rPr>
          <w:rFonts w:ascii="宋体" w:hAnsi="宋体"/>
          <w:lang w:eastAsia="zh-CN"/>
        </w:rPr>
      </w:pPr>
      <w:r>
        <w:rPr>
          <w:rFonts w:ascii="宋体" w:hAnsi="宋体" w:hint="eastAsia"/>
          <w:lang w:eastAsia="zh-CN"/>
        </w:rPr>
        <w:t>13.4.2 发包人要求在工程竣工前交付单位工程，由此导致承包人费用增加和（或）工期延误的，由发包人承担由此增加的费用和（或）延误的工期，并支付承包人合理的利润。</w:t>
      </w:r>
    </w:p>
    <w:p w14:paraId="4B81B11F">
      <w:pPr>
        <w:spacing w:line="360" w:lineRule="auto"/>
        <w:rPr>
          <w:rFonts w:ascii="宋体" w:hAnsi="宋体"/>
          <w:bCs/>
          <w:lang w:eastAsia="zh-CN"/>
        </w:rPr>
      </w:pPr>
      <w:bookmarkStart w:id="402" w:name="_Toc351203591"/>
      <w:r>
        <w:rPr>
          <w:rFonts w:ascii="宋体" w:hAnsi="宋体" w:hint="eastAsia"/>
          <w:bCs/>
          <w:lang w:eastAsia="zh-CN"/>
        </w:rPr>
        <w:t>13.5 施工期运行</w:t>
      </w:r>
      <w:bookmarkEnd w:id="402"/>
    </w:p>
    <w:p w14:paraId="73F51C69">
      <w:pPr>
        <w:spacing w:line="360" w:lineRule="auto"/>
        <w:rPr>
          <w:rFonts w:ascii="宋体" w:hAnsi="宋体"/>
          <w:lang w:eastAsia="zh-CN"/>
        </w:rPr>
      </w:pPr>
      <w:r>
        <w:rPr>
          <w:rFonts w:ascii="宋体" w:hAnsi="宋体" w:hint="eastAsia"/>
          <w:lang w:eastAsia="zh-CN"/>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01034D0F">
      <w:pPr>
        <w:spacing w:line="360" w:lineRule="auto"/>
        <w:rPr>
          <w:rFonts w:ascii="宋体" w:hAnsi="宋体"/>
          <w:lang w:eastAsia="zh-CN"/>
        </w:rPr>
      </w:pPr>
      <w:r>
        <w:rPr>
          <w:rFonts w:ascii="宋体" w:hAnsi="宋体" w:hint="eastAsia"/>
          <w:lang w:eastAsia="zh-CN"/>
        </w:rPr>
        <w:t>13.5.2 在施工期运行中发现工程或工程设备损坏或存在缺陷的，由承包人按第15.2款〔缺陷责任期〕约定进行修复。</w:t>
      </w:r>
    </w:p>
    <w:p w14:paraId="08B08DA7">
      <w:pPr>
        <w:spacing w:line="360" w:lineRule="auto"/>
        <w:rPr>
          <w:rFonts w:ascii="宋体" w:hAnsi="宋体"/>
          <w:bCs/>
          <w:lang w:eastAsia="zh-CN"/>
        </w:rPr>
      </w:pPr>
      <w:bookmarkStart w:id="403" w:name="_Toc296503112"/>
      <w:bookmarkStart w:id="404" w:name="_Toc296346613"/>
      <w:bookmarkStart w:id="405" w:name="_Toc351203592"/>
      <w:bookmarkStart w:id="406" w:name="_Toc337558809"/>
      <w:r>
        <w:rPr>
          <w:rFonts w:ascii="宋体" w:hAnsi="宋体" w:hint="eastAsia"/>
          <w:bCs/>
          <w:lang w:eastAsia="zh-CN"/>
        </w:rPr>
        <w:t>13.6 竣工退</w:t>
      </w:r>
      <w:bookmarkEnd w:id="403"/>
      <w:bookmarkEnd w:id="404"/>
      <w:r>
        <w:rPr>
          <w:rFonts w:ascii="宋体" w:hAnsi="宋体" w:hint="eastAsia"/>
          <w:bCs/>
          <w:lang w:eastAsia="zh-CN"/>
        </w:rPr>
        <w:t>场</w:t>
      </w:r>
      <w:bookmarkEnd w:id="405"/>
    </w:p>
    <w:bookmarkEnd w:id="406"/>
    <w:p w14:paraId="333B671A">
      <w:pPr>
        <w:spacing w:line="360" w:lineRule="auto"/>
        <w:rPr>
          <w:rFonts w:ascii="宋体" w:hAnsi="宋体"/>
          <w:lang w:eastAsia="zh-CN"/>
        </w:rPr>
      </w:pPr>
      <w:r>
        <w:rPr>
          <w:rFonts w:ascii="宋体" w:hAnsi="宋体" w:hint="eastAsia"/>
          <w:lang w:eastAsia="zh-CN"/>
        </w:rPr>
        <w:t>13.6.1 竣工退场</w:t>
      </w:r>
    </w:p>
    <w:p w14:paraId="34C06786">
      <w:pPr>
        <w:spacing w:line="360" w:lineRule="auto"/>
        <w:rPr>
          <w:rFonts w:ascii="宋体" w:hAnsi="宋体"/>
          <w:lang w:eastAsia="zh-CN"/>
        </w:rPr>
      </w:pPr>
      <w:r>
        <w:rPr>
          <w:rFonts w:ascii="宋体" w:hAnsi="宋体" w:hint="eastAsia"/>
          <w:lang w:eastAsia="zh-CN"/>
        </w:rPr>
        <w:t>颁发工程接收证书后，承包人应按以下要求对施工现场进行清理：</w:t>
      </w:r>
    </w:p>
    <w:p w14:paraId="3BE01E56">
      <w:pPr>
        <w:spacing w:line="360" w:lineRule="auto"/>
        <w:rPr>
          <w:rFonts w:ascii="宋体" w:hAnsi="宋体"/>
          <w:lang w:eastAsia="zh-CN"/>
        </w:rPr>
      </w:pPr>
      <w:r>
        <w:rPr>
          <w:rFonts w:ascii="宋体" w:hAnsi="宋体" w:hint="eastAsia"/>
          <w:lang w:eastAsia="zh-CN"/>
        </w:rPr>
        <w:t>（1）施工现场内残留的垃圾已全部清除出场；</w:t>
      </w:r>
    </w:p>
    <w:p w14:paraId="2A42CF87">
      <w:pPr>
        <w:spacing w:line="360" w:lineRule="auto"/>
        <w:rPr>
          <w:rFonts w:ascii="宋体" w:hAnsi="宋体"/>
          <w:lang w:eastAsia="zh-CN"/>
        </w:rPr>
      </w:pPr>
      <w:r>
        <w:rPr>
          <w:rFonts w:ascii="宋体" w:hAnsi="宋体" w:hint="eastAsia"/>
          <w:lang w:eastAsia="zh-CN"/>
        </w:rPr>
        <w:t>（2）临时工程已拆除，场地已进行清理、平整或复原；</w:t>
      </w:r>
    </w:p>
    <w:p w14:paraId="362A726F">
      <w:pPr>
        <w:spacing w:line="360" w:lineRule="auto"/>
        <w:rPr>
          <w:rFonts w:ascii="宋体" w:hAnsi="宋体"/>
          <w:lang w:eastAsia="zh-CN"/>
        </w:rPr>
      </w:pPr>
      <w:r>
        <w:rPr>
          <w:rFonts w:ascii="宋体" w:hAnsi="宋体" w:hint="eastAsia"/>
          <w:lang w:eastAsia="zh-CN"/>
        </w:rPr>
        <w:t>（3）按合同约定应撤离的人员、承包人施工设备和剩余的材料，包括废弃的施工设备和材料，已按计划撤离施工现场；</w:t>
      </w:r>
    </w:p>
    <w:p w14:paraId="5E17CEEC">
      <w:pPr>
        <w:spacing w:line="360" w:lineRule="auto"/>
        <w:rPr>
          <w:rFonts w:ascii="宋体" w:hAnsi="宋体"/>
          <w:lang w:eastAsia="zh-CN"/>
        </w:rPr>
      </w:pPr>
      <w:r>
        <w:rPr>
          <w:rFonts w:ascii="宋体" w:hAnsi="宋体" w:hint="eastAsia"/>
          <w:lang w:eastAsia="zh-CN"/>
        </w:rPr>
        <w:t>（4）施工现场周边及其附近道路、河道的施工堆积物，已全部清理；</w:t>
      </w:r>
    </w:p>
    <w:p w14:paraId="4122CA8B">
      <w:pPr>
        <w:spacing w:line="360" w:lineRule="auto"/>
        <w:rPr>
          <w:rFonts w:ascii="宋体" w:hAnsi="宋体"/>
          <w:lang w:eastAsia="zh-CN"/>
        </w:rPr>
      </w:pPr>
      <w:r>
        <w:rPr>
          <w:rFonts w:ascii="宋体" w:hAnsi="宋体" w:hint="eastAsia"/>
          <w:lang w:eastAsia="zh-CN"/>
        </w:rPr>
        <w:t>（5）施工现场其他场地清理工作已全部完成。</w:t>
      </w:r>
    </w:p>
    <w:p w14:paraId="04D5CA86">
      <w:pPr>
        <w:spacing w:line="360" w:lineRule="auto"/>
        <w:rPr>
          <w:rFonts w:ascii="宋体" w:hAnsi="宋体"/>
          <w:lang w:eastAsia="zh-CN"/>
        </w:rPr>
      </w:pPr>
      <w:r>
        <w:rPr>
          <w:rFonts w:ascii="宋体" w:hAnsi="宋体" w:hint="eastAsia"/>
          <w:lang w:eastAsia="zh-CN"/>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7E1B9FB4">
      <w:pPr>
        <w:spacing w:line="360" w:lineRule="auto"/>
        <w:rPr>
          <w:rFonts w:ascii="宋体" w:hAnsi="宋体"/>
          <w:lang w:eastAsia="zh-CN"/>
        </w:rPr>
      </w:pPr>
      <w:r>
        <w:rPr>
          <w:rFonts w:ascii="宋体" w:hAnsi="宋体" w:hint="eastAsia"/>
          <w:lang w:eastAsia="zh-CN"/>
        </w:rPr>
        <w:t>13.6.2 地表还原</w:t>
      </w:r>
    </w:p>
    <w:p w14:paraId="167F7498">
      <w:pPr>
        <w:spacing w:line="360" w:lineRule="auto"/>
        <w:rPr>
          <w:rFonts w:ascii="宋体" w:hAnsi="宋体"/>
          <w:lang w:eastAsia="zh-CN"/>
        </w:rPr>
      </w:pPr>
      <w:r>
        <w:rPr>
          <w:rFonts w:ascii="宋体" w:hAnsi="宋体" w:hint="eastAsia"/>
          <w:lang w:eastAsia="zh-CN"/>
        </w:rPr>
        <w:t>承包人应按发包人要求恢复临时占地及清理场地，承包人未按发包人的要求恢复临时占地，或者场地清理未达到合同约定要求的，发包人有权委托其他人恢复或清理，所发生的费用由承包人承担。</w:t>
      </w:r>
    </w:p>
    <w:p w14:paraId="672F383F">
      <w:pPr>
        <w:spacing w:line="360" w:lineRule="auto"/>
        <w:rPr>
          <w:rFonts w:ascii="宋体" w:hAnsi="宋体"/>
          <w:bCs/>
          <w:lang w:eastAsia="zh-CN"/>
        </w:rPr>
      </w:pPr>
      <w:bookmarkStart w:id="407" w:name="_Toc351203593"/>
      <w:bookmarkStart w:id="408" w:name="_Toc337558810"/>
      <w:bookmarkStart w:id="409" w:name="_Toc296346614"/>
      <w:bookmarkStart w:id="410" w:name="_Toc296503113"/>
      <w:r>
        <w:rPr>
          <w:rFonts w:ascii="宋体" w:hAnsi="宋体" w:hint="eastAsia"/>
          <w:bCs/>
          <w:lang w:eastAsia="zh-CN"/>
        </w:rPr>
        <w:t>14. 竣工结算</w:t>
      </w:r>
      <w:bookmarkEnd w:id="407"/>
    </w:p>
    <w:bookmarkEnd w:id="408"/>
    <w:p w14:paraId="34EBE998">
      <w:pPr>
        <w:spacing w:line="360" w:lineRule="auto"/>
        <w:rPr>
          <w:rFonts w:ascii="宋体" w:hAnsi="宋体"/>
          <w:bCs/>
          <w:lang w:eastAsia="zh-CN"/>
        </w:rPr>
      </w:pPr>
      <w:bookmarkStart w:id="411" w:name="_Toc351203594"/>
      <w:bookmarkStart w:id="412" w:name="_Toc337558811"/>
      <w:r>
        <w:rPr>
          <w:rFonts w:ascii="宋体" w:hAnsi="宋体" w:hint="eastAsia"/>
          <w:bCs/>
          <w:lang w:eastAsia="zh-CN"/>
        </w:rPr>
        <w:t>14.1 竣工结算申请</w:t>
      </w:r>
      <w:bookmarkEnd w:id="411"/>
    </w:p>
    <w:bookmarkEnd w:id="412"/>
    <w:p w14:paraId="10ADF69B">
      <w:pPr>
        <w:spacing w:line="360" w:lineRule="auto"/>
        <w:rPr>
          <w:rFonts w:ascii="宋体" w:hAnsi="宋体"/>
          <w:lang w:eastAsia="zh-CN"/>
        </w:rPr>
      </w:pPr>
      <w:r>
        <w:rPr>
          <w:rFonts w:ascii="宋体" w:hAnsi="宋体" w:hint="eastAsia"/>
          <w:lang w:eastAsia="zh-CN"/>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18379A6E">
      <w:pPr>
        <w:spacing w:line="360" w:lineRule="auto"/>
        <w:rPr>
          <w:rFonts w:ascii="宋体" w:hAnsi="宋体"/>
          <w:lang w:eastAsia="zh-CN"/>
        </w:rPr>
      </w:pPr>
      <w:r>
        <w:rPr>
          <w:rFonts w:ascii="宋体" w:hAnsi="宋体" w:hint="eastAsia"/>
          <w:lang w:eastAsia="zh-CN"/>
        </w:rPr>
        <w:t>除专用合同条款另有约定外，竣工结算申请单应包括以下内容：</w:t>
      </w:r>
    </w:p>
    <w:p w14:paraId="6EE58882">
      <w:pPr>
        <w:spacing w:line="360" w:lineRule="auto"/>
        <w:rPr>
          <w:rFonts w:ascii="宋体" w:hAnsi="宋体"/>
          <w:lang w:eastAsia="zh-CN"/>
        </w:rPr>
      </w:pPr>
      <w:r>
        <w:rPr>
          <w:rFonts w:ascii="宋体" w:hAnsi="宋体" w:hint="eastAsia"/>
          <w:lang w:eastAsia="zh-CN"/>
        </w:rPr>
        <w:t>（1）竣工结算合同价格；</w:t>
      </w:r>
    </w:p>
    <w:p w14:paraId="0A3EFF74">
      <w:pPr>
        <w:spacing w:line="360" w:lineRule="auto"/>
        <w:rPr>
          <w:rFonts w:ascii="宋体" w:hAnsi="宋体"/>
          <w:lang w:eastAsia="zh-CN"/>
        </w:rPr>
      </w:pPr>
      <w:r>
        <w:rPr>
          <w:rFonts w:ascii="宋体" w:hAnsi="宋体" w:hint="eastAsia"/>
          <w:lang w:eastAsia="zh-CN"/>
        </w:rPr>
        <w:t>（2）发包人已支付承包人的款项；</w:t>
      </w:r>
    </w:p>
    <w:p w14:paraId="7AED2930">
      <w:pPr>
        <w:spacing w:line="360" w:lineRule="auto"/>
        <w:rPr>
          <w:rFonts w:ascii="宋体" w:hAnsi="宋体"/>
          <w:lang w:eastAsia="zh-CN"/>
        </w:rPr>
      </w:pPr>
      <w:r>
        <w:rPr>
          <w:rFonts w:ascii="宋体" w:hAnsi="宋体" w:hint="eastAsia"/>
          <w:lang w:eastAsia="zh-CN"/>
        </w:rPr>
        <w:t xml:space="preserve">（3）应扣留的质量保证金。已缴纳履约保证金的或提供其他工程质量担保方式的除外； </w:t>
      </w:r>
    </w:p>
    <w:p w14:paraId="42718A64">
      <w:pPr>
        <w:spacing w:line="360" w:lineRule="auto"/>
        <w:rPr>
          <w:rFonts w:ascii="宋体" w:hAnsi="宋体"/>
          <w:lang w:eastAsia="zh-CN"/>
        </w:rPr>
      </w:pPr>
      <w:r>
        <w:rPr>
          <w:rFonts w:ascii="宋体" w:hAnsi="宋体" w:hint="eastAsia"/>
          <w:lang w:eastAsia="zh-CN"/>
        </w:rPr>
        <w:t>（4）发包人应支付承包人的合同价款。</w:t>
      </w:r>
    </w:p>
    <w:p w14:paraId="58C63727">
      <w:pPr>
        <w:spacing w:line="360" w:lineRule="auto"/>
        <w:rPr>
          <w:rFonts w:ascii="宋体" w:hAnsi="宋体"/>
          <w:bCs/>
          <w:lang w:eastAsia="zh-CN"/>
        </w:rPr>
      </w:pPr>
      <w:bookmarkStart w:id="413" w:name="_Toc351203595"/>
      <w:bookmarkStart w:id="414" w:name="_Toc337558812"/>
      <w:r>
        <w:rPr>
          <w:rFonts w:ascii="宋体" w:hAnsi="宋体" w:hint="eastAsia"/>
          <w:bCs/>
          <w:lang w:eastAsia="zh-CN"/>
        </w:rPr>
        <w:t>14.2 竣工结算审核</w:t>
      </w:r>
      <w:bookmarkEnd w:id="413"/>
    </w:p>
    <w:bookmarkEnd w:id="414"/>
    <w:p w14:paraId="301DDA46">
      <w:pPr>
        <w:spacing w:line="360" w:lineRule="auto"/>
        <w:rPr>
          <w:rFonts w:ascii="宋体" w:hAnsi="宋体"/>
          <w:lang w:eastAsia="zh-CN"/>
        </w:rPr>
      </w:pPr>
      <w:r>
        <w:rPr>
          <w:rFonts w:ascii="宋体" w:hAnsi="宋体" w:hint="eastAsia"/>
          <w:lang w:eastAsia="zh-CN"/>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42B8BECB">
      <w:pPr>
        <w:spacing w:line="360" w:lineRule="auto"/>
        <w:rPr>
          <w:rFonts w:ascii="宋体" w:hAnsi="宋体"/>
          <w:lang w:eastAsia="zh-CN"/>
        </w:rPr>
      </w:pPr>
      <w:r>
        <w:rPr>
          <w:rFonts w:ascii="宋体" w:hAnsi="宋体" w:hint="eastAsia"/>
          <w:lang w:eastAsia="zh-CN"/>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18404C79">
      <w:pPr>
        <w:spacing w:line="360" w:lineRule="auto"/>
        <w:rPr>
          <w:rFonts w:ascii="宋体" w:hAnsi="宋体"/>
          <w:lang w:eastAsia="zh-CN"/>
        </w:rPr>
      </w:pPr>
      <w:r>
        <w:rPr>
          <w:rFonts w:ascii="宋体" w:hAnsi="宋体" w:hint="eastAsia"/>
          <w:lang w:eastAsia="zh-CN"/>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1CBCCA02">
      <w:pPr>
        <w:spacing w:line="360" w:lineRule="auto"/>
        <w:rPr>
          <w:rFonts w:ascii="宋体" w:hAnsi="宋体"/>
          <w:lang w:eastAsia="zh-CN"/>
        </w:rPr>
      </w:pPr>
      <w:r>
        <w:rPr>
          <w:rFonts w:ascii="宋体" w:hAnsi="宋体" w:hint="eastAsia"/>
          <w:lang w:eastAsia="zh-CN"/>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7B212EB4">
      <w:pPr>
        <w:spacing w:line="360" w:lineRule="auto"/>
        <w:rPr>
          <w:rFonts w:ascii="宋体" w:hAnsi="宋体"/>
          <w:bCs/>
          <w:lang w:eastAsia="zh-CN"/>
        </w:rPr>
      </w:pPr>
      <w:bookmarkStart w:id="415" w:name="_Toc351203596"/>
      <w:bookmarkStart w:id="416" w:name="_Toc337558813"/>
      <w:r>
        <w:rPr>
          <w:rFonts w:ascii="宋体" w:hAnsi="宋体" w:hint="eastAsia"/>
          <w:bCs/>
          <w:lang w:eastAsia="zh-CN"/>
        </w:rPr>
        <w:t>14.3 甩项竣工协议</w:t>
      </w:r>
      <w:bookmarkEnd w:id="415"/>
    </w:p>
    <w:bookmarkEnd w:id="416"/>
    <w:p w14:paraId="2E5CC5FA">
      <w:pPr>
        <w:spacing w:line="360" w:lineRule="auto"/>
        <w:rPr>
          <w:rFonts w:ascii="宋体" w:hAnsi="宋体"/>
          <w:lang w:eastAsia="zh-CN"/>
        </w:rPr>
      </w:pPr>
      <w:r>
        <w:rPr>
          <w:rFonts w:ascii="宋体" w:hAnsi="宋体" w:hint="eastAsia"/>
          <w:lang w:eastAsia="zh-CN"/>
        </w:rPr>
        <w:t>发包人要求甩项竣工的，合同当事人应签订甩项竣工协议。在甩项竣工协议中应明确，合同当事人按照第14.1款〔竣工结算申请〕及14.2款〔竣工结算审核〕的约定，对已完合格工程进行结算，并支付相应合同价款。</w:t>
      </w:r>
    </w:p>
    <w:p w14:paraId="6911EDB7">
      <w:pPr>
        <w:spacing w:line="360" w:lineRule="auto"/>
        <w:rPr>
          <w:rFonts w:ascii="宋体" w:hAnsi="宋体"/>
          <w:bCs/>
          <w:lang w:eastAsia="zh-CN"/>
        </w:rPr>
      </w:pPr>
      <w:bookmarkStart w:id="417" w:name="_Toc351203597"/>
      <w:bookmarkStart w:id="418" w:name="_Toc337558814"/>
      <w:r>
        <w:rPr>
          <w:rFonts w:ascii="宋体" w:hAnsi="宋体" w:hint="eastAsia"/>
          <w:bCs/>
          <w:lang w:eastAsia="zh-CN"/>
        </w:rPr>
        <w:t>14.4 最终结清</w:t>
      </w:r>
      <w:bookmarkEnd w:id="417"/>
    </w:p>
    <w:bookmarkEnd w:id="418"/>
    <w:p w14:paraId="3F35D982">
      <w:pPr>
        <w:spacing w:line="360" w:lineRule="auto"/>
        <w:rPr>
          <w:rFonts w:ascii="宋体" w:hAnsi="宋体"/>
          <w:lang w:eastAsia="zh-CN"/>
        </w:rPr>
      </w:pPr>
      <w:r>
        <w:rPr>
          <w:rFonts w:ascii="宋体" w:hAnsi="宋体" w:hint="eastAsia"/>
          <w:lang w:eastAsia="zh-CN"/>
        </w:rPr>
        <w:t>14.4.1 最终结清申请单</w:t>
      </w:r>
    </w:p>
    <w:p w14:paraId="6E65E41F">
      <w:pPr>
        <w:spacing w:line="360" w:lineRule="auto"/>
        <w:rPr>
          <w:rFonts w:ascii="宋体" w:hAnsi="宋体"/>
          <w:lang w:eastAsia="zh-CN"/>
        </w:rPr>
      </w:pPr>
      <w:r>
        <w:rPr>
          <w:rFonts w:ascii="宋体" w:hAnsi="宋体" w:hint="eastAsia"/>
          <w:lang w:eastAsia="zh-CN"/>
        </w:rPr>
        <w:t>（1）除专用合同条款另有约定外，承包人应在缺陷责任期终止证书颁发后7天内，按专用合同条款约定的份数向发包人提交最终结清申请单，并提供相关证明材料。</w:t>
      </w:r>
    </w:p>
    <w:p w14:paraId="43FEB82D">
      <w:pPr>
        <w:spacing w:line="360" w:lineRule="auto"/>
        <w:rPr>
          <w:rFonts w:ascii="宋体" w:hAnsi="宋体"/>
          <w:lang w:eastAsia="zh-CN"/>
        </w:rPr>
      </w:pPr>
      <w:r>
        <w:rPr>
          <w:rFonts w:ascii="宋体" w:hAnsi="宋体" w:hint="eastAsia"/>
          <w:lang w:eastAsia="zh-CN"/>
        </w:rPr>
        <w:t>除专用合同条款另有约定外，最终结清申请单应列明质量保证金、应扣除的质量保证金、缺陷责任期内发生的增减费用。</w:t>
      </w:r>
    </w:p>
    <w:p w14:paraId="192767E9">
      <w:pPr>
        <w:spacing w:line="360" w:lineRule="auto"/>
        <w:rPr>
          <w:rFonts w:ascii="宋体" w:hAnsi="宋体"/>
          <w:lang w:eastAsia="zh-CN"/>
        </w:rPr>
      </w:pPr>
      <w:r>
        <w:rPr>
          <w:rFonts w:ascii="宋体" w:hAnsi="宋体" w:hint="eastAsia"/>
          <w:lang w:eastAsia="zh-CN"/>
        </w:rPr>
        <w:t>（2）发包人对最终结清申请单内容有异议的，有权要求承包人进行修正和提供补充资料，承包人应向发包人提交修正后的最终结清申请单。</w:t>
      </w:r>
    </w:p>
    <w:p w14:paraId="10422AEC">
      <w:pPr>
        <w:spacing w:line="360" w:lineRule="auto"/>
        <w:rPr>
          <w:rFonts w:ascii="宋体" w:hAnsi="宋体"/>
          <w:lang w:eastAsia="zh-CN"/>
        </w:rPr>
      </w:pPr>
      <w:r>
        <w:rPr>
          <w:rFonts w:ascii="宋体" w:hAnsi="宋体" w:hint="eastAsia"/>
          <w:lang w:eastAsia="zh-CN"/>
        </w:rPr>
        <w:t>14.4.2 最终结清证书和支付</w:t>
      </w:r>
    </w:p>
    <w:p w14:paraId="5E9AD436">
      <w:pPr>
        <w:spacing w:line="360" w:lineRule="auto"/>
        <w:rPr>
          <w:rFonts w:ascii="宋体" w:hAnsi="宋体"/>
          <w:lang w:eastAsia="zh-CN"/>
        </w:rPr>
      </w:pPr>
      <w:r>
        <w:rPr>
          <w:rFonts w:ascii="宋体" w:hAnsi="宋体" w:hint="eastAsia"/>
          <w:lang w:eastAsia="zh-CN"/>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2A606620">
      <w:pPr>
        <w:spacing w:line="360" w:lineRule="auto"/>
        <w:rPr>
          <w:rFonts w:ascii="宋体" w:hAnsi="宋体"/>
          <w:lang w:eastAsia="zh-CN"/>
        </w:rPr>
      </w:pPr>
      <w:r>
        <w:rPr>
          <w:rFonts w:ascii="宋体" w:hAnsi="宋体" w:hint="eastAsia"/>
          <w:lang w:eastAsia="zh-CN"/>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41C639E7">
      <w:pPr>
        <w:spacing w:line="360" w:lineRule="auto"/>
        <w:rPr>
          <w:rFonts w:ascii="宋体" w:hAnsi="宋体"/>
          <w:lang w:eastAsia="zh-CN"/>
        </w:rPr>
      </w:pPr>
      <w:r>
        <w:rPr>
          <w:rFonts w:ascii="宋体" w:hAnsi="宋体" w:hint="eastAsia"/>
          <w:lang w:eastAsia="zh-CN"/>
        </w:rPr>
        <w:t>（3）承包人对发包人颁发的最终结清证书有异议的，按第20条〔争议解决〕的约定办理。</w:t>
      </w:r>
    </w:p>
    <w:p w14:paraId="4228FD41">
      <w:pPr>
        <w:spacing w:line="360" w:lineRule="auto"/>
        <w:rPr>
          <w:rFonts w:ascii="宋体" w:hAnsi="宋体"/>
          <w:bCs/>
          <w:lang w:eastAsia="zh-CN"/>
        </w:rPr>
      </w:pPr>
      <w:bookmarkStart w:id="419" w:name="_Toc351203598"/>
      <w:bookmarkStart w:id="420" w:name="_Toc337558815"/>
      <w:r>
        <w:rPr>
          <w:rFonts w:ascii="宋体" w:hAnsi="宋体" w:hint="eastAsia"/>
          <w:bCs/>
          <w:lang w:eastAsia="zh-CN"/>
        </w:rPr>
        <w:t>15. 缺陷责任与保修</w:t>
      </w:r>
      <w:bookmarkEnd w:id="419"/>
    </w:p>
    <w:bookmarkEnd w:id="409"/>
    <w:bookmarkEnd w:id="410"/>
    <w:bookmarkEnd w:id="420"/>
    <w:p w14:paraId="57C82368">
      <w:pPr>
        <w:spacing w:line="360" w:lineRule="auto"/>
        <w:rPr>
          <w:rFonts w:ascii="宋体" w:hAnsi="宋体"/>
          <w:bCs/>
          <w:lang w:eastAsia="zh-CN"/>
        </w:rPr>
      </w:pPr>
      <w:bookmarkStart w:id="421" w:name="_Toc351203599"/>
      <w:bookmarkStart w:id="422" w:name="_Toc337558816"/>
      <w:bookmarkStart w:id="423" w:name="_Toc296503114"/>
      <w:bookmarkStart w:id="424" w:name="_Toc296346615"/>
      <w:r>
        <w:rPr>
          <w:rFonts w:ascii="宋体" w:hAnsi="宋体" w:hint="eastAsia"/>
          <w:bCs/>
          <w:lang w:eastAsia="zh-CN"/>
        </w:rPr>
        <w:t>15.1 工程保修的原则</w:t>
      </w:r>
      <w:bookmarkEnd w:id="421"/>
    </w:p>
    <w:bookmarkEnd w:id="422"/>
    <w:p w14:paraId="1424F077">
      <w:pPr>
        <w:spacing w:line="360" w:lineRule="auto"/>
        <w:rPr>
          <w:rFonts w:ascii="宋体" w:hAnsi="宋体"/>
          <w:lang w:eastAsia="zh-CN"/>
        </w:rPr>
      </w:pPr>
      <w:r>
        <w:rPr>
          <w:rFonts w:ascii="宋体" w:hAnsi="宋体" w:hint="eastAsia"/>
          <w:lang w:eastAsia="zh-CN"/>
        </w:rPr>
        <w:t>在工程移交发包人后，因承包人原因产生的质量缺陷，承包人应承担质量缺陷责任和保修义务。缺陷责任期届满，承包人仍应按合同约定的工程各部位保修年限承担保修义务。</w:t>
      </w:r>
    </w:p>
    <w:p w14:paraId="1B84CD2D">
      <w:pPr>
        <w:spacing w:line="360" w:lineRule="auto"/>
        <w:rPr>
          <w:rFonts w:ascii="宋体" w:hAnsi="宋体"/>
          <w:bCs/>
          <w:lang w:eastAsia="zh-CN"/>
        </w:rPr>
      </w:pPr>
      <w:bookmarkStart w:id="425" w:name="_Toc351203600"/>
      <w:bookmarkStart w:id="426" w:name="_Toc337558817"/>
      <w:r>
        <w:rPr>
          <w:rFonts w:ascii="宋体" w:hAnsi="宋体" w:hint="eastAsia"/>
          <w:bCs/>
          <w:lang w:eastAsia="zh-CN"/>
        </w:rPr>
        <w:t>15.2 缺陷责任期</w:t>
      </w:r>
      <w:bookmarkEnd w:id="423"/>
      <w:bookmarkEnd w:id="424"/>
      <w:bookmarkEnd w:id="425"/>
    </w:p>
    <w:bookmarkEnd w:id="426"/>
    <w:p w14:paraId="38658444">
      <w:pPr>
        <w:spacing w:line="360" w:lineRule="auto"/>
        <w:rPr>
          <w:rFonts w:ascii="宋体" w:hAnsi="宋体"/>
          <w:lang w:eastAsia="zh-CN"/>
        </w:rPr>
      </w:pPr>
      <w:r>
        <w:rPr>
          <w:rFonts w:ascii="宋体" w:hAnsi="宋体" w:hint="eastAsia"/>
          <w:lang w:eastAsia="zh-CN"/>
        </w:rPr>
        <w:t>15.2.1 缺陷责任期从工程通过竣工验收之日起计算，合同当事人应在专用合同条款约定缺陷责任期的具体期限，但该期限最长不超过24个月。</w:t>
      </w:r>
    </w:p>
    <w:p w14:paraId="27384B7A">
      <w:pPr>
        <w:spacing w:line="360" w:lineRule="auto"/>
        <w:rPr>
          <w:rFonts w:ascii="宋体" w:hAnsi="宋体"/>
          <w:lang w:eastAsia="zh-CN"/>
        </w:rPr>
      </w:pPr>
      <w:r>
        <w:rPr>
          <w:rFonts w:ascii="宋体" w:hAnsi="宋体" w:hint="eastAsia"/>
          <w:lang w:eastAsia="zh-CN"/>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19724D9D">
      <w:pPr>
        <w:spacing w:line="360" w:lineRule="auto"/>
        <w:rPr>
          <w:rFonts w:ascii="宋体" w:hAnsi="宋体"/>
          <w:lang w:eastAsia="zh-CN"/>
        </w:rPr>
      </w:pPr>
      <w:r>
        <w:rPr>
          <w:rFonts w:ascii="宋体" w:hAnsi="宋体" w:hint="eastAsia"/>
          <w:lang w:eastAsia="zh-CN"/>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ascii="宋体" w:hAnsi="宋体" w:hint="eastAsia"/>
          <w:bCs/>
          <w:lang w:eastAsia="zh-CN"/>
        </w:rPr>
        <w:t>包人延长缺陷责任期，</w:t>
      </w:r>
      <w:r>
        <w:rPr>
          <w:rFonts w:ascii="宋体" w:hAnsi="宋体" w:hint="eastAsia"/>
          <w:lang w:eastAsia="zh-CN"/>
        </w:rPr>
        <w:t>并应在原缺陷责任期届满前发出延长通知。</w:t>
      </w:r>
      <w:r>
        <w:rPr>
          <w:rFonts w:ascii="宋体" w:hAnsi="宋体" w:hint="eastAsia"/>
          <w:bCs/>
          <w:lang w:eastAsia="zh-CN"/>
        </w:rPr>
        <w:t>但缺陷责任期（含延长部分）最长</w:t>
      </w:r>
      <w:r>
        <w:rPr>
          <w:rFonts w:ascii="宋体" w:hAnsi="宋体" w:hint="eastAsia"/>
          <w:lang w:eastAsia="zh-CN"/>
        </w:rPr>
        <w:t>不能超过24个月。</w:t>
      </w:r>
    </w:p>
    <w:p w14:paraId="772729FC">
      <w:pPr>
        <w:spacing w:line="360" w:lineRule="auto"/>
        <w:rPr>
          <w:rFonts w:ascii="宋体" w:hAnsi="宋体"/>
          <w:lang w:eastAsia="zh-CN"/>
        </w:rPr>
      </w:pPr>
      <w:r>
        <w:rPr>
          <w:rFonts w:ascii="宋体" w:hAnsi="宋体" w:hint="eastAsia"/>
          <w:lang w:eastAsia="zh-CN"/>
        </w:rPr>
        <w:t>由他人原因造成的缺陷，发包人负责组织维修，承包人不承担费用，且发包人不得从保证金中扣除费用。</w:t>
      </w:r>
    </w:p>
    <w:p w14:paraId="1EB9AD9E">
      <w:pPr>
        <w:spacing w:line="360" w:lineRule="auto"/>
        <w:rPr>
          <w:rFonts w:ascii="宋体" w:hAnsi="宋体"/>
          <w:lang w:eastAsia="zh-CN"/>
        </w:rPr>
      </w:pPr>
      <w:r>
        <w:rPr>
          <w:rFonts w:ascii="宋体" w:hAnsi="宋体" w:hint="eastAsia"/>
          <w:lang w:eastAsia="zh-CN"/>
        </w:rPr>
        <w:t>15.2.3 任何一项缺陷或损坏修复后，经检查证明其影响了工程或工程设备的使用性能，承包人应重新进行合同约定的试验和试运行，试验和试运行的全部费用应由责任方承担。</w:t>
      </w:r>
    </w:p>
    <w:p w14:paraId="53A52360">
      <w:pPr>
        <w:spacing w:line="360" w:lineRule="auto"/>
        <w:rPr>
          <w:rFonts w:ascii="宋体" w:hAnsi="宋体"/>
          <w:lang w:eastAsia="zh-CN"/>
        </w:rPr>
      </w:pPr>
      <w:r>
        <w:rPr>
          <w:rFonts w:ascii="宋体" w:hAnsi="宋体" w:hint="eastAsia"/>
          <w:lang w:eastAsia="zh-CN"/>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70E71982">
      <w:pPr>
        <w:spacing w:line="360" w:lineRule="auto"/>
        <w:rPr>
          <w:rFonts w:ascii="宋体" w:hAnsi="宋体"/>
          <w:bCs/>
          <w:lang w:eastAsia="zh-CN"/>
        </w:rPr>
      </w:pPr>
      <w:bookmarkStart w:id="427" w:name="_Toc351203601"/>
      <w:bookmarkStart w:id="428" w:name="_Toc337558818"/>
      <w:bookmarkStart w:id="429" w:name="_Toc296503115"/>
      <w:bookmarkStart w:id="430" w:name="_Toc296346616"/>
      <w:r>
        <w:rPr>
          <w:rFonts w:ascii="宋体" w:hAnsi="宋体" w:hint="eastAsia"/>
          <w:bCs/>
          <w:lang w:eastAsia="zh-CN"/>
        </w:rPr>
        <w:t>15.3 质量保证金</w:t>
      </w:r>
      <w:bookmarkEnd w:id="427"/>
    </w:p>
    <w:bookmarkEnd w:id="428"/>
    <w:p w14:paraId="631A731B">
      <w:pPr>
        <w:spacing w:line="360" w:lineRule="auto"/>
        <w:rPr>
          <w:rFonts w:ascii="宋体" w:hAnsi="宋体"/>
          <w:lang w:eastAsia="zh-CN"/>
        </w:rPr>
      </w:pPr>
      <w:r>
        <w:rPr>
          <w:rFonts w:ascii="宋体" w:hAnsi="宋体" w:hint="eastAsia"/>
          <w:lang w:eastAsia="zh-CN"/>
        </w:rPr>
        <w:t>经合同当事人协商一致扣留质量保证金的，应在专用合同条款中予以明确。</w:t>
      </w:r>
    </w:p>
    <w:p w14:paraId="18E1D92C">
      <w:pPr>
        <w:spacing w:line="360" w:lineRule="auto"/>
        <w:rPr>
          <w:rFonts w:ascii="宋体" w:hAnsi="宋体"/>
          <w:lang w:eastAsia="zh-CN"/>
        </w:rPr>
      </w:pPr>
      <w:r>
        <w:rPr>
          <w:rFonts w:ascii="宋体" w:hAnsi="宋体" w:hint="eastAsia"/>
          <w:lang w:eastAsia="zh-CN"/>
        </w:rPr>
        <w:t>在工程项目竣工前，承包人已经提供履约担保的，发包人不得同时预留工程质量保证金。</w:t>
      </w:r>
    </w:p>
    <w:p w14:paraId="04440FE3">
      <w:pPr>
        <w:spacing w:line="360" w:lineRule="auto"/>
        <w:rPr>
          <w:rFonts w:ascii="宋体" w:hAnsi="宋体"/>
          <w:lang w:eastAsia="zh-CN"/>
        </w:rPr>
      </w:pPr>
    </w:p>
    <w:p w14:paraId="56F3FC49">
      <w:pPr>
        <w:spacing w:line="360" w:lineRule="auto"/>
        <w:rPr>
          <w:rFonts w:ascii="宋体" w:hAnsi="宋体"/>
          <w:lang w:eastAsia="zh-CN"/>
        </w:rPr>
      </w:pPr>
      <w:r>
        <w:rPr>
          <w:rFonts w:ascii="宋体" w:hAnsi="宋体" w:hint="eastAsia"/>
          <w:lang w:eastAsia="zh-CN"/>
        </w:rPr>
        <w:t>15.3.1 承包人提供质量保证金的方式</w:t>
      </w:r>
    </w:p>
    <w:p w14:paraId="52A8D606">
      <w:pPr>
        <w:spacing w:line="360" w:lineRule="auto"/>
        <w:rPr>
          <w:rFonts w:ascii="宋体" w:hAnsi="宋体"/>
          <w:lang w:eastAsia="zh-CN"/>
        </w:rPr>
      </w:pPr>
      <w:r>
        <w:rPr>
          <w:rFonts w:ascii="宋体" w:hAnsi="宋体" w:hint="eastAsia"/>
          <w:lang w:eastAsia="zh-CN"/>
        </w:rPr>
        <w:t>承包人提供质量保证金有以下三种方式：</w:t>
      </w:r>
    </w:p>
    <w:p w14:paraId="2D5C259F">
      <w:pPr>
        <w:spacing w:line="360" w:lineRule="auto"/>
        <w:rPr>
          <w:rFonts w:ascii="宋体" w:hAnsi="宋体"/>
          <w:lang w:eastAsia="zh-CN"/>
        </w:rPr>
      </w:pPr>
      <w:r>
        <w:rPr>
          <w:rFonts w:ascii="宋体" w:hAnsi="宋体" w:hint="eastAsia"/>
          <w:lang w:eastAsia="zh-CN"/>
        </w:rPr>
        <w:t xml:space="preserve">（1）质量保证金保函； </w:t>
      </w:r>
    </w:p>
    <w:p w14:paraId="346E84F7">
      <w:pPr>
        <w:spacing w:line="360" w:lineRule="auto"/>
        <w:rPr>
          <w:rFonts w:ascii="宋体" w:hAnsi="宋体"/>
          <w:lang w:eastAsia="zh-CN"/>
        </w:rPr>
      </w:pPr>
      <w:r>
        <w:rPr>
          <w:rFonts w:ascii="宋体" w:hAnsi="宋体" w:hint="eastAsia"/>
          <w:lang w:eastAsia="zh-CN"/>
        </w:rPr>
        <w:t>（2）相应比例的工程款；</w:t>
      </w:r>
    </w:p>
    <w:p w14:paraId="7F59CE09">
      <w:pPr>
        <w:spacing w:line="360" w:lineRule="auto"/>
        <w:rPr>
          <w:rFonts w:ascii="宋体" w:hAnsi="宋体"/>
          <w:lang w:eastAsia="zh-CN"/>
        </w:rPr>
      </w:pPr>
      <w:r>
        <w:rPr>
          <w:rFonts w:ascii="宋体" w:hAnsi="宋体" w:hint="eastAsia"/>
          <w:lang w:eastAsia="zh-CN"/>
        </w:rPr>
        <w:t>（3）双方约定的其他方式。</w:t>
      </w:r>
    </w:p>
    <w:p w14:paraId="0910E3A7">
      <w:pPr>
        <w:spacing w:line="360" w:lineRule="auto"/>
        <w:rPr>
          <w:rFonts w:ascii="宋体" w:hAnsi="宋体"/>
          <w:lang w:eastAsia="zh-CN"/>
        </w:rPr>
      </w:pPr>
      <w:r>
        <w:rPr>
          <w:rFonts w:ascii="宋体" w:hAnsi="宋体" w:hint="eastAsia"/>
          <w:lang w:eastAsia="zh-CN"/>
        </w:rPr>
        <w:t>除专用合同条款另有约定外，质量保证金原则上采用上述第（1）种方式。</w:t>
      </w:r>
    </w:p>
    <w:p w14:paraId="66109184">
      <w:pPr>
        <w:spacing w:line="360" w:lineRule="auto"/>
        <w:rPr>
          <w:rFonts w:ascii="宋体" w:hAnsi="宋体"/>
          <w:lang w:eastAsia="zh-CN"/>
        </w:rPr>
      </w:pPr>
      <w:r>
        <w:rPr>
          <w:rFonts w:ascii="宋体" w:hAnsi="宋体" w:hint="eastAsia"/>
          <w:lang w:eastAsia="zh-CN"/>
        </w:rPr>
        <w:t>15.3.2 质量保证金的扣留</w:t>
      </w:r>
    </w:p>
    <w:p w14:paraId="1898C268">
      <w:pPr>
        <w:spacing w:line="360" w:lineRule="auto"/>
        <w:rPr>
          <w:rFonts w:ascii="宋体" w:hAnsi="宋体"/>
          <w:lang w:eastAsia="zh-CN"/>
        </w:rPr>
      </w:pPr>
      <w:r>
        <w:rPr>
          <w:rFonts w:ascii="宋体" w:hAnsi="宋体" w:hint="eastAsia"/>
          <w:lang w:eastAsia="zh-CN"/>
        </w:rPr>
        <w:t>质量保证金的扣留有以下三种方式：</w:t>
      </w:r>
    </w:p>
    <w:p w14:paraId="2B650660">
      <w:pPr>
        <w:spacing w:line="360" w:lineRule="auto"/>
        <w:rPr>
          <w:rFonts w:ascii="宋体" w:hAnsi="宋体"/>
          <w:lang w:eastAsia="zh-CN"/>
        </w:rPr>
      </w:pPr>
      <w:r>
        <w:rPr>
          <w:rFonts w:ascii="宋体" w:hAnsi="宋体" w:hint="eastAsia"/>
          <w:lang w:eastAsia="zh-CN"/>
        </w:rPr>
        <w:t>（1）在支付工程进度款时逐次扣留，在此情形下，质量保证金的计算基数不包括预付款的支付、扣回以及价格调整的金额；</w:t>
      </w:r>
    </w:p>
    <w:p w14:paraId="29637CB3">
      <w:pPr>
        <w:spacing w:line="360" w:lineRule="auto"/>
        <w:rPr>
          <w:rFonts w:ascii="宋体" w:hAnsi="宋体"/>
          <w:lang w:eastAsia="zh-CN"/>
        </w:rPr>
      </w:pPr>
      <w:r>
        <w:rPr>
          <w:rFonts w:ascii="宋体" w:hAnsi="宋体" w:hint="eastAsia"/>
          <w:lang w:eastAsia="zh-CN"/>
        </w:rPr>
        <w:t>（2）工</w:t>
      </w:r>
      <w:bookmarkStart w:id="431" w:name="#go6"/>
      <w:bookmarkEnd w:id="431"/>
      <w:r>
        <w:rPr>
          <w:rFonts w:ascii="宋体" w:hAnsi="宋体" w:hint="eastAsia"/>
          <w:lang w:eastAsia="zh-CN"/>
        </w:rPr>
        <w:t>程竣工结算时一次性扣留质量保证金；</w:t>
      </w:r>
    </w:p>
    <w:p w14:paraId="10BEC9E1">
      <w:pPr>
        <w:spacing w:line="360" w:lineRule="auto"/>
        <w:rPr>
          <w:rFonts w:ascii="宋体" w:hAnsi="宋体"/>
          <w:lang w:eastAsia="zh-CN"/>
        </w:rPr>
      </w:pPr>
      <w:r>
        <w:rPr>
          <w:rFonts w:ascii="宋体" w:hAnsi="宋体" w:hint="eastAsia"/>
          <w:lang w:eastAsia="zh-CN"/>
        </w:rPr>
        <w:t>（3）双方约定的其他扣留方式。</w:t>
      </w:r>
    </w:p>
    <w:p w14:paraId="1C54F1DE">
      <w:pPr>
        <w:spacing w:line="360" w:lineRule="auto"/>
        <w:rPr>
          <w:rFonts w:ascii="宋体" w:hAnsi="宋体"/>
          <w:lang w:eastAsia="zh-CN"/>
        </w:rPr>
      </w:pPr>
      <w:r>
        <w:rPr>
          <w:rFonts w:ascii="宋体" w:hAnsi="宋体" w:hint="eastAsia"/>
          <w:lang w:eastAsia="zh-CN"/>
        </w:rPr>
        <w:t>除专用合同条款另有约定外，质量保证金的扣留原则上采用上述第（1）种方式。</w:t>
      </w:r>
    </w:p>
    <w:p w14:paraId="701EEA99">
      <w:pPr>
        <w:spacing w:line="360" w:lineRule="auto"/>
        <w:rPr>
          <w:rFonts w:ascii="宋体" w:hAnsi="宋体"/>
          <w:lang w:eastAsia="zh-CN"/>
        </w:rPr>
      </w:pPr>
      <w:r>
        <w:rPr>
          <w:rFonts w:ascii="宋体" w:hAnsi="宋体" w:hint="eastAsia"/>
          <w:lang w:eastAsia="zh-CN"/>
        </w:rPr>
        <w:t>发</w:t>
      </w:r>
      <w:bookmarkStart w:id="432" w:name="#go4"/>
      <w:bookmarkEnd w:id="432"/>
      <w:r>
        <w:rPr>
          <w:rFonts w:ascii="宋体" w:hAnsi="宋体" w:hint="eastAsia"/>
          <w:lang w:eastAsia="zh-CN"/>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5FC895F1">
      <w:pPr>
        <w:spacing w:line="360" w:lineRule="auto"/>
        <w:rPr>
          <w:rFonts w:ascii="宋体" w:hAnsi="宋体"/>
          <w:lang w:eastAsia="zh-CN"/>
        </w:rPr>
      </w:pPr>
      <w:r>
        <w:rPr>
          <w:rFonts w:ascii="宋体" w:hAnsi="宋体" w:hint="eastAsia"/>
          <w:lang w:eastAsia="zh-CN"/>
        </w:rPr>
        <w:t>发包人在退还质量保证金的同时按照中国人民银行发布的同期同类贷款基准利率支付利息。</w:t>
      </w:r>
    </w:p>
    <w:p w14:paraId="1B10B05B">
      <w:pPr>
        <w:spacing w:line="360" w:lineRule="auto"/>
        <w:rPr>
          <w:rFonts w:ascii="宋体" w:hAnsi="宋体"/>
          <w:lang w:eastAsia="zh-CN"/>
        </w:rPr>
      </w:pPr>
      <w:r>
        <w:rPr>
          <w:rFonts w:ascii="宋体" w:hAnsi="宋体" w:hint="eastAsia"/>
          <w:lang w:eastAsia="zh-CN"/>
        </w:rPr>
        <w:t>15.3.3 质量保证金的退还</w:t>
      </w:r>
    </w:p>
    <w:p w14:paraId="3E9C049A">
      <w:pPr>
        <w:spacing w:line="360" w:lineRule="auto"/>
        <w:rPr>
          <w:rFonts w:ascii="宋体" w:hAnsi="宋体"/>
          <w:lang w:eastAsia="zh-CN"/>
        </w:rPr>
      </w:pPr>
      <w:r>
        <w:rPr>
          <w:rFonts w:ascii="宋体" w:hAnsi="宋体" w:hint="eastAsia"/>
          <w:lang w:eastAsia="zh-CN"/>
        </w:rPr>
        <w:t>缺陷责任期内，承包人认真履行合同约定的责任，到期后，承包人可向发包人申请返还保证金。</w:t>
      </w:r>
    </w:p>
    <w:p w14:paraId="3F4E3903">
      <w:pPr>
        <w:spacing w:line="360" w:lineRule="auto"/>
        <w:rPr>
          <w:rFonts w:ascii="宋体" w:hAnsi="宋体"/>
          <w:lang w:eastAsia="zh-CN"/>
        </w:rPr>
      </w:pPr>
      <w:r>
        <w:rPr>
          <w:rFonts w:ascii="宋体" w:hAnsi="宋体" w:hint="eastAsia"/>
          <w:lang w:eastAsia="zh-CN"/>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116EA070">
      <w:pPr>
        <w:spacing w:line="360" w:lineRule="auto"/>
        <w:rPr>
          <w:rFonts w:ascii="宋体" w:hAnsi="宋体"/>
          <w:lang w:eastAsia="zh-CN"/>
        </w:rPr>
      </w:pPr>
      <w:r>
        <w:rPr>
          <w:rFonts w:ascii="宋体" w:hAnsi="宋体" w:hint="eastAsia"/>
          <w:lang w:eastAsia="zh-CN"/>
        </w:rPr>
        <w:t>发包人和承包人对保证金预留、返还以及工程维修质量、费用有争议的，按本合同第20条约定的争议和纠纷解决程序处理。</w:t>
      </w:r>
    </w:p>
    <w:p w14:paraId="434D0049">
      <w:pPr>
        <w:spacing w:line="360" w:lineRule="auto"/>
        <w:rPr>
          <w:rFonts w:ascii="宋体" w:hAnsi="宋体"/>
          <w:bCs/>
          <w:lang w:eastAsia="zh-CN"/>
        </w:rPr>
      </w:pPr>
      <w:bookmarkStart w:id="433" w:name="_Toc351203602"/>
      <w:bookmarkStart w:id="434" w:name="_Toc337558819"/>
      <w:r>
        <w:rPr>
          <w:rFonts w:ascii="宋体" w:hAnsi="宋体" w:hint="eastAsia"/>
          <w:bCs/>
          <w:lang w:eastAsia="zh-CN"/>
        </w:rPr>
        <w:t>15.4 保修</w:t>
      </w:r>
      <w:bookmarkEnd w:id="433"/>
    </w:p>
    <w:bookmarkEnd w:id="429"/>
    <w:bookmarkEnd w:id="430"/>
    <w:bookmarkEnd w:id="434"/>
    <w:p w14:paraId="09148E80">
      <w:pPr>
        <w:spacing w:line="360" w:lineRule="auto"/>
        <w:rPr>
          <w:rFonts w:ascii="宋体" w:hAnsi="宋体"/>
          <w:lang w:eastAsia="zh-CN"/>
        </w:rPr>
      </w:pPr>
      <w:r>
        <w:rPr>
          <w:rFonts w:ascii="宋体" w:hAnsi="宋体" w:hint="eastAsia"/>
          <w:lang w:eastAsia="zh-CN"/>
        </w:rPr>
        <w:t>15.4.1保修责任</w:t>
      </w:r>
    </w:p>
    <w:p w14:paraId="1105D708">
      <w:pPr>
        <w:spacing w:line="360" w:lineRule="auto"/>
        <w:rPr>
          <w:rFonts w:ascii="宋体" w:hAnsi="宋体"/>
          <w:lang w:eastAsia="zh-CN"/>
        </w:rPr>
      </w:pPr>
      <w:r>
        <w:rPr>
          <w:rFonts w:ascii="宋体" w:hAnsi="宋体" w:hint="eastAsia"/>
          <w:lang w:eastAsia="zh-CN"/>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7F29082E">
      <w:pPr>
        <w:spacing w:line="360" w:lineRule="auto"/>
        <w:rPr>
          <w:rFonts w:ascii="宋体" w:hAnsi="宋体"/>
          <w:lang w:eastAsia="zh-CN"/>
        </w:rPr>
      </w:pPr>
      <w:r>
        <w:rPr>
          <w:rFonts w:ascii="宋体" w:hAnsi="宋体" w:hint="eastAsia"/>
          <w:lang w:eastAsia="zh-CN"/>
        </w:rPr>
        <w:t>发包人未经竣工验收擅自使用工程的，保修期自转移占有之日起算。</w:t>
      </w:r>
    </w:p>
    <w:p w14:paraId="547FABA8">
      <w:pPr>
        <w:spacing w:line="360" w:lineRule="auto"/>
        <w:rPr>
          <w:rFonts w:ascii="宋体" w:hAnsi="宋体"/>
          <w:lang w:eastAsia="zh-CN"/>
        </w:rPr>
      </w:pPr>
      <w:r>
        <w:rPr>
          <w:rFonts w:ascii="宋体" w:hAnsi="宋体" w:hint="eastAsia"/>
          <w:lang w:eastAsia="zh-CN"/>
        </w:rPr>
        <w:t>15.4.2 修复费用</w:t>
      </w:r>
    </w:p>
    <w:p w14:paraId="0D5BEAC5">
      <w:pPr>
        <w:spacing w:line="360" w:lineRule="auto"/>
        <w:rPr>
          <w:rFonts w:ascii="宋体" w:hAnsi="宋体"/>
          <w:lang w:eastAsia="zh-CN"/>
        </w:rPr>
      </w:pPr>
      <w:r>
        <w:rPr>
          <w:rFonts w:ascii="宋体" w:hAnsi="宋体" w:hint="eastAsia"/>
          <w:lang w:eastAsia="zh-CN"/>
        </w:rPr>
        <w:t>保修期内，修复的费用按照以下约定处理：</w:t>
      </w:r>
    </w:p>
    <w:p w14:paraId="669B9709">
      <w:pPr>
        <w:spacing w:line="360" w:lineRule="auto"/>
        <w:rPr>
          <w:rFonts w:ascii="宋体" w:hAnsi="宋体"/>
          <w:lang w:eastAsia="zh-CN"/>
        </w:rPr>
      </w:pPr>
      <w:r>
        <w:rPr>
          <w:rFonts w:ascii="宋体" w:hAnsi="宋体" w:hint="eastAsia"/>
          <w:lang w:eastAsia="zh-CN"/>
        </w:rPr>
        <w:t>（1）保修期内，因承包人原因造成工程的缺陷、损坏，承包人应负责修复，并承担修复的费用以及因工程的缺陷、损坏造成的人身伤害和财产损失；</w:t>
      </w:r>
    </w:p>
    <w:p w14:paraId="7EAD7EF9">
      <w:pPr>
        <w:spacing w:line="360" w:lineRule="auto"/>
        <w:rPr>
          <w:rFonts w:ascii="宋体" w:hAnsi="宋体"/>
          <w:lang w:eastAsia="zh-CN"/>
        </w:rPr>
      </w:pPr>
      <w:r>
        <w:rPr>
          <w:rFonts w:ascii="宋体" w:hAnsi="宋体" w:hint="eastAsia"/>
          <w:lang w:eastAsia="zh-CN"/>
        </w:rPr>
        <w:t>（2）保修期内，因发包人使用不当造成工程的缺陷、损坏，可以委托承包人修复，但发包人应承担修复的费用，并支付承包人合理利润；</w:t>
      </w:r>
    </w:p>
    <w:p w14:paraId="4A1C675A">
      <w:pPr>
        <w:spacing w:line="360" w:lineRule="auto"/>
        <w:rPr>
          <w:rFonts w:ascii="宋体" w:hAnsi="宋体"/>
          <w:lang w:eastAsia="zh-CN"/>
        </w:rPr>
      </w:pPr>
      <w:r>
        <w:rPr>
          <w:rFonts w:ascii="宋体" w:hAnsi="宋体" w:hint="eastAsia"/>
          <w:lang w:eastAsia="zh-CN"/>
        </w:rPr>
        <w:t>（3）因其他原因造成工程的缺陷、损坏，可以委托承包人修复，发包人应承担修复的费用，并支付承包人合理的利润，因工程的缺陷、损坏造成的人身伤害和财产损失由责任方承担。</w:t>
      </w:r>
    </w:p>
    <w:p w14:paraId="5250CB6D">
      <w:pPr>
        <w:spacing w:line="360" w:lineRule="auto"/>
        <w:rPr>
          <w:rFonts w:ascii="宋体" w:hAnsi="宋体"/>
          <w:lang w:eastAsia="zh-CN"/>
        </w:rPr>
      </w:pPr>
      <w:r>
        <w:rPr>
          <w:rFonts w:ascii="宋体" w:hAnsi="宋体" w:hint="eastAsia"/>
          <w:lang w:eastAsia="zh-CN"/>
        </w:rPr>
        <w:t>15.4.3 修复通知</w:t>
      </w:r>
    </w:p>
    <w:p w14:paraId="04BD89CC">
      <w:pPr>
        <w:spacing w:line="360" w:lineRule="auto"/>
        <w:rPr>
          <w:rFonts w:ascii="宋体" w:hAnsi="宋体"/>
          <w:lang w:eastAsia="zh-CN"/>
        </w:rPr>
      </w:pPr>
      <w:r>
        <w:rPr>
          <w:rFonts w:ascii="宋体" w:hAnsi="宋体" w:hint="eastAsia"/>
          <w:lang w:eastAsia="zh-CN"/>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0B0B9A1F">
      <w:pPr>
        <w:spacing w:line="360" w:lineRule="auto"/>
        <w:rPr>
          <w:rFonts w:ascii="宋体" w:hAnsi="宋体"/>
          <w:lang w:eastAsia="zh-CN"/>
        </w:rPr>
      </w:pPr>
      <w:r>
        <w:rPr>
          <w:rFonts w:ascii="宋体" w:hAnsi="宋体" w:hint="eastAsia"/>
          <w:lang w:eastAsia="zh-CN"/>
        </w:rPr>
        <w:t>15.4.4 未能修复</w:t>
      </w:r>
    </w:p>
    <w:p w14:paraId="3DDCF9B8">
      <w:pPr>
        <w:spacing w:line="360" w:lineRule="auto"/>
        <w:rPr>
          <w:rFonts w:ascii="宋体" w:hAnsi="宋体"/>
          <w:lang w:eastAsia="zh-CN"/>
        </w:rPr>
      </w:pPr>
      <w:r>
        <w:rPr>
          <w:rFonts w:ascii="宋体" w:hAnsi="宋体" w:hint="eastAsia"/>
          <w:lang w:eastAsia="zh-CN"/>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57D4A062">
      <w:pPr>
        <w:spacing w:line="360" w:lineRule="auto"/>
        <w:rPr>
          <w:rFonts w:ascii="宋体" w:hAnsi="宋体"/>
          <w:lang w:eastAsia="zh-CN"/>
        </w:rPr>
      </w:pPr>
      <w:r>
        <w:rPr>
          <w:rFonts w:ascii="宋体" w:hAnsi="宋体" w:hint="eastAsia"/>
          <w:lang w:eastAsia="zh-CN"/>
        </w:rPr>
        <w:t>15.4.5 承包人出入权</w:t>
      </w:r>
    </w:p>
    <w:p w14:paraId="7EAF095F">
      <w:pPr>
        <w:spacing w:line="360" w:lineRule="auto"/>
        <w:rPr>
          <w:rFonts w:ascii="宋体" w:hAnsi="宋体"/>
          <w:lang w:eastAsia="zh-CN"/>
        </w:rPr>
      </w:pPr>
      <w:r>
        <w:rPr>
          <w:rFonts w:ascii="宋体" w:hAnsi="宋体" w:hint="eastAsia"/>
          <w:lang w:eastAsia="zh-CN"/>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506418BC">
      <w:pPr>
        <w:spacing w:line="360" w:lineRule="auto"/>
        <w:rPr>
          <w:rFonts w:ascii="宋体" w:hAnsi="宋体"/>
          <w:bCs/>
          <w:lang w:eastAsia="zh-CN"/>
        </w:rPr>
      </w:pPr>
      <w:bookmarkStart w:id="435" w:name="_Toc351203603"/>
      <w:bookmarkStart w:id="436" w:name="_Toc337558820"/>
      <w:r>
        <w:rPr>
          <w:rFonts w:ascii="宋体" w:hAnsi="宋体" w:hint="eastAsia"/>
          <w:bCs/>
          <w:lang w:eastAsia="zh-CN"/>
        </w:rPr>
        <w:t>16. 违约</w:t>
      </w:r>
      <w:bookmarkEnd w:id="435"/>
    </w:p>
    <w:bookmarkEnd w:id="436"/>
    <w:p w14:paraId="58B087CB">
      <w:pPr>
        <w:spacing w:line="360" w:lineRule="auto"/>
        <w:rPr>
          <w:rFonts w:ascii="宋体" w:hAnsi="宋体"/>
          <w:bCs/>
          <w:lang w:eastAsia="zh-CN"/>
        </w:rPr>
      </w:pPr>
      <w:bookmarkStart w:id="437" w:name="_Toc296503129"/>
      <w:bookmarkStart w:id="438" w:name="_Toc296346630"/>
      <w:bookmarkStart w:id="439" w:name="_Toc351203604"/>
      <w:bookmarkStart w:id="440" w:name="_Toc337558821"/>
      <w:r>
        <w:rPr>
          <w:rFonts w:ascii="宋体" w:hAnsi="宋体" w:hint="eastAsia"/>
          <w:bCs/>
          <w:lang w:eastAsia="zh-CN"/>
        </w:rPr>
        <w:t>16.1 发</w:t>
      </w:r>
      <w:bookmarkEnd w:id="437"/>
      <w:bookmarkEnd w:id="438"/>
      <w:r>
        <w:rPr>
          <w:rFonts w:ascii="宋体" w:hAnsi="宋体" w:hint="eastAsia"/>
          <w:bCs/>
          <w:lang w:eastAsia="zh-CN"/>
        </w:rPr>
        <w:t>包人违约</w:t>
      </w:r>
      <w:bookmarkEnd w:id="439"/>
    </w:p>
    <w:bookmarkEnd w:id="440"/>
    <w:p w14:paraId="1A9C255B">
      <w:pPr>
        <w:spacing w:line="360" w:lineRule="auto"/>
        <w:rPr>
          <w:rFonts w:ascii="宋体" w:hAnsi="宋体"/>
          <w:lang w:eastAsia="zh-CN"/>
        </w:rPr>
      </w:pPr>
      <w:r>
        <w:rPr>
          <w:rFonts w:ascii="宋体" w:hAnsi="宋体" w:hint="eastAsia"/>
          <w:lang w:eastAsia="zh-CN"/>
        </w:rPr>
        <w:t>16.1.1 发包人违约的情形</w:t>
      </w:r>
    </w:p>
    <w:p w14:paraId="527234BB">
      <w:pPr>
        <w:spacing w:line="360" w:lineRule="auto"/>
        <w:rPr>
          <w:rFonts w:ascii="宋体" w:hAnsi="宋体"/>
          <w:lang w:eastAsia="zh-CN"/>
        </w:rPr>
      </w:pPr>
      <w:r>
        <w:rPr>
          <w:rFonts w:ascii="宋体" w:hAnsi="宋体" w:hint="eastAsia"/>
          <w:lang w:eastAsia="zh-CN"/>
        </w:rPr>
        <w:t>在合同履行过程中发生的下列情形，属于发包人违约：</w:t>
      </w:r>
    </w:p>
    <w:p w14:paraId="32733080">
      <w:pPr>
        <w:spacing w:line="360" w:lineRule="auto"/>
        <w:rPr>
          <w:rFonts w:ascii="宋体" w:hAnsi="宋体"/>
          <w:lang w:eastAsia="zh-CN"/>
        </w:rPr>
      </w:pPr>
      <w:r>
        <w:rPr>
          <w:rFonts w:ascii="宋体" w:hAnsi="宋体" w:hint="eastAsia"/>
          <w:lang w:eastAsia="zh-CN"/>
        </w:rPr>
        <w:t>（1）因发包人原因未能在计划开工日期前7天内下达开工通知的；</w:t>
      </w:r>
    </w:p>
    <w:p w14:paraId="112646B5">
      <w:pPr>
        <w:spacing w:line="360" w:lineRule="auto"/>
        <w:rPr>
          <w:rFonts w:ascii="宋体" w:hAnsi="宋体"/>
          <w:lang w:eastAsia="zh-CN"/>
        </w:rPr>
      </w:pPr>
      <w:r>
        <w:rPr>
          <w:rFonts w:ascii="宋体" w:hAnsi="宋体" w:hint="eastAsia"/>
          <w:lang w:eastAsia="zh-CN"/>
        </w:rPr>
        <w:t>（2）因发包人原因未能按合同约定支付合同价款的；</w:t>
      </w:r>
    </w:p>
    <w:p w14:paraId="7B773F72">
      <w:pPr>
        <w:spacing w:line="360" w:lineRule="auto"/>
        <w:rPr>
          <w:rFonts w:ascii="宋体" w:hAnsi="宋体"/>
          <w:lang w:eastAsia="zh-CN"/>
        </w:rPr>
      </w:pPr>
      <w:r>
        <w:rPr>
          <w:rFonts w:ascii="宋体" w:hAnsi="宋体" w:hint="eastAsia"/>
          <w:lang w:eastAsia="zh-CN"/>
        </w:rPr>
        <w:t>（3）发包人违反第10.1款〔变更的范围〕第（2）项约定，自行实施被取消的工作或转由他人实施的；</w:t>
      </w:r>
    </w:p>
    <w:p w14:paraId="239EEFAF">
      <w:pPr>
        <w:spacing w:line="360" w:lineRule="auto"/>
        <w:rPr>
          <w:rFonts w:ascii="宋体" w:hAnsi="宋体"/>
          <w:lang w:eastAsia="zh-CN"/>
        </w:rPr>
      </w:pPr>
      <w:r>
        <w:rPr>
          <w:rFonts w:ascii="宋体" w:hAnsi="宋体" w:hint="eastAsia"/>
          <w:lang w:eastAsia="zh-CN"/>
        </w:rPr>
        <w:t>（4）发包人提供的材料、工程设备的规格、数量或质量不符合合同约定，或因发包人原因导致交货日期延误或交货地点变更等情况的；</w:t>
      </w:r>
    </w:p>
    <w:p w14:paraId="0170B7A4">
      <w:pPr>
        <w:spacing w:line="360" w:lineRule="auto"/>
        <w:rPr>
          <w:rFonts w:ascii="宋体" w:hAnsi="宋体"/>
          <w:lang w:eastAsia="zh-CN"/>
        </w:rPr>
      </w:pPr>
      <w:r>
        <w:rPr>
          <w:rFonts w:ascii="宋体" w:hAnsi="宋体" w:hint="eastAsia"/>
          <w:lang w:eastAsia="zh-CN"/>
        </w:rPr>
        <w:t>（5）因发包人违反合同约定造成暂停施工的；</w:t>
      </w:r>
    </w:p>
    <w:p w14:paraId="6436AF5F">
      <w:pPr>
        <w:spacing w:line="360" w:lineRule="auto"/>
        <w:rPr>
          <w:rFonts w:ascii="宋体" w:hAnsi="宋体"/>
          <w:lang w:eastAsia="zh-CN"/>
        </w:rPr>
      </w:pPr>
      <w:r>
        <w:rPr>
          <w:rFonts w:ascii="宋体" w:hAnsi="宋体" w:hint="eastAsia"/>
          <w:lang w:eastAsia="zh-CN"/>
        </w:rPr>
        <w:t>（6）发包人无正当理由没有在约定期限内发出复工指示，导致承包人无法复工的；</w:t>
      </w:r>
    </w:p>
    <w:p w14:paraId="6F34B0CD">
      <w:pPr>
        <w:spacing w:line="360" w:lineRule="auto"/>
        <w:rPr>
          <w:rFonts w:ascii="宋体" w:hAnsi="宋体"/>
          <w:lang w:eastAsia="zh-CN"/>
        </w:rPr>
      </w:pPr>
      <w:r>
        <w:rPr>
          <w:rFonts w:ascii="宋体" w:hAnsi="宋体" w:hint="eastAsia"/>
          <w:lang w:eastAsia="zh-CN"/>
        </w:rPr>
        <w:t>（7）发包人明确表示或者以其行为表明不履行合同主要义务的；</w:t>
      </w:r>
    </w:p>
    <w:p w14:paraId="29E685D4">
      <w:pPr>
        <w:spacing w:line="360" w:lineRule="auto"/>
        <w:rPr>
          <w:rFonts w:ascii="宋体" w:hAnsi="宋体"/>
          <w:lang w:eastAsia="zh-CN"/>
        </w:rPr>
      </w:pPr>
      <w:r>
        <w:rPr>
          <w:rFonts w:ascii="宋体" w:hAnsi="宋体" w:hint="eastAsia"/>
          <w:lang w:eastAsia="zh-CN"/>
        </w:rPr>
        <w:t>（8）发包人未能按照合同约定履行其他义务的。</w:t>
      </w:r>
    </w:p>
    <w:p w14:paraId="0B27D62C">
      <w:pPr>
        <w:spacing w:line="360" w:lineRule="auto"/>
        <w:rPr>
          <w:rFonts w:ascii="宋体" w:hAnsi="宋体"/>
          <w:lang w:eastAsia="zh-CN"/>
        </w:rPr>
      </w:pPr>
      <w:r>
        <w:rPr>
          <w:rFonts w:ascii="宋体" w:hAnsi="宋体" w:hint="eastAsia"/>
          <w:lang w:eastAsia="zh-CN"/>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073FEBEB">
      <w:pPr>
        <w:spacing w:line="360" w:lineRule="auto"/>
        <w:rPr>
          <w:rFonts w:ascii="宋体" w:hAnsi="宋体"/>
          <w:lang w:eastAsia="zh-CN"/>
        </w:rPr>
      </w:pPr>
      <w:r>
        <w:rPr>
          <w:rFonts w:ascii="宋体" w:hAnsi="宋体" w:hint="eastAsia"/>
          <w:lang w:eastAsia="zh-CN"/>
        </w:rPr>
        <w:t>16.1.2 发包人违约的责任</w:t>
      </w:r>
    </w:p>
    <w:p w14:paraId="502C2491">
      <w:pPr>
        <w:spacing w:line="360" w:lineRule="auto"/>
        <w:rPr>
          <w:rFonts w:ascii="宋体" w:hAnsi="宋体"/>
          <w:lang w:eastAsia="zh-CN"/>
        </w:rPr>
      </w:pPr>
      <w:r>
        <w:rPr>
          <w:rFonts w:ascii="宋体" w:hAnsi="宋体" w:hint="eastAsia"/>
          <w:lang w:eastAsia="zh-CN"/>
        </w:rPr>
        <w:t>发包人应承担因其违约给承包人增加的费用和（或）延误的工期，并支付承包人合理的利润。此外，合同当事人可在专用合同条款中另行约定发包人违约责任的承担方式和计算方法。</w:t>
      </w:r>
    </w:p>
    <w:p w14:paraId="3E09BA88">
      <w:pPr>
        <w:spacing w:line="360" w:lineRule="auto"/>
        <w:rPr>
          <w:rFonts w:ascii="宋体" w:hAnsi="宋体"/>
          <w:lang w:eastAsia="zh-CN"/>
        </w:rPr>
      </w:pPr>
      <w:r>
        <w:rPr>
          <w:rFonts w:ascii="宋体" w:hAnsi="宋体" w:hint="eastAsia"/>
          <w:lang w:eastAsia="zh-CN"/>
        </w:rPr>
        <w:t>16.1.3 因发包人违约解除合同</w:t>
      </w:r>
    </w:p>
    <w:p w14:paraId="1A5E2EED">
      <w:pPr>
        <w:spacing w:line="360" w:lineRule="auto"/>
        <w:rPr>
          <w:rFonts w:ascii="宋体" w:hAnsi="宋体"/>
          <w:lang w:eastAsia="zh-CN"/>
        </w:rPr>
      </w:pPr>
      <w:r>
        <w:rPr>
          <w:rFonts w:ascii="宋体" w:hAnsi="宋体" w:hint="eastAsia"/>
          <w:lang w:eastAsia="zh-CN"/>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17DEAFE5">
      <w:pPr>
        <w:spacing w:line="360" w:lineRule="auto"/>
        <w:rPr>
          <w:rFonts w:ascii="宋体" w:hAnsi="宋体"/>
          <w:lang w:eastAsia="zh-CN"/>
        </w:rPr>
      </w:pPr>
      <w:r>
        <w:rPr>
          <w:rFonts w:ascii="宋体" w:hAnsi="宋体" w:hint="eastAsia"/>
          <w:lang w:eastAsia="zh-CN"/>
        </w:rPr>
        <w:t>16.1.4 因发包人违约解除合同后的付款</w:t>
      </w:r>
    </w:p>
    <w:p w14:paraId="57CC0CFC">
      <w:pPr>
        <w:spacing w:line="360" w:lineRule="auto"/>
        <w:rPr>
          <w:rFonts w:ascii="宋体" w:hAnsi="宋体"/>
          <w:lang w:eastAsia="zh-CN"/>
        </w:rPr>
      </w:pPr>
      <w:r>
        <w:rPr>
          <w:rFonts w:ascii="宋体" w:hAnsi="宋体" w:hint="eastAsia"/>
          <w:lang w:eastAsia="zh-CN"/>
        </w:rPr>
        <w:t>承包人按照本款约定解除合同的，发包人应在解除合同后28天内支付下列款项，并解除履约担保：</w:t>
      </w:r>
    </w:p>
    <w:p w14:paraId="1B75D0C7">
      <w:pPr>
        <w:spacing w:line="360" w:lineRule="auto"/>
        <w:rPr>
          <w:rFonts w:ascii="宋体" w:hAnsi="宋体"/>
        </w:rPr>
      </w:pPr>
      <w:r>
        <w:rPr>
          <w:rFonts w:ascii="宋体" w:hAnsi="宋体" w:hint="eastAsia"/>
        </w:rPr>
        <w:t>（1）合同解除前所完成工作的价款；</w:t>
      </w:r>
    </w:p>
    <w:p w14:paraId="5D8DA560">
      <w:pPr>
        <w:spacing w:line="360" w:lineRule="auto"/>
        <w:rPr>
          <w:rFonts w:ascii="宋体" w:hAnsi="宋体"/>
          <w:lang w:eastAsia="zh-CN"/>
        </w:rPr>
      </w:pPr>
      <w:r>
        <w:rPr>
          <w:rFonts w:ascii="宋体" w:hAnsi="宋体" w:hint="eastAsia"/>
          <w:lang w:eastAsia="zh-CN"/>
        </w:rPr>
        <w:t>（2）承包人为工程施工订购并已付款的材料、工程设备和其他物品的价款；</w:t>
      </w:r>
    </w:p>
    <w:p w14:paraId="5B067901">
      <w:pPr>
        <w:spacing w:line="360" w:lineRule="auto"/>
        <w:rPr>
          <w:rFonts w:ascii="宋体" w:hAnsi="宋体"/>
          <w:lang w:eastAsia="zh-CN"/>
        </w:rPr>
      </w:pPr>
      <w:r>
        <w:rPr>
          <w:rFonts w:ascii="宋体" w:hAnsi="宋体" w:hint="eastAsia"/>
          <w:lang w:eastAsia="zh-CN"/>
        </w:rPr>
        <w:t>（3）承包人撤离施工现场以及遣散承包人人员的款项；</w:t>
      </w:r>
    </w:p>
    <w:p w14:paraId="6F8EF6E5">
      <w:pPr>
        <w:spacing w:line="360" w:lineRule="auto"/>
        <w:rPr>
          <w:rFonts w:ascii="宋体" w:hAnsi="宋体"/>
          <w:lang w:eastAsia="zh-CN"/>
        </w:rPr>
      </w:pPr>
      <w:r>
        <w:rPr>
          <w:rFonts w:ascii="宋体" w:hAnsi="宋体" w:hint="eastAsia"/>
          <w:lang w:eastAsia="zh-CN"/>
        </w:rPr>
        <w:t>（4）按照合同约定在合同解除前应支付的违约金；</w:t>
      </w:r>
    </w:p>
    <w:p w14:paraId="16BAF9DB">
      <w:pPr>
        <w:spacing w:line="360" w:lineRule="auto"/>
        <w:rPr>
          <w:rFonts w:ascii="宋体" w:hAnsi="宋体"/>
          <w:lang w:eastAsia="zh-CN"/>
        </w:rPr>
      </w:pPr>
      <w:r>
        <w:rPr>
          <w:rFonts w:ascii="宋体" w:hAnsi="宋体" w:hint="eastAsia"/>
          <w:lang w:eastAsia="zh-CN"/>
        </w:rPr>
        <w:t>（5）按照合同约定应当支付给承包人的其他款项；</w:t>
      </w:r>
    </w:p>
    <w:p w14:paraId="25DE3D2F">
      <w:pPr>
        <w:spacing w:line="360" w:lineRule="auto"/>
        <w:rPr>
          <w:rFonts w:ascii="宋体" w:hAnsi="宋体"/>
          <w:lang w:eastAsia="zh-CN"/>
        </w:rPr>
      </w:pPr>
      <w:r>
        <w:rPr>
          <w:rFonts w:ascii="宋体" w:hAnsi="宋体" w:hint="eastAsia"/>
          <w:lang w:eastAsia="zh-CN"/>
        </w:rPr>
        <w:t>（6）按照合同约定应退还的质量保证金；</w:t>
      </w:r>
    </w:p>
    <w:p w14:paraId="22A299E5">
      <w:pPr>
        <w:spacing w:line="360" w:lineRule="auto"/>
        <w:rPr>
          <w:rFonts w:ascii="宋体" w:hAnsi="宋体"/>
          <w:lang w:eastAsia="zh-CN"/>
        </w:rPr>
      </w:pPr>
      <w:r>
        <w:rPr>
          <w:rFonts w:ascii="宋体" w:hAnsi="宋体" w:hint="eastAsia"/>
          <w:lang w:eastAsia="zh-CN"/>
        </w:rPr>
        <w:t>（7）因解除合同给承包人造成的损失。</w:t>
      </w:r>
    </w:p>
    <w:p w14:paraId="79806EF5">
      <w:pPr>
        <w:spacing w:line="360" w:lineRule="auto"/>
        <w:rPr>
          <w:rFonts w:ascii="宋体" w:hAnsi="宋体"/>
          <w:lang w:eastAsia="zh-CN"/>
        </w:rPr>
      </w:pPr>
      <w:r>
        <w:rPr>
          <w:rFonts w:ascii="宋体" w:hAnsi="宋体" w:hint="eastAsia"/>
          <w:lang w:eastAsia="zh-CN"/>
        </w:rPr>
        <w:t>合同当事人未能就解除合同后的结清达成一致的，按照第20条〔争议解决〕的约定处理。</w:t>
      </w:r>
    </w:p>
    <w:p w14:paraId="27FD4A0E">
      <w:pPr>
        <w:spacing w:line="360" w:lineRule="auto"/>
        <w:rPr>
          <w:rFonts w:ascii="宋体" w:hAnsi="宋体"/>
          <w:lang w:eastAsia="zh-CN"/>
        </w:rPr>
      </w:pPr>
      <w:r>
        <w:rPr>
          <w:rFonts w:ascii="宋体" w:hAnsi="宋体" w:hint="eastAsia"/>
          <w:lang w:eastAsia="zh-CN"/>
        </w:rPr>
        <w:t>承包人应妥善做好已完工程和与工程有关的已购材料、工程设备的保护和移交工作，并将施工设备和人员撤出施工现场，发包人应为承包人撤出提供必要条件。</w:t>
      </w:r>
    </w:p>
    <w:p w14:paraId="0970C315">
      <w:pPr>
        <w:spacing w:line="360" w:lineRule="auto"/>
        <w:rPr>
          <w:rFonts w:ascii="宋体" w:hAnsi="宋体"/>
          <w:bCs/>
          <w:lang w:eastAsia="zh-CN"/>
        </w:rPr>
      </w:pPr>
      <w:bookmarkStart w:id="441" w:name="_Toc351203605"/>
      <w:bookmarkStart w:id="442" w:name="_Toc296346632"/>
      <w:bookmarkStart w:id="443" w:name="_Toc296503131"/>
      <w:bookmarkStart w:id="444" w:name="_Toc337558822"/>
      <w:r>
        <w:rPr>
          <w:rFonts w:ascii="宋体" w:hAnsi="宋体" w:hint="eastAsia"/>
          <w:bCs/>
          <w:lang w:eastAsia="zh-CN"/>
        </w:rPr>
        <w:t>16.2 承包人违约</w:t>
      </w:r>
      <w:bookmarkEnd w:id="441"/>
    </w:p>
    <w:bookmarkEnd w:id="442"/>
    <w:bookmarkEnd w:id="443"/>
    <w:bookmarkEnd w:id="444"/>
    <w:p w14:paraId="4ED3B634">
      <w:pPr>
        <w:spacing w:line="360" w:lineRule="auto"/>
        <w:rPr>
          <w:rFonts w:ascii="宋体" w:hAnsi="宋体"/>
          <w:lang w:eastAsia="zh-CN"/>
        </w:rPr>
      </w:pPr>
      <w:r>
        <w:rPr>
          <w:rFonts w:ascii="宋体" w:hAnsi="宋体" w:hint="eastAsia"/>
          <w:lang w:eastAsia="zh-CN"/>
        </w:rPr>
        <w:t>16.2.1 承包人违约的情形</w:t>
      </w:r>
    </w:p>
    <w:p w14:paraId="2453E15C">
      <w:pPr>
        <w:spacing w:line="360" w:lineRule="auto"/>
        <w:rPr>
          <w:rFonts w:ascii="宋体" w:hAnsi="宋体"/>
          <w:lang w:eastAsia="zh-CN"/>
        </w:rPr>
      </w:pPr>
      <w:r>
        <w:rPr>
          <w:rFonts w:ascii="宋体" w:hAnsi="宋体" w:hint="eastAsia"/>
          <w:lang w:eastAsia="zh-CN"/>
        </w:rPr>
        <w:t>在合同履行过程中发生的下列情形，属于承包人违约：</w:t>
      </w:r>
    </w:p>
    <w:p w14:paraId="7F8F16D0">
      <w:pPr>
        <w:spacing w:line="360" w:lineRule="auto"/>
        <w:rPr>
          <w:rFonts w:ascii="宋体" w:hAnsi="宋体"/>
          <w:lang w:eastAsia="zh-CN"/>
        </w:rPr>
      </w:pPr>
      <w:r>
        <w:rPr>
          <w:rFonts w:ascii="宋体" w:hAnsi="宋体" w:hint="eastAsia"/>
          <w:lang w:eastAsia="zh-CN"/>
        </w:rPr>
        <w:t>（1）承包人违反合同约定进行转包或违法分包的；</w:t>
      </w:r>
    </w:p>
    <w:p w14:paraId="5BC9D52E">
      <w:pPr>
        <w:spacing w:line="360" w:lineRule="auto"/>
        <w:rPr>
          <w:rFonts w:ascii="宋体" w:hAnsi="宋体"/>
          <w:lang w:eastAsia="zh-CN"/>
        </w:rPr>
      </w:pPr>
      <w:r>
        <w:rPr>
          <w:rFonts w:ascii="宋体" w:hAnsi="宋体" w:hint="eastAsia"/>
          <w:lang w:eastAsia="zh-CN"/>
        </w:rPr>
        <w:t>（2）承包人违反合同约定采购和使用不合格的材料和工程设备的；</w:t>
      </w:r>
    </w:p>
    <w:p w14:paraId="68876B79">
      <w:pPr>
        <w:spacing w:line="360" w:lineRule="auto"/>
        <w:rPr>
          <w:rFonts w:ascii="宋体" w:hAnsi="宋体"/>
          <w:lang w:eastAsia="zh-CN"/>
        </w:rPr>
      </w:pPr>
      <w:r>
        <w:rPr>
          <w:rFonts w:ascii="宋体" w:hAnsi="宋体" w:hint="eastAsia"/>
          <w:lang w:eastAsia="zh-CN"/>
        </w:rPr>
        <w:t xml:space="preserve">（3）因承包人原因导致工程质量不符合合同要求的； </w:t>
      </w:r>
    </w:p>
    <w:p w14:paraId="063E2F0B">
      <w:pPr>
        <w:spacing w:line="360" w:lineRule="auto"/>
        <w:rPr>
          <w:rFonts w:ascii="宋体" w:hAnsi="宋体"/>
          <w:lang w:eastAsia="zh-CN"/>
        </w:rPr>
      </w:pPr>
      <w:r>
        <w:rPr>
          <w:rFonts w:ascii="宋体" w:hAnsi="宋体" w:hint="eastAsia"/>
          <w:lang w:eastAsia="zh-CN"/>
        </w:rPr>
        <w:t>（4）承包人违反第8.9款〔材料与设备专用要求〕的约定，未经批准，私自将已按照合同约定进入施工现场的材料或设备撤离施工现场的；</w:t>
      </w:r>
    </w:p>
    <w:p w14:paraId="41FEE9F4">
      <w:pPr>
        <w:spacing w:line="360" w:lineRule="auto"/>
        <w:rPr>
          <w:rFonts w:ascii="宋体" w:hAnsi="宋体"/>
          <w:lang w:eastAsia="zh-CN"/>
        </w:rPr>
      </w:pPr>
      <w:r>
        <w:rPr>
          <w:rFonts w:ascii="宋体" w:hAnsi="宋体" w:hint="eastAsia"/>
          <w:lang w:eastAsia="zh-CN"/>
        </w:rPr>
        <w:t>（5）承包人未能按施工进度计划及时完成合同约定的工作，造成工期延误的；</w:t>
      </w:r>
    </w:p>
    <w:p w14:paraId="14736EEB">
      <w:pPr>
        <w:spacing w:line="360" w:lineRule="auto"/>
        <w:rPr>
          <w:rFonts w:ascii="宋体" w:hAnsi="宋体"/>
          <w:lang w:eastAsia="zh-CN"/>
        </w:rPr>
      </w:pPr>
      <w:r>
        <w:rPr>
          <w:rFonts w:ascii="宋体" w:hAnsi="宋体" w:hint="eastAsia"/>
          <w:lang w:eastAsia="zh-CN"/>
        </w:rPr>
        <w:t>（6）承包人在缺陷责任期及保修期内，未能在合理期限对工程缺陷进行修复，或拒绝按发包人要求进行修复的；</w:t>
      </w:r>
    </w:p>
    <w:p w14:paraId="6D7C9EC5">
      <w:pPr>
        <w:spacing w:line="360" w:lineRule="auto"/>
        <w:rPr>
          <w:rFonts w:ascii="宋体" w:hAnsi="宋体"/>
          <w:lang w:eastAsia="zh-CN"/>
        </w:rPr>
      </w:pPr>
      <w:r>
        <w:rPr>
          <w:rFonts w:ascii="宋体" w:hAnsi="宋体" w:hint="eastAsia"/>
          <w:lang w:eastAsia="zh-CN"/>
        </w:rPr>
        <w:t>（7）承包人明确表示或者以其行为表明不履行合同主要义务的；</w:t>
      </w:r>
    </w:p>
    <w:p w14:paraId="24C00A1F">
      <w:pPr>
        <w:spacing w:line="360" w:lineRule="auto"/>
        <w:rPr>
          <w:rFonts w:ascii="宋体" w:hAnsi="宋体"/>
          <w:lang w:eastAsia="zh-CN"/>
        </w:rPr>
      </w:pPr>
      <w:r>
        <w:rPr>
          <w:rFonts w:ascii="宋体" w:hAnsi="宋体" w:hint="eastAsia"/>
          <w:lang w:eastAsia="zh-CN"/>
        </w:rPr>
        <w:t>（8）承包人未能按照合同约定履行其他义务的。</w:t>
      </w:r>
    </w:p>
    <w:p w14:paraId="5875E932">
      <w:pPr>
        <w:spacing w:line="360" w:lineRule="auto"/>
        <w:rPr>
          <w:rFonts w:ascii="宋体" w:hAnsi="宋体"/>
          <w:lang w:eastAsia="zh-CN"/>
        </w:rPr>
      </w:pPr>
      <w:r>
        <w:rPr>
          <w:rFonts w:ascii="宋体" w:hAnsi="宋体" w:hint="eastAsia"/>
          <w:lang w:eastAsia="zh-CN"/>
        </w:rPr>
        <w:t>承包人发生除本项第（7）目约定以外的其他违约情况时，监理人可向承包人发出整改通知，要求其在指定的期限内改正。</w:t>
      </w:r>
    </w:p>
    <w:p w14:paraId="45478536">
      <w:pPr>
        <w:spacing w:line="360" w:lineRule="auto"/>
        <w:rPr>
          <w:rFonts w:ascii="宋体" w:hAnsi="宋体"/>
          <w:lang w:eastAsia="zh-CN"/>
        </w:rPr>
      </w:pPr>
      <w:r>
        <w:rPr>
          <w:rFonts w:ascii="宋体" w:hAnsi="宋体" w:hint="eastAsia"/>
          <w:lang w:eastAsia="zh-CN"/>
        </w:rPr>
        <w:t>16.2.2 承包人违约的责任</w:t>
      </w:r>
    </w:p>
    <w:p w14:paraId="1E7E622B">
      <w:pPr>
        <w:spacing w:line="360" w:lineRule="auto"/>
        <w:rPr>
          <w:rFonts w:ascii="宋体" w:hAnsi="宋体"/>
          <w:lang w:eastAsia="zh-CN"/>
        </w:rPr>
      </w:pPr>
      <w:r>
        <w:rPr>
          <w:rFonts w:ascii="宋体" w:hAnsi="宋体" w:hint="eastAsia"/>
          <w:lang w:eastAsia="zh-CN"/>
        </w:rPr>
        <w:t>承包人应承担因其违约行为而增加的费用和（或）延误的工期。此外，合同当事人可在专用合同条款中另行约定承包人违约责任的承担方式和计算方法。</w:t>
      </w:r>
    </w:p>
    <w:p w14:paraId="62B7E044">
      <w:pPr>
        <w:spacing w:line="360" w:lineRule="auto"/>
        <w:rPr>
          <w:rFonts w:ascii="宋体" w:hAnsi="宋体"/>
          <w:lang w:eastAsia="zh-CN"/>
        </w:rPr>
      </w:pPr>
      <w:r>
        <w:rPr>
          <w:rFonts w:ascii="宋体" w:hAnsi="宋体" w:hint="eastAsia"/>
          <w:lang w:eastAsia="zh-CN"/>
        </w:rPr>
        <w:t>16.2.3 因承包人违约解除合同</w:t>
      </w:r>
    </w:p>
    <w:p w14:paraId="673DADC5">
      <w:pPr>
        <w:spacing w:line="360" w:lineRule="auto"/>
        <w:rPr>
          <w:rFonts w:ascii="宋体" w:hAnsi="宋体"/>
          <w:lang w:eastAsia="zh-CN"/>
        </w:rPr>
      </w:pPr>
      <w:r>
        <w:rPr>
          <w:rFonts w:ascii="宋体" w:hAnsi="宋体" w:hint="eastAsia"/>
          <w:lang w:eastAsia="zh-CN"/>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881B947">
      <w:pPr>
        <w:spacing w:line="360" w:lineRule="auto"/>
        <w:rPr>
          <w:rFonts w:ascii="宋体" w:hAnsi="宋体"/>
          <w:lang w:eastAsia="zh-CN"/>
        </w:rPr>
      </w:pPr>
      <w:r>
        <w:rPr>
          <w:rFonts w:ascii="宋体" w:hAnsi="宋体" w:hint="eastAsia"/>
          <w:lang w:eastAsia="zh-CN"/>
        </w:rPr>
        <w:t>16.2.4因承包人违约解除合同后的处理</w:t>
      </w:r>
    </w:p>
    <w:p w14:paraId="486B5DAA">
      <w:pPr>
        <w:spacing w:line="360" w:lineRule="auto"/>
        <w:rPr>
          <w:rFonts w:ascii="宋体" w:hAnsi="宋体"/>
          <w:lang w:eastAsia="zh-CN"/>
        </w:rPr>
      </w:pPr>
      <w:r>
        <w:rPr>
          <w:rFonts w:ascii="宋体" w:hAnsi="宋体" w:hint="eastAsia"/>
          <w:lang w:eastAsia="zh-CN"/>
        </w:rPr>
        <w:t>因承包人原因导致合同解除的，则合同当事人应在合同解除后28天内完成估价、付款和清算，并按以下约定执行：</w:t>
      </w:r>
    </w:p>
    <w:p w14:paraId="77E9E31E">
      <w:pPr>
        <w:spacing w:line="360" w:lineRule="auto"/>
        <w:rPr>
          <w:rFonts w:ascii="宋体" w:hAnsi="宋体"/>
          <w:lang w:eastAsia="zh-CN"/>
        </w:rPr>
      </w:pPr>
      <w:r>
        <w:rPr>
          <w:rFonts w:ascii="宋体" w:hAnsi="宋体" w:hint="eastAsia"/>
          <w:lang w:eastAsia="zh-CN"/>
        </w:rPr>
        <w:t>（1）合同解除后，按第4.4款〔商定或确定〕商定或确定承包人实际完成工作对应的合同价款，以及承包人已提供的材料、工程设备、施工设备和临时工程等的价值；</w:t>
      </w:r>
    </w:p>
    <w:p w14:paraId="5D7B7CA5">
      <w:pPr>
        <w:spacing w:line="360" w:lineRule="auto"/>
        <w:rPr>
          <w:rFonts w:ascii="宋体" w:hAnsi="宋体"/>
          <w:lang w:eastAsia="zh-CN"/>
        </w:rPr>
      </w:pPr>
      <w:r>
        <w:rPr>
          <w:rFonts w:ascii="宋体" w:hAnsi="宋体" w:hint="eastAsia"/>
          <w:lang w:eastAsia="zh-CN"/>
        </w:rPr>
        <w:t>（2）合同解除后，承包人应支付的违约金；</w:t>
      </w:r>
    </w:p>
    <w:p w14:paraId="57ED5CC6">
      <w:pPr>
        <w:spacing w:line="360" w:lineRule="auto"/>
        <w:rPr>
          <w:rFonts w:ascii="宋体" w:hAnsi="宋体"/>
          <w:lang w:eastAsia="zh-CN"/>
        </w:rPr>
      </w:pPr>
      <w:r>
        <w:rPr>
          <w:rFonts w:ascii="宋体" w:hAnsi="宋体" w:hint="eastAsia"/>
          <w:lang w:eastAsia="zh-CN"/>
        </w:rPr>
        <w:t>（3）合同解除后，因解除合同给发包人造成的损失；</w:t>
      </w:r>
    </w:p>
    <w:p w14:paraId="07D8E03B">
      <w:pPr>
        <w:spacing w:line="360" w:lineRule="auto"/>
        <w:rPr>
          <w:rFonts w:ascii="宋体" w:hAnsi="宋体"/>
          <w:lang w:eastAsia="zh-CN"/>
        </w:rPr>
      </w:pPr>
      <w:r>
        <w:rPr>
          <w:rFonts w:ascii="宋体" w:hAnsi="宋体" w:hint="eastAsia"/>
          <w:lang w:eastAsia="zh-CN"/>
        </w:rPr>
        <w:t>（4）合同解除后，承包人应按照发包人要求和监理人的指示完成现场的清理和撤离；</w:t>
      </w:r>
    </w:p>
    <w:p w14:paraId="2D47D12D">
      <w:pPr>
        <w:spacing w:line="360" w:lineRule="auto"/>
        <w:rPr>
          <w:rFonts w:ascii="宋体" w:hAnsi="宋体"/>
          <w:lang w:eastAsia="zh-CN"/>
        </w:rPr>
      </w:pPr>
      <w:r>
        <w:rPr>
          <w:rFonts w:ascii="宋体" w:hAnsi="宋体" w:hint="eastAsia"/>
          <w:lang w:eastAsia="zh-CN"/>
        </w:rPr>
        <w:t>（5）发包人和承包人应在合同解除后进行清算，出具最终结清付款证书，结清全部款项。</w:t>
      </w:r>
    </w:p>
    <w:p w14:paraId="1F6EE7FA">
      <w:pPr>
        <w:spacing w:line="360" w:lineRule="auto"/>
        <w:rPr>
          <w:rFonts w:ascii="宋体" w:hAnsi="宋体"/>
          <w:lang w:eastAsia="zh-CN"/>
        </w:rPr>
      </w:pPr>
      <w:r>
        <w:rPr>
          <w:rFonts w:ascii="宋体" w:hAnsi="宋体" w:hint="eastAsia"/>
          <w:lang w:eastAsia="zh-CN"/>
        </w:rPr>
        <w:t>因承包人违约解除合同的，发包人有权暂停对承包人的付款，查清各项付款和已扣款项。发包人和承包人未能就合同解除后的清算和款项支付达成一致的，按照第20条〔争议解决〕的约定处理。</w:t>
      </w:r>
    </w:p>
    <w:p w14:paraId="406DEF78">
      <w:pPr>
        <w:spacing w:line="360" w:lineRule="auto"/>
        <w:rPr>
          <w:rFonts w:ascii="宋体" w:hAnsi="宋体"/>
          <w:lang w:eastAsia="zh-CN"/>
        </w:rPr>
      </w:pPr>
      <w:r>
        <w:rPr>
          <w:rFonts w:ascii="宋体" w:hAnsi="宋体" w:hint="eastAsia"/>
          <w:lang w:eastAsia="zh-CN"/>
        </w:rPr>
        <w:t>16.2.5采购合同权益转让</w:t>
      </w:r>
    </w:p>
    <w:p w14:paraId="130826BD">
      <w:pPr>
        <w:spacing w:line="360" w:lineRule="auto"/>
        <w:rPr>
          <w:rFonts w:ascii="宋体" w:hAnsi="宋体"/>
          <w:lang w:eastAsia="zh-CN"/>
        </w:rPr>
      </w:pPr>
      <w:r>
        <w:rPr>
          <w:rFonts w:ascii="宋体" w:hAnsi="宋体" w:hint="eastAsia"/>
          <w:lang w:eastAsia="zh-CN"/>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21113A34">
      <w:pPr>
        <w:spacing w:line="360" w:lineRule="auto"/>
        <w:rPr>
          <w:rFonts w:ascii="宋体" w:hAnsi="宋体"/>
          <w:bCs/>
          <w:lang w:eastAsia="zh-CN"/>
        </w:rPr>
      </w:pPr>
      <w:bookmarkStart w:id="445" w:name="_Toc351203606"/>
      <w:r>
        <w:rPr>
          <w:rFonts w:ascii="宋体" w:hAnsi="宋体" w:hint="eastAsia"/>
          <w:bCs/>
          <w:lang w:eastAsia="zh-CN"/>
        </w:rPr>
        <w:t>16.3 第三人造成的违约</w:t>
      </w:r>
      <w:bookmarkEnd w:id="445"/>
    </w:p>
    <w:p w14:paraId="25AB3757">
      <w:pPr>
        <w:spacing w:line="360" w:lineRule="auto"/>
        <w:rPr>
          <w:rFonts w:ascii="宋体" w:hAnsi="宋体"/>
          <w:lang w:eastAsia="zh-CN"/>
        </w:rPr>
      </w:pPr>
      <w:r>
        <w:rPr>
          <w:rFonts w:ascii="宋体" w:hAnsi="宋体" w:hint="eastAsia"/>
          <w:lang w:eastAsia="zh-CN"/>
        </w:rPr>
        <w:t>在履行合同过程中，一方当事人因第三人的原因造成违约的，应当向对方当事人承担违约责任。一方当事人和第三人之间的纠纷，依照法律规定或者按照约定解决。</w:t>
      </w:r>
    </w:p>
    <w:p w14:paraId="295181BD">
      <w:pPr>
        <w:spacing w:line="360" w:lineRule="auto"/>
        <w:rPr>
          <w:rFonts w:ascii="宋体" w:hAnsi="宋体"/>
          <w:bCs/>
          <w:lang w:eastAsia="zh-CN"/>
        </w:rPr>
      </w:pPr>
      <w:bookmarkStart w:id="446" w:name="_Toc351203607"/>
      <w:bookmarkStart w:id="447" w:name="_Toc296346617"/>
      <w:bookmarkStart w:id="448" w:name="_Toc296503116"/>
      <w:bookmarkStart w:id="449" w:name="_Toc337558823"/>
      <w:r>
        <w:rPr>
          <w:rFonts w:ascii="宋体" w:hAnsi="宋体" w:hint="eastAsia"/>
          <w:bCs/>
          <w:lang w:eastAsia="zh-CN"/>
        </w:rPr>
        <w:t>17. 不可抗力</w:t>
      </w:r>
      <w:bookmarkEnd w:id="446"/>
      <w:r>
        <w:rPr>
          <w:rFonts w:ascii="宋体" w:hAnsi="宋体" w:hint="eastAsia"/>
          <w:bCs/>
          <w:lang w:eastAsia="zh-CN"/>
        </w:rPr>
        <w:t xml:space="preserve"> </w:t>
      </w:r>
      <w:bookmarkEnd w:id="447"/>
      <w:bookmarkEnd w:id="448"/>
      <w:bookmarkEnd w:id="449"/>
    </w:p>
    <w:p w14:paraId="322BCD83">
      <w:pPr>
        <w:spacing w:line="360" w:lineRule="auto"/>
        <w:rPr>
          <w:rFonts w:ascii="宋体" w:hAnsi="宋体"/>
          <w:bCs/>
          <w:lang w:eastAsia="zh-CN"/>
        </w:rPr>
      </w:pPr>
      <w:bookmarkStart w:id="450" w:name="_Toc351203608"/>
      <w:bookmarkStart w:id="451" w:name="_Toc296503117"/>
      <w:bookmarkStart w:id="452" w:name="_Toc296346618"/>
      <w:bookmarkStart w:id="453" w:name="_Toc337558824"/>
      <w:r>
        <w:rPr>
          <w:rFonts w:ascii="宋体" w:hAnsi="宋体" w:hint="eastAsia"/>
          <w:bCs/>
          <w:lang w:eastAsia="zh-CN"/>
        </w:rPr>
        <w:t>17.1 不可抗力的确认</w:t>
      </w:r>
      <w:bookmarkEnd w:id="450"/>
    </w:p>
    <w:bookmarkEnd w:id="451"/>
    <w:bookmarkEnd w:id="452"/>
    <w:bookmarkEnd w:id="453"/>
    <w:p w14:paraId="62129BC1">
      <w:pPr>
        <w:spacing w:line="360" w:lineRule="auto"/>
        <w:rPr>
          <w:rFonts w:ascii="宋体" w:hAnsi="宋体"/>
          <w:lang w:eastAsia="zh-CN"/>
        </w:rPr>
      </w:pPr>
      <w:r>
        <w:rPr>
          <w:rFonts w:ascii="宋体" w:hAnsi="宋体" w:hint="eastAsia"/>
          <w:lang w:eastAsia="zh-CN"/>
        </w:rPr>
        <w:t>不可抗力是指合同当事人在签订合同时不可预见，在合同履行过程中不可避免且不能克服的自然灾害和社会性突发事件，如地震、海啸、瘟疫、骚乱、戒严、暴动、战争和专用合同条款中约定的其他情形。</w:t>
      </w:r>
    </w:p>
    <w:p w14:paraId="18C7DD80">
      <w:pPr>
        <w:spacing w:line="360" w:lineRule="auto"/>
        <w:rPr>
          <w:rFonts w:ascii="宋体" w:hAnsi="宋体"/>
          <w:lang w:eastAsia="zh-CN"/>
        </w:rPr>
      </w:pPr>
      <w:r>
        <w:rPr>
          <w:rFonts w:ascii="宋体" w:hAnsi="宋体" w:hint="eastAsia"/>
          <w:lang w:eastAsia="zh-CN"/>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7252212B">
      <w:pPr>
        <w:spacing w:line="360" w:lineRule="auto"/>
        <w:rPr>
          <w:rFonts w:ascii="宋体" w:hAnsi="宋体"/>
          <w:bCs/>
          <w:lang w:eastAsia="zh-CN"/>
        </w:rPr>
      </w:pPr>
      <w:bookmarkStart w:id="454" w:name="_Toc351203609"/>
      <w:bookmarkStart w:id="455" w:name="_Toc296503118"/>
      <w:bookmarkStart w:id="456" w:name="_Toc337558825"/>
      <w:bookmarkStart w:id="457" w:name="_Toc296346619"/>
      <w:r>
        <w:rPr>
          <w:rFonts w:ascii="宋体" w:hAnsi="宋体" w:hint="eastAsia"/>
          <w:bCs/>
          <w:lang w:eastAsia="zh-CN"/>
        </w:rPr>
        <w:t>17.2 不可抗力的通知</w:t>
      </w:r>
      <w:bookmarkEnd w:id="454"/>
    </w:p>
    <w:bookmarkEnd w:id="455"/>
    <w:bookmarkEnd w:id="456"/>
    <w:bookmarkEnd w:id="457"/>
    <w:p w14:paraId="251D4869">
      <w:pPr>
        <w:spacing w:line="360" w:lineRule="auto"/>
        <w:rPr>
          <w:rFonts w:ascii="宋体" w:hAnsi="宋体"/>
          <w:lang w:eastAsia="zh-CN"/>
        </w:rPr>
      </w:pPr>
      <w:r>
        <w:rPr>
          <w:rFonts w:ascii="宋体" w:hAnsi="宋体" w:hint="eastAsia"/>
          <w:lang w:eastAsia="zh-CN"/>
        </w:rPr>
        <w:t>合同一方当事人遇到不可抗力事件，使其履行合同义务受到阻碍时，应立即通知合同另一方当事人和监理人，书面说明不可抗力和受阻碍的详细情况，并提供必要的证明。</w:t>
      </w:r>
    </w:p>
    <w:p w14:paraId="6FAABC0E">
      <w:pPr>
        <w:spacing w:line="360" w:lineRule="auto"/>
        <w:rPr>
          <w:rFonts w:ascii="宋体" w:hAnsi="宋体"/>
          <w:lang w:eastAsia="zh-CN"/>
        </w:rPr>
      </w:pPr>
      <w:r>
        <w:rPr>
          <w:rFonts w:ascii="宋体" w:hAnsi="宋体" w:hint="eastAsia"/>
          <w:lang w:eastAsia="zh-CN"/>
        </w:rPr>
        <w:t>不可抗力持续发生的，合同一方当事人应及时向合同另一方当事人和监理人提交中间报告，说明不可抗力和履行合同受阻的情况，并于不可抗力事件结束后28天内提交最终报告及有关资料。</w:t>
      </w:r>
    </w:p>
    <w:p w14:paraId="7D0AFFCD">
      <w:pPr>
        <w:spacing w:line="360" w:lineRule="auto"/>
        <w:rPr>
          <w:rFonts w:ascii="宋体" w:hAnsi="宋体"/>
          <w:bCs/>
          <w:lang w:eastAsia="zh-CN"/>
        </w:rPr>
      </w:pPr>
      <w:bookmarkStart w:id="458" w:name="_Toc351203610"/>
      <w:bookmarkStart w:id="459" w:name="_Toc296503119"/>
      <w:bookmarkStart w:id="460" w:name="_Toc296346620"/>
      <w:bookmarkStart w:id="461" w:name="_Toc337558826"/>
      <w:r>
        <w:rPr>
          <w:rFonts w:ascii="宋体" w:hAnsi="宋体" w:hint="eastAsia"/>
          <w:bCs/>
          <w:lang w:eastAsia="zh-CN"/>
        </w:rPr>
        <w:t>17.3 不可抗力后果的承担</w:t>
      </w:r>
      <w:bookmarkEnd w:id="458"/>
    </w:p>
    <w:bookmarkEnd w:id="459"/>
    <w:bookmarkEnd w:id="460"/>
    <w:bookmarkEnd w:id="461"/>
    <w:p w14:paraId="38C07F68">
      <w:pPr>
        <w:spacing w:line="360" w:lineRule="auto"/>
        <w:rPr>
          <w:rFonts w:ascii="宋体" w:hAnsi="宋体"/>
          <w:lang w:eastAsia="zh-CN"/>
        </w:rPr>
      </w:pPr>
      <w:r>
        <w:rPr>
          <w:rFonts w:ascii="宋体" w:hAnsi="宋体" w:hint="eastAsia"/>
          <w:lang w:eastAsia="zh-CN"/>
        </w:rPr>
        <w:t>17.3.1 不可抗力引起的后果及造成的损失由合同当事人按照法律规定及合同约定各自承担。不可抗力发生前已完成的工程应当按照合同约定进行计量支付。</w:t>
      </w:r>
    </w:p>
    <w:p w14:paraId="4F9BA21A">
      <w:pPr>
        <w:spacing w:line="360" w:lineRule="auto"/>
        <w:rPr>
          <w:rFonts w:ascii="宋体" w:hAnsi="宋体"/>
          <w:lang w:eastAsia="zh-CN"/>
        </w:rPr>
      </w:pPr>
      <w:r>
        <w:rPr>
          <w:rFonts w:ascii="宋体" w:hAnsi="宋体" w:hint="eastAsia"/>
          <w:lang w:eastAsia="zh-CN"/>
        </w:rPr>
        <w:t>17.3.2 不可抗力导致的人员伤亡、财产损失、费用增加和（或）工期延误等后果，由合同当事人按以下原则承担：</w:t>
      </w:r>
    </w:p>
    <w:p w14:paraId="49C406B2">
      <w:pPr>
        <w:spacing w:line="360" w:lineRule="auto"/>
        <w:rPr>
          <w:rFonts w:ascii="宋体" w:hAnsi="宋体"/>
          <w:lang w:eastAsia="zh-CN"/>
        </w:rPr>
      </w:pPr>
      <w:r>
        <w:rPr>
          <w:rFonts w:ascii="宋体" w:hAnsi="宋体" w:hint="eastAsia"/>
          <w:lang w:eastAsia="zh-CN"/>
        </w:rPr>
        <w:t>（1）永久工程、已运至施工现场的材料和工程设备的损坏，以及因工程损坏造成的第三人人员伤亡和财产损失由发包人承担；</w:t>
      </w:r>
    </w:p>
    <w:p w14:paraId="382DD341">
      <w:pPr>
        <w:spacing w:line="360" w:lineRule="auto"/>
        <w:rPr>
          <w:rFonts w:ascii="宋体" w:hAnsi="宋体"/>
          <w:lang w:eastAsia="zh-CN"/>
        </w:rPr>
      </w:pPr>
      <w:r>
        <w:rPr>
          <w:rFonts w:ascii="宋体" w:hAnsi="宋体" w:hint="eastAsia"/>
          <w:lang w:eastAsia="zh-CN"/>
        </w:rPr>
        <w:t>（2）承包人施工设备的损坏由承包人承担；</w:t>
      </w:r>
    </w:p>
    <w:p w14:paraId="084E659E">
      <w:pPr>
        <w:spacing w:line="360" w:lineRule="auto"/>
        <w:rPr>
          <w:rFonts w:ascii="宋体" w:hAnsi="宋体"/>
          <w:lang w:eastAsia="zh-CN"/>
        </w:rPr>
      </w:pPr>
      <w:r>
        <w:rPr>
          <w:rFonts w:ascii="宋体" w:hAnsi="宋体" w:hint="eastAsia"/>
          <w:lang w:eastAsia="zh-CN"/>
        </w:rPr>
        <w:t>（3）发包人和承包人承担各自人员伤亡和财产的损失；</w:t>
      </w:r>
    </w:p>
    <w:p w14:paraId="3DB95DAC">
      <w:pPr>
        <w:spacing w:line="360" w:lineRule="auto"/>
        <w:rPr>
          <w:rFonts w:ascii="宋体" w:hAnsi="宋体"/>
          <w:lang w:eastAsia="zh-CN"/>
        </w:rPr>
      </w:pPr>
      <w:r>
        <w:rPr>
          <w:rFonts w:ascii="宋体" w:hAnsi="宋体" w:hint="eastAsia"/>
          <w:lang w:eastAsia="zh-CN"/>
        </w:rPr>
        <w:t>（4）因不可抗力影响承包人履行合同约定的义务，已经引起或将引起工期延误的，应当顺延工期，由此导致承包人停工的费用损失由发包人和承包人合理分担，停工期间必须支付的工人工资由发包人承担；</w:t>
      </w:r>
    </w:p>
    <w:p w14:paraId="1CBFE44C">
      <w:pPr>
        <w:spacing w:line="360" w:lineRule="auto"/>
        <w:rPr>
          <w:rFonts w:ascii="宋体" w:hAnsi="宋体"/>
          <w:lang w:eastAsia="zh-CN"/>
        </w:rPr>
      </w:pPr>
      <w:r>
        <w:rPr>
          <w:rFonts w:ascii="宋体" w:hAnsi="宋体" w:hint="eastAsia"/>
          <w:lang w:eastAsia="zh-CN"/>
        </w:rPr>
        <w:t>（5）因不可抗力引起或将引起工期延误，发包人要求赶工的，由此增加的赶工费用由发包人承担；</w:t>
      </w:r>
    </w:p>
    <w:p w14:paraId="4CDC9EA2">
      <w:pPr>
        <w:spacing w:line="360" w:lineRule="auto"/>
        <w:rPr>
          <w:rFonts w:ascii="宋体" w:hAnsi="宋体"/>
          <w:lang w:eastAsia="zh-CN"/>
        </w:rPr>
      </w:pPr>
      <w:r>
        <w:rPr>
          <w:rFonts w:ascii="宋体" w:hAnsi="宋体" w:hint="eastAsia"/>
          <w:lang w:eastAsia="zh-CN"/>
        </w:rPr>
        <w:t>（6）承包人在停工期间按照发包人要求照管、清理和修复工程的费用由发包人承担。</w:t>
      </w:r>
    </w:p>
    <w:p w14:paraId="62D569B8">
      <w:pPr>
        <w:spacing w:line="360" w:lineRule="auto"/>
        <w:rPr>
          <w:rFonts w:ascii="宋体" w:hAnsi="宋体"/>
          <w:lang w:eastAsia="zh-CN"/>
        </w:rPr>
      </w:pPr>
      <w:r>
        <w:rPr>
          <w:rFonts w:ascii="宋体" w:hAnsi="宋体" w:hint="eastAsia"/>
          <w:lang w:eastAsia="zh-CN"/>
        </w:rPr>
        <w:t>不可抗力发生后，合同当事人均应采取措施尽量避免和减少损失的扩大，任何一方当事人没有采取有效措施导致损失扩大的，应对扩大的损失承担责任。</w:t>
      </w:r>
    </w:p>
    <w:p w14:paraId="283CF5C8">
      <w:pPr>
        <w:spacing w:line="360" w:lineRule="auto"/>
        <w:rPr>
          <w:rFonts w:ascii="宋体" w:hAnsi="宋体"/>
          <w:lang w:eastAsia="zh-CN"/>
        </w:rPr>
      </w:pPr>
      <w:r>
        <w:rPr>
          <w:rFonts w:ascii="宋体" w:hAnsi="宋体" w:hint="eastAsia"/>
          <w:lang w:eastAsia="zh-CN"/>
        </w:rPr>
        <w:t>因合同一方迟延履行合同义务，在迟延履行期间遭遇不可抗力的，不免除其违约责任。</w:t>
      </w:r>
    </w:p>
    <w:p w14:paraId="0E7207D7">
      <w:pPr>
        <w:spacing w:line="360" w:lineRule="auto"/>
        <w:rPr>
          <w:rFonts w:ascii="宋体" w:hAnsi="宋体"/>
          <w:bCs/>
          <w:lang w:eastAsia="zh-CN"/>
        </w:rPr>
      </w:pPr>
      <w:bookmarkStart w:id="462" w:name="_Toc351203611"/>
      <w:bookmarkStart w:id="463" w:name="_Toc337558827"/>
      <w:r>
        <w:rPr>
          <w:rFonts w:ascii="宋体" w:hAnsi="宋体" w:hint="eastAsia"/>
          <w:bCs/>
          <w:lang w:eastAsia="zh-CN"/>
        </w:rPr>
        <w:t>17.4 因不可抗力解除合同</w:t>
      </w:r>
      <w:bookmarkEnd w:id="462"/>
    </w:p>
    <w:bookmarkEnd w:id="463"/>
    <w:p w14:paraId="6780074E">
      <w:pPr>
        <w:spacing w:line="360" w:lineRule="auto"/>
        <w:rPr>
          <w:rFonts w:ascii="宋体" w:hAnsi="宋体"/>
          <w:lang w:eastAsia="zh-CN"/>
        </w:rPr>
      </w:pPr>
      <w:r>
        <w:rPr>
          <w:rFonts w:ascii="宋体" w:hAnsi="宋体" w:hint="eastAsia"/>
          <w:lang w:eastAsia="zh-CN"/>
        </w:rPr>
        <w:t>因不可抗力导致合同无法履行连续超过84天或累计超过140天的，发包人和承包人均有权解除合同。合同解除后，由双方当事人按照第4.4款〔商定或确定〕商定或确定发包人应支付的款项，该款项包括：</w:t>
      </w:r>
    </w:p>
    <w:p w14:paraId="14746EF1">
      <w:pPr>
        <w:spacing w:line="360" w:lineRule="auto"/>
        <w:rPr>
          <w:rFonts w:ascii="宋体" w:hAnsi="宋体"/>
        </w:rPr>
      </w:pPr>
      <w:r>
        <w:rPr>
          <w:rFonts w:ascii="宋体" w:hAnsi="宋体" w:hint="eastAsia"/>
        </w:rPr>
        <w:t>（1）合同解除前承包人已完成工作的价款；</w:t>
      </w:r>
    </w:p>
    <w:p w14:paraId="1D37C389">
      <w:pPr>
        <w:spacing w:line="360" w:lineRule="auto"/>
        <w:rPr>
          <w:rFonts w:ascii="宋体" w:hAnsi="宋体"/>
          <w:lang w:eastAsia="zh-CN"/>
        </w:rPr>
      </w:pPr>
      <w:r>
        <w:rPr>
          <w:rFonts w:ascii="宋体" w:hAnsi="宋体" w:hint="eastAsia"/>
          <w:lang w:eastAsia="zh-CN"/>
        </w:rPr>
        <w:t>（2）承包人为工程订购的并已交付给承包人，或承包人有责任接受交付的材料、工程设备和其他物品的价款；</w:t>
      </w:r>
    </w:p>
    <w:p w14:paraId="541193CC">
      <w:pPr>
        <w:spacing w:line="360" w:lineRule="auto"/>
        <w:rPr>
          <w:rFonts w:ascii="宋体" w:hAnsi="宋体"/>
          <w:lang w:eastAsia="zh-CN"/>
        </w:rPr>
      </w:pPr>
      <w:r>
        <w:rPr>
          <w:rFonts w:ascii="宋体" w:hAnsi="宋体" w:hint="eastAsia"/>
          <w:lang w:eastAsia="zh-CN"/>
        </w:rPr>
        <w:t>（3）发包人要求承包人退货或解除订货合同而产生的费用，或因不能退货或解除合同而产生的损失；</w:t>
      </w:r>
    </w:p>
    <w:p w14:paraId="38A2B58C">
      <w:pPr>
        <w:spacing w:line="360" w:lineRule="auto"/>
        <w:rPr>
          <w:rFonts w:ascii="宋体" w:hAnsi="宋体"/>
          <w:lang w:eastAsia="zh-CN"/>
        </w:rPr>
      </w:pPr>
      <w:r>
        <w:rPr>
          <w:rFonts w:ascii="宋体" w:hAnsi="宋体" w:hint="eastAsia"/>
          <w:lang w:eastAsia="zh-CN"/>
        </w:rPr>
        <w:t>（4）承包人撤离施工现场以及遣散承包人人员的费用；</w:t>
      </w:r>
    </w:p>
    <w:p w14:paraId="121AF949">
      <w:pPr>
        <w:spacing w:line="360" w:lineRule="auto"/>
        <w:rPr>
          <w:rFonts w:ascii="宋体" w:hAnsi="宋体"/>
          <w:lang w:eastAsia="zh-CN"/>
        </w:rPr>
      </w:pPr>
      <w:r>
        <w:rPr>
          <w:rFonts w:ascii="宋体" w:hAnsi="宋体" w:hint="eastAsia"/>
          <w:lang w:eastAsia="zh-CN"/>
        </w:rPr>
        <w:t>（5）按照合同约定在合同解除前应支付给承包人的其他款项；</w:t>
      </w:r>
    </w:p>
    <w:p w14:paraId="6A530E5B">
      <w:pPr>
        <w:spacing w:line="360" w:lineRule="auto"/>
        <w:rPr>
          <w:rFonts w:ascii="宋体" w:hAnsi="宋体"/>
          <w:lang w:eastAsia="zh-CN"/>
        </w:rPr>
      </w:pPr>
      <w:r>
        <w:rPr>
          <w:rFonts w:ascii="宋体" w:hAnsi="宋体" w:hint="eastAsia"/>
          <w:lang w:eastAsia="zh-CN"/>
        </w:rPr>
        <w:t>（6）扣减承包人按照合同约定应向发包人支付的款项；</w:t>
      </w:r>
    </w:p>
    <w:p w14:paraId="0CAF7388">
      <w:pPr>
        <w:spacing w:line="360" w:lineRule="auto"/>
        <w:rPr>
          <w:rFonts w:ascii="宋体" w:hAnsi="宋体"/>
          <w:lang w:eastAsia="zh-CN"/>
        </w:rPr>
      </w:pPr>
      <w:r>
        <w:rPr>
          <w:rFonts w:ascii="宋体" w:hAnsi="宋体" w:hint="eastAsia"/>
          <w:lang w:eastAsia="zh-CN"/>
        </w:rPr>
        <w:t>（7）双方商定或确定的其他款项。</w:t>
      </w:r>
    </w:p>
    <w:p w14:paraId="36EE9495">
      <w:pPr>
        <w:spacing w:line="360" w:lineRule="auto"/>
        <w:rPr>
          <w:rFonts w:ascii="宋体" w:hAnsi="宋体"/>
          <w:lang w:eastAsia="zh-CN"/>
        </w:rPr>
      </w:pPr>
      <w:r>
        <w:rPr>
          <w:rFonts w:ascii="宋体" w:hAnsi="宋体" w:hint="eastAsia"/>
          <w:lang w:eastAsia="zh-CN"/>
        </w:rPr>
        <w:t>除专用合同条款另有约定外，合同解除后，发包人应在商定或确定上述款项后28天内完成上述款项的支付。</w:t>
      </w:r>
    </w:p>
    <w:p w14:paraId="39026E64">
      <w:pPr>
        <w:spacing w:line="360" w:lineRule="auto"/>
        <w:rPr>
          <w:rFonts w:ascii="宋体" w:hAnsi="宋体"/>
          <w:bCs/>
          <w:lang w:eastAsia="zh-CN"/>
        </w:rPr>
      </w:pPr>
      <w:bookmarkStart w:id="464" w:name="_Toc351203612"/>
      <w:bookmarkStart w:id="465" w:name="_Toc337558828"/>
      <w:bookmarkStart w:id="466" w:name="_Toc296346621"/>
      <w:bookmarkStart w:id="467" w:name="_Toc296503120"/>
      <w:r>
        <w:rPr>
          <w:rFonts w:ascii="宋体" w:hAnsi="宋体" w:hint="eastAsia"/>
          <w:bCs/>
          <w:lang w:eastAsia="zh-CN"/>
        </w:rPr>
        <w:t>18. 保险</w:t>
      </w:r>
      <w:bookmarkEnd w:id="464"/>
    </w:p>
    <w:bookmarkEnd w:id="465"/>
    <w:bookmarkEnd w:id="466"/>
    <w:bookmarkEnd w:id="467"/>
    <w:p w14:paraId="62721A0D">
      <w:pPr>
        <w:spacing w:line="360" w:lineRule="auto"/>
        <w:rPr>
          <w:rFonts w:ascii="宋体" w:hAnsi="宋体"/>
          <w:bCs/>
          <w:lang w:eastAsia="zh-CN"/>
        </w:rPr>
      </w:pPr>
      <w:bookmarkStart w:id="468" w:name="_Toc351203613"/>
      <w:bookmarkStart w:id="469" w:name="_Toc296503121"/>
      <w:bookmarkStart w:id="470" w:name="_Toc337558829"/>
      <w:bookmarkStart w:id="471" w:name="_Toc296346622"/>
      <w:r>
        <w:rPr>
          <w:rFonts w:ascii="宋体" w:hAnsi="宋体" w:hint="eastAsia"/>
          <w:bCs/>
          <w:lang w:eastAsia="zh-CN"/>
        </w:rPr>
        <w:t>18.1 工程保险</w:t>
      </w:r>
      <w:bookmarkEnd w:id="468"/>
    </w:p>
    <w:bookmarkEnd w:id="469"/>
    <w:bookmarkEnd w:id="470"/>
    <w:bookmarkEnd w:id="471"/>
    <w:p w14:paraId="642AD584">
      <w:pPr>
        <w:spacing w:line="360" w:lineRule="auto"/>
        <w:rPr>
          <w:rFonts w:ascii="宋体" w:hAnsi="宋体"/>
          <w:lang w:eastAsia="zh-CN"/>
        </w:rPr>
      </w:pPr>
      <w:r>
        <w:rPr>
          <w:rFonts w:ascii="宋体" w:hAnsi="宋体" w:hint="eastAsia"/>
          <w:lang w:eastAsia="zh-CN"/>
        </w:rPr>
        <w:t>除专用合同条款另有约定外，发包人应投保建筑工程一切险或安装工程一切险；发包人委托承包人投保的，因投保产生的保险费和其他相关费用由发包人承担。</w:t>
      </w:r>
    </w:p>
    <w:p w14:paraId="1D5B0C78">
      <w:pPr>
        <w:spacing w:line="360" w:lineRule="auto"/>
        <w:rPr>
          <w:rFonts w:ascii="宋体" w:hAnsi="宋体"/>
          <w:bCs/>
          <w:lang w:eastAsia="zh-CN"/>
        </w:rPr>
      </w:pPr>
      <w:bookmarkStart w:id="472" w:name="_Toc351203614"/>
      <w:bookmarkStart w:id="473" w:name="_Toc296346623"/>
      <w:bookmarkStart w:id="474" w:name="_Toc337558830"/>
      <w:bookmarkStart w:id="475" w:name="_Toc296503122"/>
      <w:r>
        <w:rPr>
          <w:rFonts w:ascii="宋体" w:hAnsi="宋体" w:hint="eastAsia"/>
          <w:bCs/>
          <w:lang w:eastAsia="zh-CN"/>
        </w:rPr>
        <w:t>18.2 工伤保险</w:t>
      </w:r>
      <w:bookmarkEnd w:id="472"/>
    </w:p>
    <w:bookmarkEnd w:id="473"/>
    <w:bookmarkEnd w:id="474"/>
    <w:bookmarkEnd w:id="475"/>
    <w:p w14:paraId="5C8E50DE">
      <w:pPr>
        <w:spacing w:line="360" w:lineRule="auto"/>
        <w:rPr>
          <w:rFonts w:ascii="宋体" w:hAnsi="宋体"/>
          <w:lang w:eastAsia="zh-CN"/>
        </w:rPr>
      </w:pPr>
      <w:r>
        <w:rPr>
          <w:rFonts w:ascii="宋体" w:hAnsi="宋体" w:hint="eastAsia"/>
          <w:lang w:eastAsia="zh-CN"/>
        </w:rPr>
        <w:t>18.2.1 发包人应依照法律规定参加工伤保险，并为在施工现场的全部员工办理工伤保险，缴纳工伤保险费，并要求监理人及由发包人为履行合同聘请的第三方依法参加工伤保险。</w:t>
      </w:r>
    </w:p>
    <w:p w14:paraId="6EB3DDFE">
      <w:pPr>
        <w:spacing w:line="360" w:lineRule="auto"/>
        <w:rPr>
          <w:rFonts w:ascii="宋体" w:hAnsi="宋体"/>
          <w:lang w:eastAsia="zh-CN"/>
        </w:rPr>
      </w:pPr>
      <w:r>
        <w:rPr>
          <w:rFonts w:ascii="宋体" w:hAnsi="宋体" w:hint="eastAsia"/>
          <w:lang w:eastAsia="zh-CN"/>
        </w:rPr>
        <w:t>18.2.2 承包人应依照法律规定参加工伤保险，并为其履行合同的全部员工办理工伤保险，缴纳工伤保险费，并要求分包人及由承包人为履行合同聘请的第三方依法参加工伤保险。</w:t>
      </w:r>
    </w:p>
    <w:p w14:paraId="475AD660">
      <w:pPr>
        <w:spacing w:line="360" w:lineRule="auto"/>
        <w:rPr>
          <w:rFonts w:ascii="宋体" w:hAnsi="宋体"/>
          <w:bCs/>
          <w:lang w:eastAsia="zh-CN"/>
        </w:rPr>
      </w:pPr>
      <w:bookmarkStart w:id="476" w:name="_Toc351203615"/>
      <w:bookmarkStart w:id="477" w:name="_Toc296346626"/>
      <w:bookmarkStart w:id="478" w:name="_Toc337558831"/>
      <w:bookmarkStart w:id="479" w:name="_Toc296503125"/>
      <w:r>
        <w:rPr>
          <w:rFonts w:ascii="宋体" w:hAnsi="宋体" w:hint="eastAsia"/>
          <w:bCs/>
          <w:lang w:eastAsia="zh-CN"/>
        </w:rPr>
        <w:t>18.3其他保险</w:t>
      </w:r>
      <w:bookmarkEnd w:id="476"/>
    </w:p>
    <w:bookmarkEnd w:id="477"/>
    <w:bookmarkEnd w:id="478"/>
    <w:bookmarkEnd w:id="479"/>
    <w:p w14:paraId="0B4098DF">
      <w:pPr>
        <w:spacing w:line="360" w:lineRule="auto"/>
        <w:rPr>
          <w:rFonts w:ascii="宋体" w:hAnsi="宋体"/>
          <w:lang w:eastAsia="zh-CN"/>
        </w:rPr>
      </w:pPr>
      <w:r>
        <w:rPr>
          <w:rFonts w:ascii="宋体" w:hAnsi="宋体" w:hint="eastAsia"/>
          <w:lang w:eastAsia="zh-CN"/>
        </w:rPr>
        <w:t>发包人和承包人可以为其施工现场的全部人员办理意外伤害保险并支付保险费，包括其员工及为履行合同聘请的第三方的人员，具体事项由合同当事人在专用合同条款约定。</w:t>
      </w:r>
    </w:p>
    <w:p w14:paraId="1F614357">
      <w:pPr>
        <w:spacing w:line="360" w:lineRule="auto"/>
        <w:rPr>
          <w:rFonts w:ascii="宋体" w:hAnsi="宋体"/>
          <w:lang w:eastAsia="zh-CN"/>
        </w:rPr>
      </w:pPr>
      <w:r>
        <w:rPr>
          <w:rFonts w:ascii="宋体" w:hAnsi="宋体" w:hint="eastAsia"/>
          <w:lang w:eastAsia="zh-CN"/>
        </w:rPr>
        <w:t>除专用合同条款另有约定外，承包人应为其施工设备等办理财产保险。</w:t>
      </w:r>
    </w:p>
    <w:p w14:paraId="4F72AF6A">
      <w:pPr>
        <w:spacing w:line="360" w:lineRule="auto"/>
        <w:rPr>
          <w:rFonts w:ascii="宋体" w:hAnsi="宋体"/>
          <w:bCs/>
          <w:lang w:eastAsia="zh-CN"/>
        </w:rPr>
      </w:pPr>
      <w:bookmarkStart w:id="480" w:name="_Toc351203616"/>
      <w:r>
        <w:rPr>
          <w:rFonts w:ascii="宋体" w:hAnsi="宋体" w:hint="eastAsia"/>
          <w:bCs/>
          <w:lang w:eastAsia="zh-CN"/>
        </w:rPr>
        <w:t>18.4持续保险</w:t>
      </w:r>
      <w:bookmarkEnd w:id="480"/>
    </w:p>
    <w:p w14:paraId="13F94E2B">
      <w:pPr>
        <w:spacing w:line="360" w:lineRule="auto"/>
        <w:rPr>
          <w:rFonts w:ascii="宋体" w:hAnsi="宋体"/>
          <w:lang w:eastAsia="zh-CN"/>
        </w:rPr>
      </w:pPr>
      <w:r>
        <w:rPr>
          <w:rFonts w:ascii="宋体" w:hAnsi="宋体" w:hint="eastAsia"/>
          <w:lang w:eastAsia="zh-CN"/>
        </w:rPr>
        <w:t>合同当事人应与保险人保持联系，使保险人能够随时了解工程实施中的变动，并确保按保险合同条款要求持续保险。</w:t>
      </w:r>
    </w:p>
    <w:p w14:paraId="6F62A063">
      <w:pPr>
        <w:spacing w:line="360" w:lineRule="auto"/>
        <w:rPr>
          <w:rFonts w:ascii="宋体" w:hAnsi="宋体"/>
          <w:bCs/>
          <w:lang w:eastAsia="zh-CN"/>
        </w:rPr>
      </w:pPr>
      <w:bookmarkStart w:id="481" w:name="_Toc351203617"/>
      <w:bookmarkStart w:id="482" w:name="_Toc296503126"/>
      <w:bookmarkStart w:id="483" w:name="_Toc296346627"/>
      <w:bookmarkStart w:id="484" w:name="_Toc337558832"/>
      <w:r>
        <w:rPr>
          <w:rFonts w:ascii="宋体" w:hAnsi="宋体" w:hint="eastAsia"/>
          <w:bCs/>
          <w:lang w:eastAsia="zh-CN"/>
        </w:rPr>
        <w:t>18.5 保险凭证</w:t>
      </w:r>
      <w:bookmarkEnd w:id="481"/>
    </w:p>
    <w:bookmarkEnd w:id="482"/>
    <w:bookmarkEnd w:id="483"/>
    <w:bookmarkEnd w:id="484"/>
    <w:p w14:paraId="3AB6EDBA">
      <w:pPr>
        <w:spacing w:line="360" w:lineRule="auto"/>
        <w:rPr>
          <w:rFonts w:ascii="宋体" w:hAnsi="宋体"/>
          <w:lang w:eastAsia="zh-CN"/>
        </w:rPr>
      </w:pPr>
      <w:r>
        <w:rPr>
          <w:rFonts w:ascii="宋体" w:hAnsi="宋体" w:hint="eastAsia"/>
          <w:lang w:eastAsia="zh-CN"/>
        </w:rPr>
        <w:t>合同当事人应及时向另一方当事人提交其已投保的各项保险的凭证和保险单复印件。</w:t>
      </w:r>
    </w:p>
    <w:p w14:paraId="20DAEC74">
      <w:pPr>
        <w:spacing w:line="360" w:lineRule="auto"/>
        <w:rPr>
          <w:rFonts w:ascii="宋体" w:hAnsi="宋体"/>
          <w:bCs/>
          <w:lang w:eastAsia="zh-CN"/>
        </w:rPr>
      </w:pPr>
      <w:bookmarkStart w:id="485" w:name="_Toc351203618"/>
      <w:bookmarkStart w:id="486" w:name="_Toc296503127"/>
      <w:bookmarkStart w:id="487" w:name="_Toc296346628"/>
      <w:bookmarkStart w:id="488" w:name="_Toc337558833"/>
      <w:r>
        <w:rPr>
          <w:rFonts w:ascii="宋体" w:hAnsi="宋体" w:hint="eastAsia"/>
          <w:bCs/>
          <w:lang w:eastAsia="zh-CN"/>
        </w:rPr>
        <w:t>18.6 未按约定投保的补救</w:t>
      </w:r>
      <w:bookmarkEnd w:id="485"/>
    </w:p>
    <w:bookmarkEnd w:id="486"/>
    <w:bookmarkEnd w:id="487"/>
    <w:bookmarkEnd w:id="488"/>
    <w:p w14:paraId="04993F34">
      <w:pPr>
        <w:spacing w:line="360" w:lineRule="auto"/>
        <w:rPr>
          <w:rFonts w:ascii="宋体" w:hAnsi="宋体"/>
          <w:lang w:eastAsia="zh-CN"/>
        </w:rPr>
      </w:pPr>
      <w:r>
        <w:rPr>
          <w:rFonts w:ascii="宋体" w:hAnsi="宋体" w:hint="eastAsia"/>
          <w:lang w:eastAsia="zh-CN"/>
        </w:rPr>
        <w:t>18.6.1发包人未按合同约定办理保险，或未能使保险持续有效的，则承包人可代为办理，所需费用由发包人承担。发包人未按合同约定办理保险，导致未能得到足额赔偿的，由发包人负责补足。</w:t>
      </w:r>
    </w:p>
    <w:p w14:paraId="12EFC603">
      <w:pPr>
        <w:spacing w:line="360" w:lineRule="auto"/>
        <w:rPr>
          <w:rFonts w:ascii="宋体" w:hAnsi="宋体"/>
          <w:lang w:eastAsia="zh-CN"/>
        </w:rPr>
      </w:pPr>
      <w:r>
        <w:rPr>
          <w:rFonts w:ascii="宋体" w:hAnsi="宋体" w:hint="eastAsia"/>
          <w:lang w:eastAsia="zh-CN"/>
        </w:rPr>
        <w:t>18.6.2承包人未按合同约定办理保险，或未能使保险持续有效的，则发包人可代为办理，所需费用由承包人承担。承包人未按合同约定办理保险，导致未能得到足额赔偿的，由承包人负责补足。</w:t>
      </w:r>
    </w:p>
    <w:p w14:paraId="32692B0C">
      <w:pPr>
        <w:spacing w:line="360" w:lineRule="auto"/>
        <w:rPr>
          <w:rFonts w:ascii="宋体" w:hAnsi="宋体"/>
          <w:bCs/>
          <w:lang w:eastAsia="zh-CN"/>
        </w:rPr>
      </w:pPr>
      <w:bookmarkStart w:id="489" w:name="_Toc351203619"/>
      <w:bookmarkStart w:id="490" w:name="_Toc337558834"/>
      <w:r>
        <w:rPr>
          <w:rFonts w:ascii="宋体" w:hAnsi="宋体" w:hint="eastAsia"/>
          <w:bCs/>
          <w:lang w:eastAsia="zh-CN"/>
        </w:rPr>
        <w:t>18.7 通知义务</w:t>
      </w:r>
      <w:bookmarkEnd w:id="489"/>
    </w:p>
    <w:bookmarkEnd w:id="490"/>
    <w:p w14:paraId="7827834D">
      <w:pPr>
        <w:spacing w:line="360" w:lineRule="auto"/>
        <w:rPr>
          <w:rFonts w:ascii="宋体" w:hAnsi="宋体"/>
          <w:lang w:eastAsia="zh-CN"/>
        </w:rPr>
      </w:pPr>
      <w:r>
        <w:rPr>
          <w:rFonts w:ascii="宋体" w:hAnsi="宋体" w:hint="eastAsia"/>
          <w:lang w:eastAsia="zh-CN"/>
        </w:rPr>
        <w:t>除专用合同条款另有约定外，发包人变更除工伤保险之外的保险合同时，应事先征得承包人同意，并通知监理人；承包人变更除工伤保险之外的保险合同时，应事先征得发包人同意，并通知监理人。</w:t>
      </w:r>
    </w:p>
    <w:p w14:paraId="53214C1A">
      <w:pPr>
        <w:spacing w:line="360" w:lineRule="auto"/>
        <w:rPr>
          <w:rFonts w:ascii="宋体" w:hAnsi="宋体"/>
          <w:lang w:eastAsia="zh-CN"/>
        </w:rPr>
      </w:pPr>
      <w:r>
        <w:rPr>
          <w:rFonts w:ascii="宋体" w:hAnsi="宋体" w:hint="eastAsia"/>
          <w:lang w:eastAsia="zh-CN"/>
        </w:rPr>
        <w:t>保险事故发生时，投保人应按照保险合同规定的条件和期限及时向保险人报告。发包人和承包人应当在知道保险事故发生后及时通知对方。</w:t>
      </w:r>
    </w:p>
    <w:p w14:paraId="6E7C3806">
      <w:pPr>
        <w:spacing w:line="360" w:lineRule="auto"/>
        <w:rPr>
          <w:rFonts w:ascii="宋体" w:hAnsi="宋体"/>
          <w:bCs/>
          <w:lang w:eastAsia="zh-CN"/>
        </w:rPr>
      </w:pPr>
      <w:bookmarkStart w:id="491" w:name="_Toc351203620"/>
      <w:bookmarkStart w:id="492" w:name="_Toc337558835"/>
      <w:bookmarkStart w:id="493" w:name="_Toc296503140"/>
      <w:bookmarkStart w:id="494" w:name="_Toc296346641"/>
      <w:r>
        <w:rPr>
          <w:rFonts w:ascii="宋体" w:hAnsi="宋体" w:hint="eastAsia"/>
          <w:bCs/>
          <w:lang w:eastAsia="zh-CN"/>
        </w:rPr>
        <w:t>19. 索赔</w:t>
      </w:r>
      <w:bookmarkEnd w:id="491"/>
    </w:p>
    <w:bookmarkEnd w:id="492"/>
    <w:bookmarkEnd w:id="493"/>
    <w:bookmarkEnd w:id="494"/>
    <w:p w14:paraId="5C775471">
      <w:pPr>
        <w:spacing w:line="360" w:lineRule="auto"/>
        <w:rPr>
          <w:rFonts w:ascii="宋体" w:hAnsi="宋体"/>
          <w:bCs/>
          <w:lang w:eastAsia="zh-CN"/>
        </w:rPr>
      </w:pPr>
      <w:bookmarkStart w:id="495" w:name="_Toc351203621"/>
      <w:bookmarkStart w:id="496" w:name="_Toc337558836"/>
      <w:bookmarkStart w:id="497" w:name="_Toc296346642"/>
      <w:bookmarkStart w:id="498" w:name="_Toc296503141"/>
      <w:r>
        <w:rPr>
          <w:rFonts w:ascii="宋体" w:hAnsi="宋体" w:hint="eastAsia"/>
          <w:bCs/>
          <w:lang w:eastAsia="zh-CN"/>
        </w:rPr>
        <w:t>19.1承包人的索赔</w:t>
      </w:r>
      <w:bookmarkEnd w:id="495"/>
    </w:p>
    <w:bookmarkEnd w:id="496"/>
    <w:bookmarkEnd w:id="497"/>
    <w:bookmarkEnd w:id="498"/>
    <w:p w14:paraId="2F5D21D8">
      <w:pPr>
        <w:spacing w:line="360" w:lineRule="auto"/>
        <w:rPr>
          <w:rFonts w:ascii="宋体" w:hAnsi="宋体"/>
          <w:lang w:eastAsia="zh-CN"/>
        </w:rPr>
      </w:pPr>
      <w:r>
        <w:rPr>
          <w:rFonts w:ascii="宋体" w:hAnsi="宋体" w:hint="eastAsia"/>
          <w:lang w:eastAsia="zh-CN"/>
        </w:rPr>
        <w:t>根据合同约定，承包人认为有权得到追加付款和（或）延长工期的，应按以下程序向发包人提出索赔：</w:t>
      </w:r>
    </w:p>
    <w:p w14:paraId="09B669F9">
      <w:pPr>
        <w:spacing w:line="360" w:lineRule="auto"/>
        <w:rPr>
          <w:rFonts w:ascii="宋体" w:hAnsi="宋体"/>
          <w:lang w:eastAsia="zh-CN"/>
        </w:rPr>
      </w:pPr>
      <w:r>
        <w:rPr>
          <w:rFonts w:ascii="宋体" w:hAnsi="宋体" w:hint="eastAsia"/>
          <w:lang w:eastAsia="zh-CN"/>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2FEBC07">
      <w:pPr>
        <w:spacing w:line="360" w:lineRule="auto"/>
        <w:rPr>
          <w:rFonts w:ascii="宋体" w:hAnsi="宋体"/>
          <w:lang w:eastAsia="zh-CN"/>
        </w:rPr>
      </w:pPr>
      <w:r>
        <w:rPr>
          <w:rFonts w:ascii="宋体" w:hAnsi="宋体" w:hint="eastAsia"/>
          <w:lang w:eastAsia="zh-CN"/>
        </w:rPr>
        <w:t>（2）承包人应在发出索赔意向通知书后28天内，向监理人正式递交索赔报告；索赔报告应详细说明索赔理由以及要求追加的付款金额和（或）延长的工期，并附必要的记录和证明材料；</w:t>
      </w:r>
    </w:p>
    <w:p w14:paraId="5A518907">
      <w:pPr>
        <w:spacing w:line="360" w:lineRule="auto"/>
        <w:rPr>
          <w:rFonts w:ascii="宋体" w:hAnsi="宋体"/>
          <w:lang w:eastAsia="zh-CN"/>
        </w:rPr>
      </w:pPr>
      <w:r>
        <w:rPr>
          <w:rFonts w:ascii="宋体" w:hAnsi="宋体" w:hint="eastAsia"/>
          <w:lang w:eastAsia="zh-CN"/>
        </w:rPr>
        <w:t>（3）索赔事件具有持续影响的，承包人应按合理时间间隔继续递交延续索赔通知，说明持续影响的实际情况和记录，列出累计的追加付款金额和（或）工期延长天数；</w:t>
      </w:r>
    </w:p>
    <w:p w14:paraId="664F1C2A">
      <w:pPr>
        <w:spacing w:line="360" w:lineRule="auto"/>
        <w:rPr>
          <w:rFonts w:ascii="宋体" w:hAnsi="宋体"/>
          <w:lang w:eastAsia="zh-CN"/>
        </w:rPr>
      </w:pPr>
      <w:r>
        <w:rPr>
          <w:rFonts w:ascii="宋体" w:hAnsi="宋体" w:hint="eastAsia"/>
          <w:lang w:eastAsia="zh-CN"/>
        </w:rPr>
        <w:t>（4）在索赔事件影响结束后28天内，承包人应向监理人递交最终索赔报告，说明最终要求索赔的追加付款金额和（或）延长的工期，并附必要的记录和证明材料。</w:t>
      </w:r>
    </w:p>
    <w:p w14:paraId="78690CA4">
      <w:pPr>
        <w:spacing w:line="360" w:lineRule="auto"/>
        <w:rPr>
          <w:rFonts w:ascii="宋体" w:hAnsi="宋体"/>
          <w:bCs/>
          <w:lang w:eastAsia="zh-CN"/>
        </w:rPr>
      </w:pPr>
      <w:bookmarkStart w:id="499" w:name="_Toc351203622"/>
      <w:bookmarkStart w:id="500" w:name="_Toc296346643"/>
      <w:bookmarkStart w:id="501" w:name="_Toc296503142"/>
      <w:bookmarkStart w:id="502" w:name="_Toc337558837"/>
      <w:r>
        <w:rPr>
          <w:rFonts w:ascii="宋体" w:hAnsi="宋体" w:hint="eastAsia"/>
          <w:bCs/>
          <w:lang w:eastAsia="zh-CN"/>
        </w:rPr>
        <w:t>19.2 对承包人索赔的处理</w:t>
      </w:r>
      <w:bookmarkEnd w:id="499"/>
    </w:p>
    <w:bookmarkEnd w:id="500"/>
    <w:bookmarkEnd w:id="501"/>
    <w:bookmarkEnd w:id="502"/>
    <w:p w14:paraId="30721231">
      <w:pPr>
        <w:spacing w:line="360" w:lineRule="auto"/>
        <w:rPr>
          <w:rFonts w:ascii="宋体" w:hAnsi="宋体"/>
          <w:lang w:eastAsia="zh-CN"/>
        </w:rPr>
      </w:pPr>
      <w:r>
        <w:rPr>
          <w:rFonts w:ascii="宋体" w:hAnsi="宋体" w:hint="eastAsia"/>
          <w:lang w:eastAsia="zh-CN"/>
        </w:rPr>
        <w:t>对承包人索赔的处理如下：</w:t>
      </w:r>
    </w:p>
    <w:p w14:paraId="33CF3859">
      <w:pPr>
        <w:spacing w:line="360" w:lineRule="auto"/>
        <w:rPr>
          <w:rFonts w:ascii="宋体" w:hAnsi="宋体"/>
          <w:lang w:eastAsia="zh-CN"/>
        </w:rPr>
      </w:pPr>
      <w:r>
        <w:rPr>
          <w:rFonts w:ascii="宋体" w:hAnsi="宋体" w:hint="eastAsia"/>
          <w:lang w:eastAsia="zh-CN"/>
        </w:rPr>
        <w:t>（1）监理人应在收到索赔报告后14天内完成审查并报送发包人。监理人对索赔报告存在异议的，有权要求承包人提交全部原始记录副本；</w:t>
      </w:r>
    </w:p>
    <w:p w14:paraId="3096A683">
      <w:pPr>
        <w:spacing w:line="360" w:lineRule="auto"/>
        <w:rPr>
          <w:rFonts w:ascii="宋体" w:hAnsi="宋体"/>
          <w:lang w:eastAsia="zh-CN"/>
        </w:rPr>
      </w:pPr>
      <w:r>
        <w:rPr>
          <w:rFonts w:ascii="宋体" w:hAnsi="宋体" w:hint="eastAsia"/>
          <w:lang w:eastAsia="zh-CN"/>
        </w:rPr>
        <w:t>（2）发包人应在监理人收到索赔报告或有关索赔的进一步证明材料后的28天内，由监理人向承包人出具经发包人签认的索赔处理结果。发包人逾期答复的，则视为认可承包人的索赔要求；</w:t>
      </w:r>
    </w:p>
    <w:p w14:paraId="227EBDD3">
      <w:pPr>
        <w:spacing w:line="360" w:lineRule="auto"/>
        <w:rPr>
          <w:rFonts w:ascii="宋体" w:hAnsi="宋体"/>
          <w:lang w:eastAsia="zh-CN"/>
        </w:rPr>
      </w:pPr>
      <w:r>
        <w:rPr>
          <w:rFonts w:ascii="宋体" w:hAnsi="宋体" w:hint="eastAsia"/>
          <w:lang w:eastAsia="zh-CN"/>
        </w:rPr>
        <w:t>（3）承包人接受索赔处理结果的，索赔款项在当期进度款中进行支付；承包人不接受索赔处理结果的，按照第20条〔争议解决〕约定处理。</w:t>
      </w:r>
    </w:p>
    <w:p w14:paraId="0164E358">
      <w:pPr>
        <w:spacing w:line="360" w:lineRule="auto"/>
        <w:rPr>
          <w:rFonts w:ascii="宋体" w:hAnsi="宋体"/>
          <w:bCs/>
          <w:lang w:eastAsia="zh-CN"/>
        </w:rPr>
      </w:pPr>
      <w:bookmarkStart w:id="503" w:name="_Toc351203623"/>
      <w:bookmarkStart w:id="504" w:name="_Toc296503143"/>
      <w:bookmarkStart w:id="505" w:name="_Toc296346644"/>
      <w:bookmarkStart w:id="506" w:name="_Toc337558838"/>
      <w:r>
        <w:rPr>
          <w:rFonts w:ascii="宋体" w:hAnsi="宋体" w:hint="eastAsia"/>
          <w:bCs/>
          <w:lang w:eastAsia="zh-CN"/>
        </w:rPr>
        <w:t>19.3发包人的索赔</w:t>
      </w:r>
      <w:bookmarkEnd w:id="503"/>
    </w:p>
    <w:bookmarkEnd w:id="504"/>
    <w:bookmarkEnd w:id="505"/>
    <w:bookmarkEnd w:id="506"/>
    <w:p w14:paraId="2356EE70">
      <w:pPr>
        <w:spacing w:line="360" w:lineRule="auto"/>
        <w:rPr>
          <w:rFonts w:ascii="宋体" w:hAnsi="宋体"/>
          <w:lang w:eastAsia="zh-CN"/>
        </w:rPr>
      </w:pPr>
      <w:r>
        <w:rPr>
          <w:rFonts w:ascii="宋体" w:hAnsi="宋体" w:hint="eastAsia"/>
          <w:lang w:eastAsia="zh-CN"/>
        </w:rPr>
        <w:t>根据合同约定，发包人认为有权得到赔付金额和（或）延长缺陷责任期的，监理人应向承包人发出通知并附有详细的证明。</w:t>
      </w:r>
    </w:p>
    <w:p w14:paraId="3837FED2">
      <w:pPr>
        <w:spacing w:line="360" w:lineRule="auto"/>
        <w:rPr>
          <w:rFonts w:ascii="宋体" w:hAnsi="宋体"/>
          <w:lang w:eastAsia="zh-CN"/>
        </w:rPr>
      </w:pPr>
      <w:r>
        <w:rPr>
          <w:rFonts w:ascii="宋体" w:hAnsi="宋体" w:hint="eastAsia"/>
          <w:lang w:eastAsia="zh-CN"/>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75646B3D">
      <w:pPr>
        <w:spacing w:line="360" w:lineRule="auto"/>
        <w:rPr>
          <w:rFonts w:ascii="宋体" w:hAnsi="宋体"/>
          <w:bCs/>
          <w:lang w:eastAsia="zh-CN"/>
        </w:rPr>
      </w:pPr>
      <w:bookmarkStart w:id="507" w:name="_Toc351203624"/>
      <w:bookmarkStart w:id="508" w:name="_Toc337558839"/>
      <w:bookmarkStart w:id="509" w:name="_Toc296346645"/>
      <w:bookmarkStart w:id="510" w:name="_Toc296503144"/>
      <w:r>
        <w:rPr>
          <w:rFonts w:ascii="宋体" w:hAnsi="宋体" w:hint="eastAsia"/>
          <w:bCs/>
          <w:lang w:eastAsia="zh-CN"/>
        </w:rPr>
        <w:t>19.4 对发包人索赔的处理</w:t>
      </w:r>
      <w:bookmarkEnd w:id="507"/>
    </w:p>
    <w:bookmarkEnd w:id="508"/>
    <w:bookmarkEnd w:id="509"/>
    <w:bookmarkEnd w:id="510"/>
    <w:p w14:paraId="681F9D6C">
      <w:pPr>
        <w:spacing w:line="360" w:lineRule="auto"/>
        <w:rPr>
          <w:rFonts w:ascii="宋体" w:hAnsi="宋体"/>
          <w:lang w:eastAsia="zh-CN"/>
        </w:rPr>
      </w:pPr>
      <w:r>
        <w:rPr>
          <w:rFonts w:ascii="宋体" w:hAnsi="宋体" w:hint="eastAsia"/>
          <w:lang w:eastAsia="zh-CN"/>
        </w:rPr>
        <w:t>对发包人索赔的处理如下：</w:t>
      </w:r>
    </w:p>
    <w:p w14:paraId="22915D5D">
      <w:pPr>
        <w:spacing w:line="360" w:lineRule="auto"/>
        <w:rPr>
          <w:rFonts w:ascii="宋体" w:hAnsi="宋体"/>
          <w:lang w:eastAsia="zh-CN"/>
        </w:rPr>
      </w:pPr>
      <w:r>
        <w:rPr>
          <w:rFonts w:ascii="宋体" w:hAnsi="宋体" w:hint="eastAsia"/>
          <w:lang w:eastAsia="zh-CN"/>
        </w:rPr>
        <w:t>（1）承包人收到发包人提交的索赔报告后，应及时审查索赔报告的内容、查验发包人证明材料；</w:t>
      </w:r>
    </w:p>
    <w:p w14:paraId="756DD40E">
      <w:pPr>
        <w:spacing w:line="360" w:lineRule="auto"/>
        <w:rPr>
          <w:rFonts w:ascii="宋体" w:hAnsi="宋体"/>
          <w:lang w:eastAsia="zh-CN"/>
        </w:rPr>
      </w:pPr>
      <w:r>
        <w:rPr>
          <w:rFonts w:ascii="宋体" w:hAnsi="宋体" w:hint="eastAsia"/>
          <w:lang w:eastAsia="zh-CN"/>
        </w:rPr>
        <w:t>（2）承包人应在收到索赔报告或有关索赔的进一步证明材料后28天内，将索赔处理结果答复发包人。如果承包人未在上述期限内作出答复的，则视为对发包人索赔要求的认可；</w:t>
      </w:r>
    </w:p>
    <w:p w14:paraId="34090595">
      <w:pPr>
        <w:spacing w:line="360" w:lineRule="auto"/>
        <w:rPr>
          <w:rFonts w:ascii="宋体" w:hAnsi="宋体"/>
          <w:lang w:eastAsia="zh-CN"/>
        </w:rPr>
      </w:pPr>
      <w:r>
        <w:rPr>
          <w:rFonts w:ascii="宋体" w:hAnsi="宋体" w:hint="eastAsia"/>
          <w:lang w:eastAsia="zh-CN"/>
        </w:rPr>
        <w:t>（3）承包人接受索赔处理结果的，发包人可从应支付给承包人的合同价款中扣除赔付的金额或延长缺陷责任期；发包人不接受索赔处理结果的，按第20条〔争议解决〕约定处理。</w:t>
      </w:r>
    </w:p>
    <w:p w14:paraId="4EE70737">
      <w:pPr>
        <w:spacing w:line="360" w:lineRule="auto"/>
        <w:rPr>
          <w:rFonts w:ascii="宋体" w:hAnsi="宋体"/>
          <w:bCs/>
          <w:lang w:eastAsia="zh-CN"/>
        </w:rPr>
      </w:pPr>
      <w:bookmarkStart w:id="511" w:name="_Toc351203625"/>
      <w:r>
        <w:rPr>
          <w:rFonts w:ascii="宋体" w:hAnsi="宋体" w:hint="eastAsia"/>
          <w:bCs/>
          <w:lang w:eastAsia="zh-CN"/>
        </w:rPr>
        <w:t>19.5 提出索赔的期限</w:t>
      </w:r>
      <w:bookmarkEnd w:id="511"/>
    </w:p>
    <w:p w14:paraId="77EADFA7">
      <w:pPr>
        <w:spacing w:line="360" w:lineRule="auto"/>
        <w:rPr>
          <w:rFonts w:ascii="宋体" w:hAnsi="宋体"/>
          <w:lang w:eastAsia="zh-CN"/>
        </w:rPr>
      </w:pPr>
      <w:r>
        <w:rPr>
          <w:rFonts w:ascii="宋体" w:hAnsi="宋体" w:hint="eastAsia"/>
          <w:lang w:eastAsia="zh-CN"/>
        </w:rPr>
        <w:t>（1）承包人按第14.2款〔竣工结算审核〕约定接收竣工付款证书后，应被视为已无权再提出在工程接收证书颁发前所发生的任何索赔。</w:t>
      </w:r>
    </w:p>
    <w:p w14:paraId="310E0790">
      <w:pPr>
        <w:spacing w:line="360" w:lineRule="auto"/>
        <w:rPr>
          <w:rFonts w:ascii="宋体" w:hAnsi="宋体"/>
          <w:lang w:eastAsia="zh-CN"/>
        </w:rPr>
      </w:pPr>
      <w:r>
        <w:rPr>
          <w:rFonts w:ascii="宋体" w:hAnsi="宋体" w:hint="eastAsia"/>
          <w:lang w:eastAsia="zh-CN"/>
        </w:rPr>
        <w:t>（2）承包人按第14.4款〔最终结清〕提交的最终结清申请单中，只限于提出工程接收证书颁发后发生的索赔。提出索赔的期限自接受最终结清证书时终止。</w:t>
      </w:r>
    </w:p>
    <w:p w14:paraId="07E75F24">
      <w:pPr>
        <w:spacing w:line="360" w:lineRule="auto"/>
        <w:rPr>
          <w:rFonts w:ascii="宋体" w:hAnsi="宋体"/>
          <w:bCs/>
          <w:lang w:eastAsia="zh-CN"/>
        </w:rPr>
      </w:pPr>
      <w:bookmarkStart w:id="512" w:name="_Toc351203626"/>
      <w:r>
        <w:rPr>
          <w:rFonts w:ascii="宋体" w:hAnsi="宋体" w:hint="eastAsia"/>
          <w:bCs/>
          <w:lang w:eastAsia="zh-CN"/>
        </w:rPr>
        <w:t>20</w:t>
      </w:r>
      <w:bookmarkStart w:id="513" w:name="_Toc337558840"/>
      <w:bookmarkStart w:id="514" w:name="_Toc296503146"/>
      <w:bookmarkStart w:id="515" w:name="_Toc296346647"/>
      <w:r>
        <w:rPr>
          <w:rFonts w:ascii="宋体" w:hAnsi="宋体" w:hint="eastAsia"/>
          <w:bCs/>
          <w:lang w:eastAsia="zh-CN"/>
        </w:rPr>
        <w:t>. 争议解决</w:t>
      </w:r>
      <w:bookmarkEnd w:id="512"/>
    </w:p>
    <w:bookmarkEnd w:id="513"/>
    <w:bookmarkEnd w:id="514"/>
    <w:bookmarkEnd w:id="515"/>
    <w:p w14:paraId="6F9034E3">
      <w:pPr>
        <w:spacing w:line="360" w:lineRule="auto"/>
        <w:rPr>
          <w:rFonts w:ascii="宋体" w:hAnsi="宋体"/>
          <w:bCs/>
          <w:lang w:eastAsia="zh-CN"/>
        </w:rPr>
      </w:pPr>
      <w:bookmarkStart w:id="516" w:name="_Toc351203627"/>
      <w:bookmarkStart w:id="517" w:name="_Toc296503147"/>
      <w:bookmarkStart w:id="518" w:name="_Toc337558841"/>
      <w:bookmarkStart w:id="519" w:name="_Toc296346648"/>
      <w:r>
        <w:rPr>
          <w:rFonts w:ascii="宋体" w:hAnsi="宋体" w:hint="eastAsia"/>
          <w:bCs/>
          <w:lang w:eastAsia="zh-CN"/>
        </w:rPr>
        <w:t>20.1和解</w:t>
      </w:r>
      <w:bookmarkEnd w:id="516"/>
    </w:p>
    <w:bookmarkEnd w:id="517"/>
    <w:bookmarkEnd w:id="518"/>
    <w:bookmarkEnd w:id="519"/>
    <w:p w14:paraId="349111B5">
      <w:pPr>
        <w:spacing w:line="360" w:lineRule="auto"/>
        <w:rPr>
          <w:rFonts w:ascii="宋体" w:hAnsi="宋体"/>
          <w:lang w:eastAsia="zh-CN"/>
        </w:rPr>
      </w:pPr>
      <w:r>
        <w:rPr>
          <w:rFonts w:ascii="宋体" w:hAnsi="宋体" w:hint="eastAsia"/>
          <w:lang w:eastAsia="zh-CN"/>
        </w:rPr>
        <w:t>合同当事人可以就争议自行和解，自行和解达成协议的经双方签字并盖章后作为合同补充文件，双方均应遵照执行。</w:t>
      </w:r>
    </w:p>
    <w:p w14:paraId="1303B93A">
      <w:pPr>
        <w:spacing w:line="360" w:lineRule="auto"/>
        <w:rPr>
          <w:rFonts w:ascii="宋体" w:hAnsi="宋体"/>
          <w:bCs/>
          <w:lang w:eastAsia="zh-CN"/>
        </w:rPr>
      </w:pPr>
      <w:bookmarkStart w:id="520" w:name="_Toc351203628"/>
      <w:r>
        <w:rPr>
          <w:rFonts w:ascii="宋体" w:hAnsi="宋体" w:hint="eastAsia"/>
          <w:bCs/>
          <w:lang w:eastAsia="zh-CN"/>
        </w:rPr>
        <w:t>20</w:t>
      </w:r>
      <w:bookmarkStart w:id="521" w:name="_Toc296503148"/>
      <w:bookmarkStart w:id="522" w:name="_Toc337558842"/>
      <w:bookmarkStart w:id="523" w:name="_Toc296346649"/>
      <w:r>
        <w:rPr>
          <w:rFonts w:ascii="宋体" w:hAnsi="宋体" w:hint="eastAsia"/>
          <w:bCs/>
          <w:lang w:eastAsia="zh-CN"/>
        </w:rPr>
        <w:t>.2调解</w:t>
      </w:r>
      <w:bookmarkEnd w:id="520"/>
    </w:p>
    <w:bookmarkEnd w:id="521"/>
    <w:bookmarkEnd w:id="522"/>
    <w:bookmarkEnd w:id="523"/>
    <w:p w14:paraId="09A5C795">
      <w:pPr>
        <w:spacing w:line="360" w:lineRule="auto"/>
        <w:rPr>
          <w:rFonts w:ascii="宋体" w:hAnsi="宋体"/>
          <w:lang w:eastAsia="zh-CN"/>
        </w:rPr>
      </w:pPr>
      <w:r>
        <w:rPr>
          <w:rFonts w:ascii="宋体" w:hAnsi="宋体" w:hint="eastAsia"/>
          <w:lang w:eastAsia="zh-CN"/>
        </w:rPr>
        <w:t>合同当事人可以就争议请求建设行政主管部门、行业协会或其他第三方进行调解，调解达成协议的，经双方签字并盖章后作为合同补充文件，双方均应遵照执行。</w:t>
      </w:r>
    </w:p>
    <w:p w14:paraId="06B58E4A">
      <w:pPr>
        <w:spacing w:line="360" w:lineRule="auto"/>
        <w:rPr>
          <w:rFonts w:ascii="宋体" w:hAnsi="宋体"/>
          <w:bCs/>
          <w:lang w:eastAsia="zh-CN"/>
        </w:rPr>
      </w:pPr>
      <w:bookmarkStart w:id="524" w:name="_Toc351203629"/>
      <w:bookmarkStart w:id="525" w:name="_Toc337558843"/>
      <w:bookmarkStart w:id="526" w:name="_Toc296346650"/>
      <w:bookmarkStart w:id="527" w:name="_Toc296503149"/>
      <w:r>
        <w:rPr>
          <w:rFonts w:ascii="宋体" w:hAnsi="宋体" w:hint="eastAsia"/>
          <w:bCs/>
          <w:lang w:eastAsia="zh-CN"/>
        </w:rPr>
        <w:t>20.3争议评审</w:t>
      </w:r>
      <w:bookmarkEnd w:id="524"/>
    </w:p>
    <w:bookmarkEnd w:id="525"/>
    <w:bookmarkEnd w:id="526"/>
    <w:bookmarkEnd w:id="527"/>
    <w:p w14:paraId="138D2F51">
      <w:pPr>
        <w:spacing w:line="360" w:lineRule="auto"/>
        <w:rPr>
          <w:rFonts w:ascii="宋体" w:hAnsi="宋体"/>
          <w:lang w:eastAsia="zh-CN"/>
        </w:rPr>
      </w:pPr>
      <w:r>
        <w:rPr>
          <w:rFonts w:ascii="宋体" w:hAnsi="宋体" w:hint="eastAsia"/>
          <w:lang w:eastAsia="zh-CN"/>
        </w:rPr>
        <w:t xml:space="preserve">合同当事人在专用合同条款中约定采取争议评审方式解决争议以及评审规则，并按下列约定执行： </w:t>
      </w:r>
    </w:p>
    <w:p w14:paraId="7FDE36A0">
      <w:pPr>
        <w:spacing w:line="360" w:lineRule="auto"/>
        <w:rPr>
          <w:rFonts w:ascii="宋体" w:hAnsi="宋体"/>
          <w:lang w:eastAsia="zh-CN"/>
        </w:rPr>
      </w:pPr>
      <w:r>
        <w:rPr>
          <w:rFonts w:ascii="宋体" w:hAnsi="宋体" w:hint="eastAsia"/>
          <w:lang w:eastAsia="zh-CN"/>
        </w:rPr>
        <w:t>20.3.1 争议评审小组的确定</w:t>
      </w:r>
    </w:p>
    <w:p w14:paraId="0F0C8535">
      <w:pPr>
        <w:spacing w:line="360" w:lineRule="auto"/>
        <w:rPr>
          <w:rFonts w:ascii="宋体" w:hAnsi="宋体"/>
          <w:lang w:eastAsia="zh-CN"/>
        </w:rPr>
      </w:pPr>
      <w:r>
        <w:rPr>
          <w:rFonts w:ascii="宋体" w:hAnsi="宋体" w:hint="eastAsia"/>
          <w:lang w:eastAsia="zh-CN"/>
        </w:rPr>
        <w:t>合同当事人可以共同选择一名或三名争议评审员，组成争议评审小组。除专用合同条款另有约定外，合同当事人应当自合同签订后28天内，或者争议发生后14天内，选定争议评审员。</w:t>
      </w:r>
    </w:p>
    <w:p w14:paraId="5AF09C35">
      <w:pPr>
        <w:spacing w:line="360" w:lineRule="auto"/>
        <w:rPr>
          <w:rFonts w:ascii="宋体" w:hAnsi="宋体"/>
          <w:lang w:eastAsia="zh-CN"/>
        </w:rPr>
      </w:pPr>
      <w:r>
        <w:rPr>
          <w:rFonts w:ascii="宋体" w:hAnsi="宋体" w:hint="eastAsia"/>
          <w:lang w:eastAsia="zh-CN"/>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418E234E">
      <w:pPr>
        <w:spacing w:line="360" w:lineRule="auto"/>
        <w:rPr>
          <w:rFonts w:ascii="宋体" w:hAnsi="宋体"/>
          <w:lang w:eastAsia="zh-CN"/>
        </w:rPr>
      </w:pPr>
      <w:r>
        <w:rPr>
          <w:rFonts w:ascii="宋体" w:hAnsi="宋体" w:hint="eastAsia"/>
          <w:lang w:eastAsia="zh-CN"/>
        </w:rPr>
        <w:t>除专用合同条款另有约定外，评审员报酬由发包人和承包人各承担一半。</w:t>
      </w:r>
    </w:p>
    <w:p w14:paraId="1724F0AB">
      <w:pPr>
        <w:spacing w:line="360" w:lineRule="auto"/>
        <w:rPr>
          <w:rFonts w:ascii="宋体" w:hAnsi="宋体"/>
          <w:lang w:eastAsia="zh-CN"/>
        </w:rPr>
      </w:pPr>
      <w:r>
        <w:rPr>
          <w:rFonts w:ascii="宋体" w:hAnsi="宋体" w:hint="eastAsia"/>
          <w:lang w:eastAsia="zh-CN"/>
        </w:rPr>
        <w:t>20.3.2 争议评审小组的决定</w:t>
      </w:r>
    </w:p>
    <w:p w14:paraId="1B4A4D5A">
      <w:pPr>
        <w:spacing w:line="360" w:lineRule="auto"/>
        <w:rPr>
          <w:rFonts w:ascii="宋体" w:hAnsi="宋体"/>
          <w:lang w:eastAsia="zh-CN"/>
        </w:rPr>
      </w:pPr>
      <w:r>
        <w:rPr>
          <w:rFonts w:ascii="宋体" w:hAnsi="宋体" w:hint="eastAsia"/>
          <w:lang w:eastAsia="zh-CN"/>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39E8771F">
      <w:pPr>
        <w:spacing w:line="360" w:lineRule="auto"/>
        <w:rPr>
          <w:rFonts w:ascii="宋体" w:hAnsi="宋体"/>
          <w:lang w:eastAsia="zh-CN"/>
        </w:rPr>
      </w:pPr>
      <w:r>
        <w:rPr>
          <w:rFonts w:ascii="宋体" w:hAnsi="宋体" w:hint="eastAsia"/>
          <w:lang w:eastAsia="zh-CN"/>
        </w:rPr>
        <w:t>20.3.3 争议评审小组决定的效力</w:t>
      </w:r>
    </w:p>
    <w:p w14:paraId="4D9FCE8A">
      <w:pPr>
        <w:spacing w:line="360" w:lineRule="auto"/>
        <w:rPr>
          <w:rFonts w:ascii="宋体" w:hAnsi="宋体"/>
          <w:lang w:eastAsia="zh-CN"/>
        </w:rPr>
      </w:pPr>
      <w:r>
        <w:rPr>
          <w:rFonts w:ascii="宋体" w:hAnsi="宋体" w:hint="eastAsia"/>
          <w:lang w:eastAsia="zh-CN"/>
        </w:rPr>
        <w:t>争议评审小组作出的书面决定经合同当事人签字确认后，对双方具有约束力，双方应遵照执行。</w:t>
      </w:r>
    </w:p>
    <w:p w14:paraId="10CD1227">
      <w:pPr>
        <w:spacing w:line="360" w:lineRule="auto"/>
        <w:rPr>
          <w:rFonts w:ascii="宋体" w:hAnsi="宋体"/>
          <w:lang w:eastAsia="zh-CN"/>
        </w:rPr>
      </w:pPr>
      <w:r>
        <w:rPr>
          <w:rFonts w:ascii="宋体" w:hAnsi="宋体" w:hint="eastAsia"/>
          <w:lang w:eastAsia="zh-CN"/>
        </w:rPr>
        <w:t>任何一方当事人不接受争议评审小组决定或不履行争议评审小组决定的，双方可选择采用其他争议解决方式。</w:t>
      </w:r>
    </w:p>
    <w:p w14:paraId="15754C98">
      <w:pPr>
        <w:spacing w:line="360" w:lineRule="auto"/>
        <w:rPr>
          <w:rFonts w:ascii="宋体" w:hAnsi="宋体"/>
          <w:bCs/>
          <w:lang w:eastAsia="zh-CN"/>
        </w:rPr>
      </w:pPr>
      <w:bookmarkStart w:id="528" w:name="_Toc351203630"/>
      <w:bookmarkStart w:id="529" w:name="_Toc337558844"/>
      <w:bookmarkStart w:id="530" w:name="_Toc296346651"/>
      <w:bookmarkStart w:id="531" w:name="_Toc296503150"/>
      <w:r>
        <w:rPr>
          <w:rFonts w:ascii="宋体" w:hAnsi="宋体" w:hint="eastAsia"/>
          <w:bCs/>
          <w:lang w:eastAsia="zh-CN"/>
        </w:rPr>
        <w:t>20.4仲裁或诉讼</w:t>
      </w:r>
      <w:bookmarkEnd w:id="528"/>
    </w:p>
    <w:bookmarkEnd w:id="529"/>
    <w:bookmarkEnd w:id="530"/>
    <w:bookmarkEnd w:id="531"/>
    <w:p w14:paraId="0398CD4C">
      <w:pPr>
        <w:spacing w:line="360" w:lineRule="auto"/>
        <w:rPr>
          <w:rFonts w:ascii="宋体" w:hAnsi="宋体"/>
          <w:lang w:eastAsia="zh-CN"/>
        </w:rPr>
      </w:pPr>
      <w:r>
        <w:rPr>
          <w:rFonts w:ascii="宋体" w:hAnsi="宋体" w:hint="eastAsia"/>
          <w:lang w:eastAsia="zh-CN"/>
        </w:rPr>
        <w:t>因合同及合同有关事项产生的争议，合同当事人可以在专用合同条款中约定以下一种方式解决争议：</w:t>
      </w:r>
    </w:p>
    <w:p w14:paraId="292546EF">
      <w:pPr>
        <w:spacing w:line="360" w:lineRule="auto"/>
        <w:rPr>
          <w:rFonts w:ascii="宋体" w:hAnsi="宋体"/>
          <w:lang w:eastAsia="zh-CN"/>
        </w:rPr>
      </w:pPr>
      <w:r>
        <w:rPr>
          <w:rFonts w:ascii="宋体" w:hAnsi="宋体" w:hint="eastAsia"/>
          <w:lang w:eastAsia="zh-CN"/>
        </w:rPr>
        <w:t>（1）向约定的仲裁委员会申请仲裁；</w:t>
      </w:r>
    </w:p>
    <w:p w14:paraId="336E5B78">
      <w:pPr>
        <w:spacing w:line="360" w:lineRule="auto"/>
        <w:rPr>
          <w:rFonts w:ascii="宋体" w:hAnsi="宋体"/>
          <w:lang w:eastAsia="zh-CN"/>
        </w:rPr>
      </w:pPr>
      <w:r>
        <w:rPr>
          <w:rFonts w:ascii="宋体" w:hAnsi="宋体" w:hint="eastAsia"/>
          <w:lang w:eastAsia="zh-CN"/>
        </w:rPr>
        <w:t>（2）向有管辖权的人民法院起诉。</w:t>
      </w:r>
    </w:p>
    <w:p w14:paraId="0549F0A3">
      <w:pPr>
        <w:spacing w:line="360" w:lineRule="auto"/>
        <w:rPr>
          <w:rFonts w:ascii="宋体" w:hAnsi="宋体"/>
          <w:bCs/>
          <w:lang w:eastAsia="zh-CN"/>
        </w:rPr>
      </w:pPr>
      <w:bookmarkStart w:id="532" w:name="_Toc351203631"/>
      <w:bookmarkStart w:id="533" w:name="_Toc337558845"/>
      <w:bookmarkStart w:id="534" w:name="_Toc296503152"/>
      <w:bookmarkStart w:id="535" w:name="_Toc296346653"/>
      <w:r>
        <w:rPr>
          <w:rFonts w:ascii="宋体" w:hAnsi="宋体" w:hint="eastAsia"/>
          <w:bCs/>
          <w:lang w:eastAsia="zh-CN"/>
        </w:rPr>
        <w:t>20.5争议解决条款效力</w:t>
      </w:r>
      <w:bookmarkEnd w:id="532"/>
    </w:p>
    <w:bookmarkEnd w:id="533"/>
    <w:bookmarkEnd w:id="534"/>
    <w:bookmarkEnd w:id="535"/>
    <w:p w14:paraId="77C10650">
      <w:pPr>
        <w:spacing w:line="360" w:lineRule="auto"/>
        <w:rPr>
          <w:rFonts w:ascii="宋体" w:hAnsi="宋体"/>
          <w:lang w:eastAsia="zh-CN"/>
        </w:rPr>
      </w:pPr>
      <w:r>
        <w:rPr>
          <w:rFonts w:ascii="宋体" w:hAnsi="宋体" w:hint="eastAsia"/>
          <w:lang w:eastAsia="zh-CN"/>
        </w:rPr>
        <w:t>合同有关争议解决的条款独立存在，合同的变更、解除、终止、无效或者被撤销均不影响其效力。</w:t>
      </w:r>
    </w:p>
    <w:p w14:paraId="04E6E48A">
      <w:pPr>
        <w:spacing w:line="360" w:lineRule="auto"/>
        <w:rPr>
          <w:rFonts w:ascii="宋体" w:hAnsi="宋体"/>
          <w:lang w:eastAsia="zh-CN"/>
        </w:rPr>
      </w:pPr>
    </w:p>
    <w:p w14:paraId="32E78516">
      <w:pPr>
        <w:rPr>
          <w:rFonts w:ascii="宋体" w:hAnsi="宋体"/>
          <w:lang w:eastAsia="zh-CN"/>
        </w:rPr>
      </w:pPr>
      <w:r>
        <w:rPr>
          <w:rFonts w:ascii="宋体" w:hAnsi="宋体" w:hint="eastAsia"/>
          <w:lang w:eastAsia="zh-CN"/>
        </w:rPr>
        <w:br w:type="page"/>
      </w:r>
    </w:p>
    <w:p w14:paraId="43BEBA31">
      <w:pPr>
        <w:pStyle w:val="Heading2"/>
        <w:spacing w:line="36" w:lineRule="auto"/>
        <w:jc w:val="center"/>
        <w:rPr>
          <w:rFonts w:ascii="宋体" w:hAnsi="宋体"/>
          <w:sz w:val="32"/>
        </w:rPr>
      </w:pPr>
      <w:bookmarkStart w:id="536" w:name="_Toc256000084"/>
      <w:r>
        <w:rPr>
          <w:rFonts w:ascii="宋体" w:hAnsi="宋体" w:hint="eastAsia"/>
          <w:sz w:val="32"/>
        </w:rPr>
        <w:t>第三部分 专用合同条款</w:t>
      </w:r>
      <w:bookmarkEnd w:id="536"/>
    </w:p>
    <w:p w14:paraId="607A3914">
      <w:pPr>
        <w:spacing w:line="360" w:lineRule="auto"/>
        <w:rPr>
          <w:rFonts w:ascii="宋体" w:hAnsi="宋体"/>
          <w:bCs/>
          <w:lang w:eastAsia="zh-CN"/>
        </w:rPr>
      </w:pPr>
      <w:bookmarkStart w:id="537" w:name="_Toc351203633"/>
      <w:r>
        <w:rPr>
          <w:rFonts w:ascii="宋体" w:hAnsi="宋体" w:hint="eastAsia"/>
          <w:bCs/>
          <w:lang w:eastAsia="zh-CN"/>
        </w:rPr>
        <w:t>1</w:t>
      </w:r>
      <w:bookmarkStart w:id="538" w:name="_Toc296944495"/>
      <w:bookmarkStart w:id="539" w:name="_Toc296346657"/>
      <w:bookmarkStart w:id="540" w:name="_Toc297120456"/>
      <w:bookmarkStart w:id="541" w:name="_Toc296890984"/>
      <w:bookmarkStart w:id="542" w:name="_Toc292559361"/>
      <w:bookmarkStart w:id="543" w:name="_Toc297048342"/>
      <w:bookmarkStart w:id="544" w:name="_Toc296347155"/>
      <w:bookmarkStart w:id="545" w:name="_Toc296503156"/>
      <w:bookmarkStart w:id="546" w:name="_Toc292559866"/>
      <w:bookmarkStart w:id="547" w:name="_Toc296891196"/>
      <w:r>
        <w:rPr>
          <w:rFonts w:ascii="宋体" w:hAnsi="宋体" w:hint="eastAsia"/>
          <w:bCs/>
          <w:lang w:eastAsia="zh-CN"/>
        </w:rPr>
        <w:t>. 一般约定</w:t>
      </w:r>
      <w:bookmarkEnd w:id="537"/>
    </w:p>
    <w:bookmarkEnd w:id="538"/>
    <w:bookmarkEnd w:id="539"/>
    <w:bookmarkEnd w:id="540"/>
    <w:bookmarkEnd w:id="541"/>
    <w:bookmarkEnd w:id="542"/>
    <w:bookmarkEnd w:id="543"/>
    <w:bookmarkEnd w:id="544"/>
    <w:bookmarkEnd w:id="545"/>
    <w:bookmarkEnd w:id="546"/>
    <w:bookmarkEnd w:id="547"/>
    <w:p w14:paraId="3F086949">
      <w:pPr>
        <w:spacing w:line="360" w:lineRule="auto"/>
        <w:rPr>
          <w:rFonts w:ascii="宋体" w:hAnsi="宋体"/>
          <w:lang w:eastAsia="zh-CN"/>
        </w:rPr>
      </w:pPr>
      <w:r>
        <w:rPr>
          <w:rFonts w:ascii="宋体" w:hAnsi="宋体" w:hint="eastAsia"/>
          <w:lang w:eastAsia="zh-CN"/>
        </w:rPr>
        <w:t>1.1 词语定义</w:t>
      </w:r>
    </w:p>
    <w:p w14:paraId="6FEE611B">
      <w:pPr>
        <w:spacing w:line="360" w:lineRule="auto"/>
        <w:rPr>
          <w:rFonts w:ascii="宋体" w:hAnsi="宋体"/>
          <w:lang w:eastAsia="zh-CN"/>
        </w:rPr>
      </w:pPr>
      <w:r>
        <w:rPr>
          <w:rFonts w:ascii="宋体" w:hAnsi="宋体" w:hint="eastAsia"/>
          <w:lang w:eastAsia="zh-CN"/>
        </w:rPr>
        <w:t>1.1.1合同</w:t>
      </w:r>
    </w:p>
    <w:p w14:paraId="361BC199">
      <w:pPr>
        <w:spacing w:line="360" w:lineRule="auto"/>
        <w:rPr>
          <w:rFonts w:ascii="宋体" w:hAnsi="宋体" w:hint="eastAsia"/>
          <w:color w:val="00B0F0"/>
          <w:u w:val="single"/>
        </w:rPr>
      </w:pPr>
      <w:r>
        <w:rPr>
          <w:rFonts w:ascii="宋体" w:hAnsi="宋体" w:hint="eastAsia"/>
          <w:lang w:eastAsia="zh-CN"/>
        </w:rPr>
        <w:t>1.1.1.10其他合同文件包括：</w:t>
      </w:r>
      <w:r>
        <w:rPr>
          <w:rFonts w:ascii="宋体" w:hAnsi="宋体"/>
          <w:color w:val="00B0F0"/>
          <w:u w:val="single"/>
        </w:rPr>
        <w:sym w:font="宋体" w:char="F5E5"/>
      </w:r>
      <w:r>
        <w:rPr>
          <w:rFonts w:ascii="宋体" w:hAnsi="宋体" w:hint="eastAsia"/>
          <w:color w:val="00B0F0"/>
          <w:u w:val="single"/>
        </w:rPr>
        <w:t>(1)投标文件；(2)标准、规范及有关技术文件；</w:t>
      </w:r>
    </w:p>
    <w:p w14:paraId="3C33869B">
      <w:pPr>
        <w:spacing w:line="360" w:lineRule="auto"/>
        <w:rPr>
          <w:rFonts w:ascii="宋体" w:hAnsi="宋体"/>
          <w:lang w:eastAsia="zh-CN"/>
        </w:rPr>
      </w:pPr>
      <w:r>
        <w:rPr>
          <w:rFonts w:ascii="宋体" w:hAnsi="宋体" w:hint="eastAsia"/>
          <w:color w:val="00B0F0"/>
          <w:u w:val="single"/>
        </w:rPr>
        <w:t xml:space="preserve">(3)补充合同(如果有) </w:t>
      </w:r>
      <w:r>
        <w:rPr>
          <w:rFonts w:ascii="宋体" w:hAnsi="宋体" w:hint="eastAsia"/>
          <w:color w:val="00B0F0"/>
          <w:u w:val="single"/>
          <w:lang w:eastAsia="zh-CN"/>
        </w:rPr>
        <w:t xml:space="preserve">    </w:t>
      </w:r>
      <w:r>
        <w:rPr>
          <w:rFonts w:ascii="宋体" w:hAnsi="宋体" w:hint="eastAsia"/>
          <w:lang w:eastAsia="zh-CN"/>
        </w:rPr>
        <w:t>。</w:t>
      </w:r>
    </w:p>
    <w:p w14:paraId="1F0A162D">
      <w:pPr>
        <w:spacing w:line="360" w:lineRule="auto"/>
        <w:rPr>
          <w:rFonts w:ascii="宋体" w:hAnsi="宋体"/>
          <w:lang w:eastAsia="zh-CN"/>
        </w:rPr>
      </w:pPr>
      <w:r>
        <w:rPr>
          <w:rFonts w:ascii="宋体" w:hAnsi="宋体" w:hint="eastAsia"/>
          <w:lang w:eastAsia="zh-CN"/>
        </w:rPr>
        <w:t>1.1.2 合同当事人及其他相关方</w:t>
      </w:r>
    </w:p>
    <w:p w14:paraId="652F7E9B">
      <w:pPr>
        <w:spacing w:line="360" w:lineRule="auto"/>
        <w:rPr>
          <w:rFonts w:ascii="宋体" w:hAnsi="宋体"/>
          <w:lang w:eastAsia="zh-CN"/>
        </w:rPr>
      </w:pPr>
      <w:r>
        <w:rPr>
          <w:rFonts w:ascii="宋体" w:hAnsi="宋体" w:hint="eastAsia"/>
          <w:lang w:eastAsia="zh-CN"/>
        </w:rPr>
        <w:t>1.1.2.4监理人：</w:t>
      </w:r>
    </w:p>
    <w:p w14:paraId="627F6F42">
      <w:pPr>
        <w:spacing w:line="360" w:lineRule="auto"/>
        <w:rPr>
          <w:rFonts w:ascii="宋体" w:hAnsi="宋体"/>
          <w:lang w:eastAsia="zh-CN"/>
        </w:rPr>
      </w:pPr>
      <w:r>
        <w:rPr>
          <w:rFonts w:ascii="宋体" w:hAnsi="宋体" w:hint="eastAsia"/>
          <w:lang w:eastAsia="zh-CN"/>
        </w:rPr>
        <w:t>名    称：</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   </w:t>
      </w:r>
      <w:r>
        <w:rPr>
          <w:rFonts w:ascii="宋体" w:hAnsi="宋体" w:hint="eastAsia"/>
          <w:lang w:eastAsia="zh-CN"/>
        </w:rPr>
        <w:t>；</w:t>
      </w:r>
    </w:p>
    <w:p w14:paraId="3D693A19">
      <w:pPr>
        <w:spacing w:line="360" w:lineRule="auto"/>
        <w:rPr>
          <w:rFonts w:ascii="宋体" w:hAnsi="宋体"/>
          <w:lang w:eastAsia="zh-CN"/>
        </w:rPr>
      </w:pPr>
      <w:r>
        <w:rPr>
          <w:rFonts w:ascii="宋体" w:hAnsi="宋体" w:hint="eastAsia"/>
          <w:lang w:eastAsia="zh-CN"/>
        </w:rPr>
        <w:t>资质类别和等级：</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w:t>
      </w:r>
    </w:p>
    <w:p w14:paraId="7410DEDB">
      <w:pPr>
        <w:spacing w:line="360" w:lineRule="auto"/>
        <w:rPr>
          <w:rFonts w:ascii="宋体" w:hAnsi="宋体"/>
          <w:lang w:eastAsia="zh-CN"/>
        </w:rPr>
      </w:pPr>
      <w:r>
        <w:rPr>
          <w:rFonts w:ascii="宋体" w:hAnsi="宋体" w:hint="eastAsia"/>
          <w:lang w:eastAsia="zh-CN"/>
        </w:rPr>
        <w:t>联系电话：</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w:t>
      </w:r>
    </w:p>
    <w:p w14:paraId="1092E172">
      <w:pPr>
        <w:spacing w:line="360" w:lineRule="auto"/>
        <w:rPr>
          <w:rFonts w:ascii="宋体" w:hAnsi="宋体"/>
          <w:lang w:eastAsia="zh-CN"/>
        </w:rPr>
      </w:pPr>
      <w:r>
        <w:rPr>
          <w:rFonts w:ascii="宋体" w:hAnsi="宋体" w:hint="eastAsia"/>
          <w:lang w:eastAsia="zh-CN"/>
        </w:rPr>
        <w:t>电子信箱：</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w:t>
      </w:r>
    </w:p>
    <w:p w14:paraId="39CE9956">
      <w:pPr>
        <w:spacing w:line="360" w:lineRule="auto"/>
        <w:rPr>
          <w:rFonts w:ascii="宋体" w:hAnsi="宋体"/>
          <w:lang w:eastAsia="zh-CN"/>
        </w:rPr>
      </w:pPr>
      <w:r>
        <w:rPr>
          <w:rFonts w:ascii="宋体" w:hAnsi="宋体" w:hint="eastAsia"/>
          <w:lang w:eastAsia="zh-CN"/>
        </w:rPr>
        <w:t>通信地址：</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w:t>
      </w:r>
    </w:p>
    <w:p w14:paraId="058BE654">
      <w:pPr>
        <w:spacing w:line="360" w:lineRule="auto"/>
        <w:rPr>
          <w:rFonts w:ascii="宋体" w:hAnsi="宋体"/>
          <w:lang w:eastAsia="zh-CN"/>
        </w:rPr>
      </w:pPr>
      <w:r>
        <w:rPr>
          <w:rFonts w:ascii="宋体" w:hAnsi="宋体" w:hint="eastAsia"/>
          <w:lang w:eastAsia="zh-CN"/>
        </w:rPr>
        <w:t>1.1.2.5 设计人：</w:t>
      </w:r>
    </w:p>
    <w:p w14:paraId="7239DEE3">
      <w:pPr>
        <w:spacing w:line="360" w:lineRule="auto"/>
        <w:rPr>
          <w:rFonts w:ascii="宋体" w:hAnsi="宋体"/>
          <w:lang w:eastAsia="zh-CN"/>
        </w:rPr>
      </w:pPr>
      <w:r>
        <w:rPr>
          <w:rFonts w:ascii="宋体" w:hAnsi="宋体" w:hint="eastAsia"/>
          <w:lang w:eastAsia="zh-CN"/>
        </w:rPr>
        <w:t>名    称：</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w:t>
      </w:r>
    </w:p>
    <w:p w14:paraId="02CF8F4E">
      <w:pPr>
        <w:spacing w:line="360" w:lineRule="auto"/>
        <w:rPr>
          <w:rFonts w:ascii="宋体" w:hAnsi="宋体"/>
          <w:lang w:eastAsia="zh-CN"/>
        </w:rPr>
      </w:pPr>
      <w:r>
        <w:rPr>
          <w:rFonts w:ascii="宋体" w:hAnsi="宋体" w:hint="eastAsia"/>
          <w:lang w:eastAsia="zh-CN"/>
        </w:rPr>
        <w:t>资质类别和等级：</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w:t>
      </w:r>
    </w:p>
    <w:p w14:paraId="031C65D3">
      <w:pPr>
        <w:spacing w:line="360" w:lineRule="auto"/>
        <w:rPr>
          <w:rFonts w:ascii="宋体" w:hAnsi="宋体"/>
          <w:lang w:eastAsia="zh-CN"/>
        </w:rPr>
      </w:pPr>
      <w:r>
        <w:rPr>
          <w:rFonts w:ascii="宋体" w:hAnsi="宋体" w:hint="eastAsia"/>
          <w:lang w:eastAsia="zh-CN"/>
        </w:rPr>
        <w:t>联系电话：</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w:t>
      </w:r>
    </w:p>
    <w:p w14:paraId="54433F18">
      <w:pPr>
        <w:spacing w:line="360" w:lineRule="auto"/>
        <w:rPr>
          <w:rFonts w:ascii="宋体" w:hAnsi="宋体"/>
          <w:lang w:eastAsia="zh-CN"/>
        </w:rPr>
      </w:pPr>
      <w:r>
        <w:rPr>
          <w:rFonts w:ascii="宋体" w:hAnsi="宋体" w:hint="eastAsia"/>
          <w:lang w:eastAsia="zh-CN"/>
        </w:rPr>
        <w:t>电子信箱：</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w:t>
      </w:r>
    </w:p>
    <w:p w14:paraId="16699AAF">
      <w:pPr>
        <w:spacing w:line="360" w:lineRule="auto"/>
        <w:rPr>
          <w:rFonts w:ascii="宋体" w:hAnsi="宋体"/>
          <w:lang w:eastAsia="zh-CN"/>
        </w:rPr>
      </w:pPr>
      <w:r>
        <w:rPr>
          <w:rFonts w:ascii="宋体" w:hAnsi="宋体" w:hint="eastAsia"/>
          <w:lang w:eastAsia="zh-CN"/>
        </w:rPr>
        <w:t>通信地址：</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w:t>
      </w:r>
    </w:p>
    <w:p w14:paraId="40D77253">
      <w:pPr>
        <w:spacing w:line="360" w:lineRule="auto"/>
        <w:rPr>
          <w:rFonts w:ascii="宋体" w:hAnsi="宋体"/>
          <w:lang w:eastAsia="zh-CN"/>
        </w:rPr>
      </w:pPr>
      <w:r>
        <w:rPr>
          <w:rFonts w:ascii="宋体" w:hAnsi="宋体" w:hint="eastAsia"/>
          <w:lang w:eastAsia="zh-CN"/>
        </w:rPr>
        <w:t>1.1.3 工程和设备</w:t>
      </w:r>
    </w:p>
    <w:p w14:paraId="67A29315">
      <w:pPr>
        <w:spacing w:line="360" w:lineRule="auto"/>
        <w:rPr>
          <w:rFonts w:ascii="宋体" w:hAnsi="宋体"/>
          <w:lang w:eastAsia="zh-CN"/>
        </w:rPr>
      </w:pPr>
      <w:r>
        <w:rPr>
          <w:rFonts w:ascii="宋体" w:hAnsi="宋体" w:hint="eastAsia"/>
          <w:lang w:eastAsia="zh-CN"/>
        </w:rPr>
        <w:t>1.1.3.7 作为施工现场组成部分的其他场所包括：</w:t>
      </w:r>
      <w:r>
        <w:rPr>
          <w:rFonts w:ascii="宋体" w:hAnsi="宋体"/>
          <w:color w:val="00B0F0"/>
          <w:u w:val="single"/>
        </w:rPr>
        <w:sym w:font="宋体" w:char="F5E5"/>
      </w:r>
      <w:r>
        <w:rPr>
          <w:rFonts w:ascii="宋体" w:hAnsi="宋体" w:hint="eastAsia"/>
          <w:color w:val="00B0F0"/>
          <w:u w:val="single"/>
        </w:rPr>
        <w:t xml:space="preserve">/ </w:t>
      </w:r>
      <w:r>
        <w:rPr>
          <w:rFonts w:ascii="宋体" w:hAnsi="宋体"/>
          <w:color w:val="00B0F0"/>
          <w:u w:val="single"/>
        </w:rPr>
        <w:sym w:font="宋体" w:char="F5E5"/>
      </w:r>
      <w:r>
        <w:rPr>
          <w:rFonts w:ascii="宋体" w:hAnsi="宋体" w:hint="eastAsia"/>
          <w:lang w:eastAsia="zh-CN"/>
        </w:rPr>
        <w:t>。</w:t>
      </w:r>
    </w:p>
    <w:p w14:paraId="61C9451A">
      <w:pPr>
        <w:spacing w:line="360" w:lineRule="auto"/>
        <w:rPr>
          <w:rFonts w:ascii="宋体" w:hAnsi="宋体"/>
        </w:rPr>
      </w:pPr>
      <w:r>
        <w:rPr>
          <w:rFonts w:ascii="宋体" w:hAnsi="宋体" w:hint="eastAsia"/>
        </w:rPr>
        <w:t>1.1.3.9 永久占地包括：</w:t>
      </w:r>
      <w:r>
        <w:rPr>
          <w:rFonts w:ascii="宋体" w:hAnsi="宋体" w:hint="eastAsia"/>
          <w:color w:val="00B0F0"/>
          <w:u w:val="single"/>
        </w:rPr>
        <w:t xml:space="preserve">  指实施本合同永久工程需永久占用的土地</w:t>
      </w:r>
      <w:r>
        <w:rPr>
          <w:rFonts w:ascii="宋体" w:hAnsi="宋体" w:hint="eastAsia"/>
        </w:rPr>
        <w:t>。</w:t>
      </w:r>
    </w:p>
    <w:p w14:paraId="386159AC">
      <w:pPr>
        <w:spacing w:line="360" w:lineRule="auto"/>
        <w:rPr>
          <w:rFonts w:ascii="宋体" w:hAnsi="宋体"/>
          <w:lang w:eastAsia="zh-CN"/>
        </w:rPr>
      </w:pPr>
      <w:r>
        <w:rPr>
          <w:rFonts w:ascii="宋体" w:hAnsi="宋体" w:hint="eastAsia"/>
          <w:lang w:eastAsia="zh-CN"/>
        </w:rPr>
        <w:t>1.1.3.10 临时占地包括：</w:t>
      </w:r>
      <w:r>
        <w:rPr>
          <w:rFonts w:ascii="宋体" w:hAnsi="宋体" w:hint="eastAsia"/>
          <w:color w:val="00B0F0"/>
          <w:u w:val="single"/>
          <w:lang w:eastAsia="zh-CN"/>
        </w:rPr>
        <w:t xml:space="preserve"> 指实施本合同永久工程需永久占用的土地</w:t>
      </w:r>
      <w:r>
        <w:rPr>
          <w:rFonts w:ascii="宋体" w:hAnsi="宋体" w:hint="eastAsia"/>
          <w:lang w:eastAsia="zh-CN"/>
        </w:rPr>
        <w:t>。</w:t>
      </w:r>
    </w:p>
    <w:p w14:paraId="3B9C77F1">
      <w:pPr>
        <w:spacing w:line="360" w:lineRule="auto"/>
        <w:rPr>
          <w:rFonts w:ascii="宋体" w:hAnsi="宋体"/>
          <w:lang w:eastAsia="zh-CN"/>
        </w:rPr>
      </w:pPr>
      <w:r>
        <w:rPr>
          <w:rFonts w:ascii="宋体" w:hAnsi="宋体" w:hint="eastAsia"/>
          <w:lang w:eastAsia="zh-CN"/>
        </w:rPr>
        <w:t xml:space="preserve">1.3法律 </w:t>
      </w:r>
    </w:p>
    <w:p w14:paraId="1D16A3BD">
      <w:pPr>
        <w:spacing w:line="360" w:lineRule="auto"/>
        <w:rPr>
          <w:rFonts w:ascii="宋体" w:hAnsi="宋体"/>
          <w:lang w:eastAsia="zh-CN"/>
        </w:rPr>
      </w:pPr>
      <w:r>
        <w:rPr>
          <w:rFonts w:ascii="宋体" w:hAnsi="宋体" w:hint="eastAsia"/>
          <w:lang w:eastAsia="zh-CN"/>
        </w:rPr>
        <w:t>适用于合同的其他规范性文件：</w:t>
      </w:r>
      <w:r>
        <w:rPr>
          <w:rFonts w:ascii="宋体" w:hAnsi="宋体"/>
          <w:color w:val="00B0F0"/>
          <w:u w:val="single"/>
        </w:rPr>
        <w:sym w:font="宋体" w:char="F5E5"/>
      </w:r>
      <w:r>
        <w:rPr>
          <w:rFonts w:ascii="宋体" w:hAnsi="宋体" w:hint="eastAsia"/>
          <w:color w:val="00B0F0"/>
          <w:u w:val="single"/>
        </w:rPr>
        <w:t>《中华人民共和国民法典》、《中华人民共和国建筑法》、《中华人民共和国招标投标法》、《建设工程质量管理条例》、《四川省建筑管理条例》</w:t>
      </w:r>
      <w:r>
        <w:rPr>
          <w:rFonts w:ascii="宋体" w:hAnsi="宋体" w:hint="eastAsia"/>
          <w:color w:val="00B0F0"/>
          <w:u w:val="single"/>
          <w:lang w:eastAsia="zh-CN"/>
        </w:rPr>
        <w:t xml:space="preserve">  </w:t>
      </w:r>
      <w:r>
        <w:rPr>
          <w:rFonts w:ascii="宋体" w:hAnsi="宋体" w:hint="eastAsia"/>
          <w:lang w:eastAsia="zh-CN"/>
        </w:rPr>
        <w:t>。</w:t>
      </w:r>
    </w:p>
    <w:p w14:paraId="72796CFE">
      <w:pPr>
        <w:spacing w:line="360" w:lineRule="auto"/>
        <w:rPr>
          <w:rFonts w:ascii="宋体" w:hAnsi="宋体"/>
          <w:lang w:eastAsia="zh-CN"/>
        </w:rPr>
      </w:pPr>
      <w:r>
        <w:rPr>
          <w:rFonts w:ascii="宋体" w:hAnsi="宋体" w:hint="eastAsia"/>
          <w:lang w:eastAsia="zh-CN"/>
        </w:rPr>
        <w:t>1.4 标准和规范</w:t>
      </w:r>
    </w:p>
    <w:p w14:paraId="4C4FE67B">
      <w:pPr>
        <w:spacing w:line="360" w:lineRule="auto"/>
        <w:rPr>
          <w:rFonts w:ascii="宋体" w:hAnsi="宋体"/>
          <w:lang w:eastAsia="zh-CN"/>
        </w:rPr>
      </w:pPr>
      <w:r>
        <w:rPr>
          <w:rFonts w:ascii="宋体" w:hAnsi="宋体" w:hint="eastAsia"/>
          <w:lang w:eastAsia="zh-CN"/>
        </w:rPr>
        <w:t>1.4.1适用于工程的标准规范包括：</w:t>
      </w:r>
      <w:r>
        <w:rPr>
          <w:rFonts w:ascii="宋体" w:hAnsi="宋体"/>
          <w:color w:val="00B0F0"/>
          <w:u w:val="single"/>
        </w:rPr>
        <w:sym w:font="宋体" w:char="F5E5"/>
      </w:r>
      <w:r>
        <w:rPr>
          <w:rFonts w:ascii="宋体" w:hAnsi="宋体" w:hint="eastAsia"/>
          <w:color w:val="00B0F0"/>
          <w:u w:val="single"/>
        </w:rPr>
        <w:t>1、本工程遵守设计图纸明确的技术规范，2、执行国家现行的施工、质量检测及验收规范，3、现行中华人民共和国及省、自治区、直辖市或行业的现行相关工程建设标准和规范的要求</w:t>
      </w:r>
      <w:r>
        <w:rPr>
          <w:rFonts w:ascii="宋体" w:hAnsi="宋体" w:hint="eastAsia"/>
          <w:color w:val="00B0F0"/>
          <w:u w:val="single"/>
          <w:lang w:eastAsia="zh-CN"/>
        </w:rPr>
        <w:t xml:space="preserve"> </w:t>
      </w:r>
      <w:r>
        <w:rPr>
          <w:rFonts w:ascii="宋体" w:hAnsi="宋体" w:hint="eastAsia"/>
          <w:lang w:eastAsia="zh-CN"/>
        </w:rPr>
        <w:t>。</w:t>
      </w:r>
    </w:p>
    <w:p w14:paraId="73573914">
      <w:pPr>
        <w:spacing w:line="360" w:lineRule="auto"/>
        <w:rPr>
          <w:rFonts w:ascii="宋体" w:hAnsi="宋体"/>
          <w:lang w:eastAsia="zh-CN"/>
        </w:rPr>
      </w:pPr>
      <w:r>
        <w:rPr>
          <w:rFonts w:ascii="宋体" w:hAnsi="宋体" w:hint="eastAsia"/>
          <w:lang w:eastAsia="zh-CN"/>
        </w:rPr>
        <w:t>1.4.2 发包人提供国外标准、规范的名称：</w:t>
      </w:r>
      <w:r>
        <w:rPr>
          <w:rFonts w:ascii="宋体" w:hAnsi="宋体" w:hint="eastAsia"/>
          <w:color w:val="00B0F0"/>
          <w:u w:val="single"/>
          <w:lang w:eastAsia="zh-CN"/>
        </w:rPr>
        <w:t xml:space="preserve">   /   </w:t>
      </w:r>
      <w:r>
        <w:rPr>
          <w:rFonts w:ascii="宋体" w:hAnsi="宋体" w:hint="eastAsia"/>
          <w:lang w:eastAsia="zh-CN"/>
        </w:rPr>
        <w:t>；</w:t>
      </w:r>
    </w:p>
    <w:p w14:paraId="70FE2A94">
      <w:pPr>
        <w:spacing w:line="360" w:lineRule="auto"/>
        <w:rPr>
          <w:rFonts w:ascii="宋体" w:hAnsi="宋体"/>
          <w:lang w:eastAsia="zh-CN"/>
        </w:rPr>
      </w:pPr>
      <w:r>
        <w:rPr>
          <w:rFonts w:ascii="宋体" w:hAnsi="宋体" w:hint="eastAsia"/>
          <w:lang w:eastAsia="zh-CN"/>
        </w:rPr>
        <w:t>发包人提供国外标准、规范的份数：</w:t>
      </w:r>
      <w:r>
        <w:rPr>
          <w:rFonts w:ascii="宋体" w:hAnsi="宋体" w:hint="eastAsia"/>
          <w:color w:val="00B0F0"/>
          <w:u w:val="single"/>
          <w:lang w:eastAsia="zh-CN"/>
        </w:rPr>
        <w:t xml:space="preserve">    /    </w:t>
      </w:r>
      <w:r>
        <w:rPr>
          <w:rFonts w:ascii="宋体" w:hAnsi="宋体" w:hint="eastAsia"/>
          <w:lang w:eastAsia="zh-CN"/>
        </w:rPr>
        <w:t>；</w:t>
      </w:r>
    </w:p>
    <w:p w14:paraId="6E298048">
      <w:pPr>
        <w:spacing w:line="360" w:lineRule="auto"/>
        <w:rPr>
          <w:rFonts w:ascii="宋体" w:hAnsi="宋体"/>
          <w:lang w:eastAsia="zh-CN"/>
        </w:rPr>
      </w:pPr>
      <w:r>
        <w:rPr>
          <w:rFonts w:ascii="宋体" w:hAnsi="宋体" w:hint="eastAsia"/>
          <w:lang w:eastAsia="zh-CN"/>
        </w:rPr>
        <w:t>发包人提供国外标准、规范的名称：</w:t>
      </w:r>
      <w:r>
        <w:rPr>
          <w:rFonts w:ascii="宋体" w:hAnsi="宋体" w:hint="eastAsia"/>
          <w:color w:val="00B0F0"/>
          <w:u w:val="single"/>
          <w:lang w:eastAsia="zh-CN"/>
        </w:rPr>
        <w:t xml:space="preserve">   /      </w:t>
      </w:r>
      <w:r>
        <w:rPr>
          <w:rFonts w:ascii="宋体" w:hAnsi="宋体" w:hint="eastAsia"/>
          <w:lang w:eastAsia="zh-CN"/>
        </w:rPr>
        <w:t>。</w:t>
      </w:r>
    </w:p>
    <w:p w14:paraId="27E69F9D">
      <w:pPr>
        <w:spacing w:line="360" w:lineRule="auto"/>
        <w:rPr>
          <w:rFonts w:ascii="宋体" w:hAnsi="宋体"/>
          <w:lang w:eastAsia="zh-CN"/>
        </w:rPr>
      </w:pPr>
      <w:r>
        <w:rPr>
          <w:rFonts w:ascii="宋体" w:hAnsi="宋体" w:hint="eastAsia"/>
          <w:lang w:eastAsia="zh-CN"/>
        </w:rPr>
        <w:t>1.4.3发包人对工程的技术标准和功能要求的特殊要求：</w:t>
      </w:r>
    </w:p>
    <w:p w14:paraId="7EB20A62">
      <w:pPr>
        <w:spacing w:line="360" w:lineRule="auto"/>
        <w:rPr>
          <w:rFonts w:ascii="宋体" w:hAnsi="宋体"/>
          <w:lang w:eastAsia="zh-CN"/>
        </w:rPr>
      </w:pPr>
      <w:r>
        <w:rPr>
          <w:rFonts w:ascii="宋体" w:hAnsi="宋体" w:hint="eastAsia"/>
          <w:color w:val="00B0F0"/>
          <w:u w:val="single"/>
        </w:rPr>
        <w:t>另行约定</w:t>
      </w:r>
      <w:r>
        <w:rPr>
          <w:rFonts w:ascii="宋体" w:hAnsi="宋体" w:hint="eastAsia"/>
          <w:lang w:eastAsia="zh-CN"/>
        </w:rPr>
        <w:t>。</w:t>
      </w:r>
    </w:p>
    <w:p w14:paraId="71BDDF05">
      <w:pPr>
        <w:spacing w:line="360" w:lineRule="auto"/>
        <w:rPr>
          <w:rFonts w:ascii="宋体" w:hAnsi="宋体"/>
          <w:lang w:eastAsia="zh-CN"/>
        </w:rPr>
      </w:pPr>
      <w:r>
        <w:rPr>
          <w:rFonts w:ascii="宋体" w:hAnsi="宋体" w:hint="eastAsia"/>
          <w:lang w:eastAsia="zh-CN"/>
        </w:rPr>
        <w:t>1.5 合同文件的优先顺序</w:t>
      </w:r>
    </w:p>
    <w:p w14:paraId="64402435">
      <w:pPr>
        <w:spacing w:line="360" w:lineRule="auto"/>
        <w:rPr>
          <w:rFonts w:ascii="宋体" w:hAnsi="宋体"/>
          <w:lang w:eastAsia="zh-CN"/>
        </w:rPr>
      </w:pPr>
      <w:r>
        <w:rPr>
          <w:rFonts w:ascii="宋体" w:hAnsi="宋体" w:hint="eastAsia"/>
          <w:lang w:eastAsia="zh-CN"/>
        </w:rPr>
        <w:t>合同文件组成及优先顺序为：</w:t>
      </w:r>
      <w:r>
        <w:rPr>
          <w:rFonts w:ascii="宋体" w:hAnsi="宋体"/>
          <w:color w:val="00B0F0"/>
          <w:u w:val="single"/>
        </w:rPr>
        <w:sym w:font="宋体" w:char="F5E5"/>
      </w:r>
      <w:r>
        <w:rPr>
          <w:rFonts w:ascii="宋体" w:hAnsi="宋体" w:hint="eastAsia"/>
          <w:color w:val="00B0F0"/>
          <w:u w:val="single"/>
        </w:rPr>
        <w:t>按通用合同条款执行</w:t>
      </w:r>
      <w:r>
        <w:rPr>
          <w:rFonts w:ascii="宋体" w:hAnsi="宋体"/>
          <w:color w:val="00B0F0"/>
          <w:u w:val="single"/>
        </w:rPr>
        <w:sym w:font="宋体" w:char="F5E5"/>
      </w:r>
      <w:r>
        <w:rPr>
          <w:rFonts w:ascii="宋体" w:hAnsi="宋体" w:hint="eastAsia"/>
          <w:lang w:eastAsia="zh-CN"/>
        </w:rPr>
        <w:t>。</w:t>
      </w:r>
    </w:p>
    <w:p w14:paraId="59708D1B">
      <w:pPr>
        <w:spacing w:line="360" w:lineRule="auto"/>
        <w:rPr>
          <w:rFonts w:ascii="宋体" w:hAnsi="宋体"/>
          <w:lang w:eastAsia="zh-CN"/>
        </w:rPr>
      </w:pPr>
      <w:r>
        <w:rPr>
          <w:rFonts w:ascii="宋体" w:hAnsi="宋体" w:hint="eastAsia"/>
          <w:lang w:eastAsia="zh-CN"/>
        </w:rPr>
        <w:t>1.6 图纸和承包人文件</w:t>
      </w:r>
      <w:r>
        <w:rPr>
          <w:rFonts w:ascii="宋体" w:hAnsi="宋体" w:hint="eastAsia"/>
          <w:lang w:eastAsia="zh-CN"/>
        </w:rPr>
        <w:tab/>
      </w:r>
    </w:p>
    <w:p w14:paraId="44B6581A">
      <w:pPr>
        <w:spacing w:line="360" w:lineRule="auto"/>
        <w:rPr>
          <w:rFonts w:ascii="宋体" w:hAnsi="宋体"/>
          <w:lang w:eastAsia="zh-CN"/>
        </w:rPr>
      </w:pPr>
      <w:r>
        <w:rPr>
          <w:rFonts w:ascii="宋体" w:hAnsi="宋体" w:hint="eastAsia"/>
          <w:lang w:eastAsia="zh-CN"/>
        </w:rPr>
        <w:t>1.6.1 图纸的提供</w:t>
      </w:r>
    </w:p>
    <w:p w14:paraId="2C5F96ED">
      <w:pPr>
        <w:spacing w:line="360" w:lineRule="auto"/>
        <w:rPr>
          <w:rFonts w:ascii="宋体" w:hAnsi="宋体"/>
          <w:lang w:eastAsia="zh-CN"/>
        </w:rPr>
      </w:pPr>
      <w:r>
        <w:rPr>
          <w:rFonts w:ascii="宋体" w:hAnsi="宋体" w:hint="eastAsia"/>
          <w:lang w:eastAsia="zh-CN"/>
        </w:rPr>
        <w:t>发包人向承包人提供图纸的期限：</w:t>
      </w:r>
      <w:r>
        <w:rPr>
          <w:rFonts w:ascii="宋体" w:hAnsi="宋体"/>
          <w:color w:val="00B0F0"/>
          <w:u w:val="single"/>
        </w:rPr>
        <w:sym w:font="宋体" w:char="F5E5"/>
      </w:r>
      <w:r>
        <w:rPr>
          <w:rFonts w:ascii="宋体" w:hAnsi="宋体" w:hint="eastAsia"/>
          <w:color w:val="00B0F0"/>
          <w:u w:val="single"/>
        </w:rPr>
        <w:t>合同签订后7日内</w:t>
      </w:r>
      <w:r>
        <w:rPr>
          <w:rFonts w:ascii="宋体" w:hAnsi="宋体"/>
          <w:color w:val="00B0F0"/>
          <w:u w:val="single"/>
        </w:rPr>
        <w:sym w:font="宋体" w:char="F5E5"/>
      </w:r>
      <w:r>
        <w:rPr>
          <w:rFonts w:ascii="宋体" w:hAnsi="宋体" w:hint="eastAsia"/>
          <w:lang w:eastAsia="zh-CN"/>
        </w:rPr>
        <w:t>；</w:t>
      </w:r>
    </w:p>
    <w:p w14:paraId="45B700A0">
      <w:pPr>
        <w:spacing w:line="360" w:lineRule="auto"/>
        <w:rPr>
          <w:rFonts w:ascii="宋体" w:hAnsi="宋体"/>
          <w:lang w:eastAsia="zh-CN"/>
        </w:rPr>
      </w:pPr>
      <w:r>
        <w:rPr>
          <w:rFonts w:ascii="宋体" w:hAnsi="宋体" w:hint="eastAsia"/>
          <w:lang w:eastAsia="zh-CN"/>
        </w:rPr>
        <w:t>发包人向承包人提供图纸的数量：</w:t>
      </w:r>
      <w:r>
        <w:rPr>
          <w:rFonts w:ascii="宋体" w:hAnsi="宋体"/>
          <w:color w:val="00B0F0"/>
          <w:u w:val="single"/>
        </w:rPr>
        <w:sym w:font="宋体" w:char="F5E5"/>
      </w:r>
      <w:r>
        <w:rPr>
          <w:rFonts w:ascii="宋体" w:hAnsi="宋体" w:hint="eastAsia"/>
          <w:color w:val="00B0F0"/>
          <w:u w:val="single"/>
        </w:rPr>
        <w:t>2套</w:t>
      </w:r>
      <w:r>
        <w:rPr>
          <w:rFonts w:ascii="宋体" w:hAnsi="宋体"/>
          <w:color w:val="00B0F0"/>
          <w:u w:val="single"/>
        </w:rPr>
        <w:sym w:font="宋体" w:char="F5E5"/>
      </w:r>
      <w:r>
        <w:rPr>
          <w:rFonts w:ascii="宋体" w:hAnsi="宋体" w:hint="eastAsia"/>
          <w:lang w:eastAsia="zh-CN"/>
        </w:rPr>
        <w:t>；</w:t>
      </w:r>
    </w:p>
    <w:p w14:paraId="62A4BCCD">
      <w:pPr>
        <w:spacing w:line="360" w:lineRule="auto"/>
        <w:rPr>
          <w:rFonts w:ascii="宋体" w:hAnsi="宋体"/>
          <w:lang w:eastAsia="zh-CN"/>
        </w:rPr>
      </w:pPr>
      <w:r>
        <w:rPr>
          <w:rFonts w:ascii="宋体" w:hAnsi="宋体" w:hint="eastAsia"/>
          <w:lang w:eastAsia="zh-CN"/>
        </w:rPr>
        <w:t>发包人向承包人提供图纸的内容：</w:t>
      </w:r>
      <w:r>
        <w:rPr>
          <w:rFonts w:ascii="宋体" w:hAnsi="宋体"/>
          <w:color w:val="00B0F0"/>
          <w:u w:val="single"/>
        </w:rPr>
        <w:sym w:font="宋体" w:char="F5E5"/>
      </w:r>
      <w:r>
        <w:rPr>
          <w:rFonts w:ascii="宋体" w:hAnsi="宋体" w:hint="eastAsia"/>
          <w:color w:val="00B0F0"/>
          <w:u w:val="single"/>
        </w:rPr>
        <w:t>本合同发包内容中满足施工需求的全部图纸</w:t>
      </w:r>
      <w:r>
        <w:rPr>
          <w:rFonts w:ascii="宋体" w:hAnsi="宋体"/>
          <w:color w:val="00B0F0"/>
          <w:u w:val="single"/>
        </w:rPr>
        <w:sym w:font="宋体" w:char="F5E5"/>
      </w:r>
      <w:r>
        <w:rPr>
          <w:rFonts w:ascii="宋体" w:hAnsi="宋体" w:hint="eastAsia"/>
          <w:lang w:eastAsia="zh-CN"/>
        </w:rPr>
        <w:t>。</w:t>
      </w:r>
    </w:p>
    <w:p w14:paraId="3BFFE793">
      <w:pPr>
        <w:spacing w:line="360" w:lineRule="auto"/>
        <w:rPr>
          <w:rFonts w:ascii="宋体" w:hAnsi="宋体"/>
        </w:rPr>
      </w:pPr>
      <w:r>
        <w:rPr>
          <w:rFonts w:ascii="宋体" w:hAnsi="宋体" w:hint="eastAsia"/>
        </w:rPr>
        <w:t>1.6.4 承包人文件</w:t>
      </w:r>
    </w:p>
    <w:p w14:paraId="32A9E9D8">
      <w:pPr>
        <w:spacing w:line="360" w:lineRule="auto"/>
        <w:rPr>
          <w:rFonts w:ascii="宋体" w:hAnsi="宋体"/>
          <w:lang w:eastAsia="zh-CN"/>
        </w:rPr>
      </w:pPr>
      <w:r>
        <w:rPr>
          <w:rFonts w:ascii="宋体" w:hAnsi="宋体" w:hint="eastAsia"/>
        </w:rPr>
        <w:t>需要由承包人提供的文件，包括：</w:t>
      </w:r>
      <w:r>
        <w:rPr>
          <w:rFonts w:ascii="宋体" w:hAnsi="宋体"/>
          <w:color w:val="00B0F0"/>
          <w:u w:val="single"/>
        </w:rPr>
        <w:sym w:font="宋体" w:char="F5E5"/>
      </w:r>
      <w:r>
        <w:rPr>
          <w:rFonts w:ascii="宋体" w:hAnsi="宋体" w:hint="eastAsia"/>
          <w:color w:val="00B0F0"/>
          <w:u w:val="single"/>
        </w:rPr>
        <w:t>办理施工许可证需要的资质文件、项目班子人员证书等以及施工组织设计、专项施工方案、月进度报表等其他行政主管部门和发包人需要与工程有关的相关文件资料</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hint="eastAsia"/>
          <w:lang w:eastAsia="zh-CN"/>
        </w:rPr>
        <w:t>；</w:t>
      </w:r>
    </w:p>
    <w:p w14:paraId="1DDCFE24">
      <w:pPr>
        <w:spacing w:line="360" w:lineRule="auto"/>
        <w:rPr>
          <w:rFonts w:ascii="宋体" w:hAnsi="宋体"/>
          <w:lang w:eastAsia="zh-CN"/>
        </w:rPr>
      </w:pPr>
      <w:r>
        <w:rPr>
          <w:rFonts w:ascii="宋体" w:hAnsi="宋体" w:hint="eastAsia"/>
          <w:lang w:eastAsia="zh-CN"/>
        </w:rPr>
        <w:t>承包人提供的文件的期限为：</w:t>
      </w:r>
      <w:r>
        <w:rPr>
          <w:rFonts w:ascii="宋体" w:hAnsi="宋体"/>
          <w:color w:val="00B0F0"/>
          <w:u w:val="single"/>
        </w:rPr>
        <w:sym w:font="宋体" w:char="F5E5"/>
      </w:r>
      <w:r>
        <w:rPr>
          <w:rFonts w:ascii="宋体" w:hAnsi="宋体" w:hint="eastAsia"/>
          <w:color w:val="00B0F0"/>
          <w:u w:val="single"/>
        </w:rPr>
        <w:t>办理施工许可证需要的文件提交期限为合同签订后3日内，其他文件按本合同其他相关条款约定执行或在施工过程中视发包人需求提供</w:t>
      </w:r>
      <w:r>
        <w:rPr>
          <w:rFonts w:ascii="宋体" w:hAnsi="宋体"/>
          <w:color w:val="00B0F0"/>
          <w:u w:val="single"/>
        </w:rPr>
        <w:sym w:font="宋体" w:char="F5E5"/>
      </w:r>
      <w:r>
        <w:rPr>
          <w:rFonts w:ascii="宋体" w:hAnsi="宋体" w:hint="eastAsia"/>
          <w:lang w:eastAsia="zh-CN"/>
        </w:rPr>
        <w:t>；</w:t>
      </w:r>
    </w:p>
    <w:p w14:paraId="54F1B711">
      <w:pPr>
        <w:spacing w:line="360" w:lineRule="auto"/>
        <w:rPr>
          <w:rFonts w:ascii="宋体" w:hAnsi="宋体"/>
          <w:lang w:eastAsia="zh-CN"/>
        </w:rPr>
      </w:pPr>
      <w:r>
        <w:rPr>
          <w:rFonts w:ascii="宋体" w:hAnsi="宋体" w:hint="eastAsia"/>
          <w:lang w:eastAsia="zh-CN"/>
        </w:rPr>
        <w:t>承包人提供的文件的数量为：</w:t>
      </w:r>
      <w:r>
        <w:rPr>
          <w:rFonts w:ascii="宋体" w:hAnsi="宋体"/>
          <w:color w:val="00B0F0"/>
          <w:u w:val="single"/>
        </w:rPr>
        <w:sym w:font="宋体" w:char="F5E5"/>
      </w:r>
      <w:r>
        <w:rPr>
          <w:rFonts w:ascii="宋体" w:hAnsi="宋体" w:hint="eastAsia"/>
          <w:color w:val="00B0F0"/>
          <w:u w:val="single"/>
        </w:rPr>
        <w:t>视发包人需求</w:t>
      </w:r>
      <w:r>
        <w:rPr>
          <w:rFonts w:ascii="宋体" w:hAnsi="宋体"/>
          <w:color w:val="00B0F0"/>
          <w:u w:val="single"/>
        </w:rPr>
        <w:sym w:font="宋体" w:char="F5E5"/>
      </w:r>
      <w:r>
        <w:rPr>
          <w:rFonts w:ascii="宋体" w:hAnsi="宋体" w:hint="eastAsia"/>
          <w:lang w:eastAsia="zh-CN"/>
        </w:rPr>
        <w:t>；</w:t>
      </w:r>
    </w:p>
    <w:p w14:paraId="14FF96DB">
      <w:pPr>
        <w:spacing w:line="360" w:lineRule="auto"/>
        <w:rPr>
          <w:rFonts w:ascii="宋体" w:hAnsi="宋体"/>
          <w:lang w:eastAsia="zh-CN"/>
        </w:rPr>
      </w:pPr>
      <w:r>
        <w:rPr>
          <w:rFonts w:ascii="宋体" w:hAnsi="宋体" w:hint="eastAsia"/>
          <w:lang w:eastAsia="zh-CN"/>
        </w:rPr>
        <w:t>承包人提供的文件的形式为：</w:t>
      </w:r>
      <w:r>
        <w:rPr>
          <w:rFonts w:ascii="宋体" w:hAnsi="宋体"/>
          <w:color w:val="00B0F0"/>
          <w:u w:val="single"/>
        </w:rPr>
        <w:sym w:font="宋体" w:char="F5E5"/>
      </w:r>
      <w:r>
        <w:rPr>
          <w:rFonts w:ascii="宋体" w:hAnsi="宋体" w:hint="eastAsia"/>
          <w:color w:val="00B0F0"/>
          <w:u w:val="single"/>
        </w:rPr>
        <w:t>符合要求签章齐全的正式书面文件</w:t>
      </w:r>
      <w:r>
        <w:rPr>
          <w:rFonts w:ascii="宋体" w:hAnsi="宋体"/>
          <w:color w:val="00B0F0"/>
          <w:u w:val="single"/>
        </w:rPr>
        <w:sym w:font="宋体" w:char="F5E5"/>
      </w:r>
      <w:r>
        <w:rPr>
          <w:rFonts w:ascii="宋体" w:hAnsi="宋体" w:hint="eastAsia"/>
          <w:lang w:eastAsia="zh-CN"/>
        </w:rPr>
        <w:t>；</w:t>
      </w:r>
    </w:p>
    <w:p w14:paraId="6215884B">
      <w:pPr>
        <w:spacing w:line="360" w:lineRule="auto"/>
        <w:rPr>
          <w:rFonts w:ascii="宋体" w:hAnsi="宋体"/>
          <w:lang w:eastAsia="zh-CN"/>
        </w:rPr>
      </w:pPr>
      <w:r>
        <w:rPr>
          <w:rFonts w:ascii="宋体" w:hAnsi="宋体" w:hint="eastAsia"/>
          <w:lang w:eastAsia="zh-CN"/>
        </w:rPr>
        <w:t>发包人审批承包人文件的期限：</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rPr>
        <w:t>7天</w:t>
      </w:r>
      <w:r>
        <w:rPr>
          <w:rFonts w:ascii="宋体" w:hAnsi="宋体"/>
          <w:color w:val="00B0F0"/>
          <w:u w:val="single"/>
        </w:rPr>
        <w:sym w:font="宋体" w:char="F5E5"/>
      </w:r>
      <w:r>
        <w:rPr>
          <w:rFonts w:ascii="宋体" w:hAnsi="宋体" w:hint="eastAsia"/>
          <w:lang w:eastAsia="zh-CN"/>
        </w:rPr>
        <w:t>。</w:t>
      </w:r>
    </w:p>
    <w:p w14:paraId="0B7CEB71">
      <w:pPr>
        <w:spacing w:line="360" w:lineRule="auto"/>
        <w:rPr>
          <w:rFonts w:ascii="宋体" w:hAnsi="宋体"/>
          <w:lang w:eastAsia="zh-CN"/>
        </w:rPr>
      </w:pPr>
      <w:r>
        <w:rPr>
          <w:rFonts w:ascii="宋体" w:hAnsi="宋体" w:hint="eastAsia"/>
          <w:lang w:eastAsia="zh-CN"/>
        </w:rPr>
        <w:t>1.6.5 现场图纸准备</w:t>
      </w:r>
    </w:p>
    <w:p w14:paraId="070287C5">
      <w:pPr>
        <w:spacing w:line="360" w:lineRule="auto"/>
        <w:rPr>
          <w:rFonts w:ascii="宋体" w:hAnsi="宋体"/>
          <w:lang w:eastAsia="zh-CN"/>
        </w:rPr>
      </w:pPr>
      <w:r>
        <w:rPr>
          <w:rFonts w:ascii="宋体" w:hAnsi="宋体" w:hint="eastAsia"/>
          <w:lang w:eastAsia="zh-CN"/>
        </w:rPr>
        <w:t>关于现场图纸准备的约定：</w:t>
      </w:r>
      <w:r>
        <w:rPr>
          <w:rFonts w:ascii="宋体" w:hAnsi="宋体"/>
          <w:color w:val="00B0F0"/>
          <w:u w:val="single"/>
        </w:rPr>
        <w:sym w:font="宋体" w:char="F5E5"/>
      </w:r>
      <w:r>
        <w:rPr>
          <w:rFonts w:ascii="宋体" w:hAnsi="宋体" w:hint="eastAsia"/>
          <w:color w:val="00B0F0"/>
          <w:u w:val="single"/>
        </w:rPr>
        <w:t>按通用合同条款执行</w:t>
      </w:r>
      <w:r>
        <w:rPr>
          <w:rFonts w:ascii="宋体" w:hAnsi="宋体"/>
          <w:color w:val="00B0F0"/>
          <w:u w:val="single"/>
        </w:rPr>
        <w:sym w:font="宋体" w:char="F5E5"/>
      </w:r>
      <w:r>
        <w:rPr>
          <w:rFonts w:ascii="宋体" w:hAnsi="宋体" w:hint="eastAsia"/>
          <w:lang w:eastAsia="zh-CN"/>
        </w:rPr>
        <w:t>。</w:t>
      </w:r>
    </w:p>
    <w:p w14:paraId="79273605">
      <w:pPr>
        <w:spacing w:line="360" w:lineRule="auto"/>
        <w:rPr>
          <w:rFonts w:ascii="宋体" w:hAnsi="宋体"/>
          <w:lang w:eastAsia="zh-CN"/>
        </w:rPr>
      </w:pPr>
      <w:r>
        <w:rPr>
          <w:rFonts w:ascii="宋体" w:hAnsi="宋体" w:hint="eastAsia"/>
          <w:lang w:eastAsia="zh-CN"/>
        </w:rPr>
        <w:t>1.7 联络</w:t>
      </w:r>
    </w:p>
    <w:p w14:paraId="3B0A0FED">
      <w:pPr>
        <w:spacing w:line="360" w:lineRule="auto"/>
        <w:rPr>
          <w:rFonts w:ascii="宋体" w:hAnsi="宋体"/>
          <w:lang w:eastAsia="zh-CN"/>
        </w:rPr>
      </w:pPr>
      <w:r>
        <w:rPr>
          <w:rFonts w:ascii="宋体" w:hAnsi="宋体" w:hint="eastAsia"/>
          <w:lang w:eastAsia="zh-CN"/>
        </w:rPr>
        <w:t>1.7.1发包人和承包人应当在</w:t>
      </w:r>
      <w:r>
        <w:rPr>
          <w:rFonts w:ascii="宋体" w:hAnsi="宋体"/>
          <w:color w:val="00B0F0"/>
          <w:u w:val="single"/>
        </w:rPr>
        <w:sym w:font="宋体" w:char="F5E5"/>
      </w:r>
      <w:r>
        <w:rPr>
          <w:rFonts w:ascii="宋体" w:hAnsi="宋体" w:hint="eastAsia"/>
          <w:color w:val="00B0F0"/>
          <w:u w:val="single"/>
          <w:lang w:eastAsia="zh-CN"/>
        </w:rPr>
        <w:t xml:space="preserve"> 7   </w:t>
      </w:r>
      <w:r>
        <w:rPr>
          <w:rFonts w:ascii="宋体" w:hAnsi="宋体" w:hint="eastAsia"/>
          <w:lang w:eastAsia="zh-CN"/>
        </w:rPr>
        <w:t>天内将与合同有关的通知、批准、证明、证书、指示、指令、要求、请求、同意、意见、确定和决定等书面函件送达对方当事人。</w:t>
      </w:r>
    </w:p>
    <w:p w14:paraId="55DFE217">
      <w:pPr>
        <w:spacing w:line="360" w:lineRule="auto"/>
        <w:rPr>
          <w:rFonts w:ascii="宋体" w:hAnsi="宋体"/>
          <w:lang w:eastAsia="zh-CN"/>
        </w:rPr>
      </w:pPr>
      <w:r>
        <w:rPr>
          <w:rFonts w:ascii="宋体" w:hAnsi="宋体" w:hint="eastAsia"/>
          <w:lang w:eastAsia="zh-CN"/>
        </w:rPr>
        <w:t>1.7.2 发包人接收文件的地点：</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rPr>
        <w:t>发包人办公室（建议列出详细地址）</w:t>
      </w:r>
      <w:r>
        <w:rPr>
          <w:rFonts w:ascii="宋体" w:hAnsi="宋体"/>
          <w:color w:val="00B0F0"/>
          <w:u w:val="single"/>
        </w:rPr>
        <w:sym w:font="宋体" w:char="F5E5"/>
      </w:r>
      <w:r>
        <w:rPr>
          <w:rFonts w:ascii="宋体" w:hAnsi="宋体" w:hint="eastAsia"/>
          <w:lang w:eastAsia="zh-CN"/>
        </w:rPr>
        <w:t>；</w:t>
      </w:r>
    </w:p>
    <w:p w14:paraId="61650D37">
      <w:pPr>
        <w:spacing w:line="360" w:lineRule="auto"/>
        <w:rPr>
          <w:rFonts w:ascii="宋体" w:hAnsi="宋体"/>
          <w:lang w:eastAsia="zh-CN"/>
        </w:rPr>
      </w:pPr>
      <w:r>
        <w:rPr>
          <w:rFonts w:ascii="宋体" w:hAnsi="宋体" w:hint="eastAsia"/>
          <w:lang w:eastAsia="zh-CN"/>
        </w:rPr>
        <w:t>发包人指定的接收人为：</w:t>
      </w:r>
      <w:r>
        <w:rPr>
          <w:rFonts w:ascii="宋体" w:hAnsi="宋体"/>
          <w:color w:val="00B0F0"/>
          <w:u w:val="single"/>
        </w:rPr>
        <w:sym w:font="宋体" w:char="F5E5"/>
      </w:r>
      <w:r>
        <w:rPr>
          <w:rFonts w:ascii="宋体" w:hAnsi="宋体" w:hint="eastAsia"/>
          <w:color w:val="00B0F0"/>
          <w:u w:val="single"/>
        </w:rPr>
        <w:t>本工程相关管理人员（建议到具体的人）</w:t>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7474D336">
      <w:pPr>
        <w:spacing w:line="360" w:lineRule="auto"/>
        <w:rPr>
          <w:rFonts w:ascii="宋体" w:hAnsi="宋体"/>
          <w:lang w:eastAsia="zh-CN"/>
        </w:rPr>
      </w:pPr>
      <w:r>
        <w:rPr>
          <w:rFonts w:ascii="宋体" w:hAnsi="宋体" w:hint="eastAsia"/>
          <w:lang w:eastAsia="zh-CN"/>
        </w:rPr>
        <w:t>承包人接收文件的地点：</w:t>
      </w:r>
      <w:r>
        <w:rPr>
          <w:rFonts w:ascii="宋体" w:hAnsi="宋体"/>
          <w:color w:val="00B0F0"/>
          <w:u w:val="single"/>
        </w:rPr>
        <w:sym w:font="宋体" w:char="F5E5"/>
      </w:r>
      <w:r>
        <w:rPr>
          <w:rFonts w:ascii="宋体" w:hAnsi="宋体" w:hint="eastAsia"/>
          <w:color w:val="00B0F0"/>
          <w:u w:val="single"/>
        </w:rPr>
        <w:t>项目所在地承包人项目经理部</w:t>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75648215">
      <w:pPr>
        <w:spacing w:line="360" w:lineRule="auto"/>
        <w:rPr>
          <w:rFonts w:ascii="宋体" w:hAnsi="宋体"/>
          <w:lang w:eastAsia="zh-CN"/>
        </w:rPr>
      </w:pPr>
      <w:r>
        <w:rPr>
          <w:rFonts w:ascii="宋体" w:hAnsi="宋体" w:hint="eastAsia"/>
          <w:lang w:eastAsia="zh-CN"/>
        </w:rPr>
        <w:t>承包人指定的接收人为：</w:t>
      </w:r>
      <w:r>
        <w:rPr>
          <w:rFonts w:ascii="宋体" w:hAnsi="宋体"/>
          <w:color w:val="00B0F0"/>
          <w:u w:val="single"/>
        </w:rPr>
        <w:sym w:font="宋体" w:char="F5E5"/>
      </w:r>
      <w:r>
        <w:rPr>
          <w:rFonts w:ascii="宋体" w:hAnsi="宋体" w:hint="eastAsia"/>
          <w:color w:val="00B0F0"/>
          <w:u w:val="single"/>
        </w:rPr>
        <w:t>项且经理</w:t>
      </w:r>
      <w:r>
        <w:rPr>
          <w:rFonts w:ascii="宋体" w:hAnsi="宋体"/>
          <w:color w:val="00B0F0"/>
          <w:u w:val="single"/>
        </w:rPr>
        <w:sym w:font="宋体" w:char="F5E5"/>
      </w:r>
      <w:r>
        <w:rPr>
          <w:rFonts w:ascii="宋体" w:hAnsi="宋体" w:hint="eastAsia"/>
          <w:lang w:eastAsia="zh-CN"/>
        </w:rPr>
        <w:t>。</w:t>
      </w:r>
    </w:p>
    <w:p w14:paraId="4116A3D9">
      <w:pPr>
        <w:spacing w:line="360" w:lineRule="auto"/>
        <w:rPr>
          <w:rFonts w:ascii="宋体" w:hAnsi="宋体"/>
          <w:lang w:eastAsia="zh-CN"/>
        </w:rPr>
      </w:pPr>
      <w:r>
        <w:rPr>
          <w:rFonts w:ascii="宋体" w:hAnsi="宋体" w:hint="eastAsia"/>
          <w:lang w:eastAsia="zh-CN"/>
        </w:rPr>
        <w:t>监理人接收文件的地点：</w:t>
      </w:r>
      <w:r>
        <w:rPr>
          <w:rFonts w:ascii="宋体" w:hAnsi="宋体"/>
          <w:color w:val="00B0F0"/>
          <w:u w:val="single"/>
        </w:rPr>
        <w:sym w:font="宋体" w:char="F5E5"/>
      </w:r>
      <w:r>
        <w:rPr>
          <w:rFonts w:ascii="宋体" w:hAnsi="宋体" w:hint="eastAsia"/>
          <w:color w:val="00B0F0"/>
          <w:u w:val="single"/>
        </w:rPr>
        <w:t>项目所在地承包人项目经理部</w:t>
      </w:r>
      <w:r>
        <w:rPr>
          <w:rFonts w:ascii="宋体" w:hAnsi="宋体"/>
          <w:color w:val="00B0F0"/>
          <w:u w:val="single"/>
        </w:rPr>
        <w:sym w:font="宋体" w:char="F5E5"/>
      </w:r>
      <w:r>
        <w:rPr>
          <w:rFonts w:ascii="宋体" w:hAnsi="宋体" w:hint="eastAsia"/>
          <w:lang w:eastAsia="zh-CN"/>
        </w:rPr>
        <w:t>；</w:t>
      </w:r>
    </w:p>
    <w:p w14:paraId="09405CC5">
      <w:pPr>
        <w:spacing w:line="360" w:lineRule="auto"/>
        <w:rPr>
          <w:rFonts w:ascii="宋体" w:hAnsi="宋体"/>
          <w:lang w:eastAsia="zh-CN"/>
        </w:rPr>
      </w:pPr>
      <w:r>
        <w:rPr>
          <w:rFonts w:ascii="宋体" w:hAnsi="宋体" w:hint="eastAsia"/>
          <w:lang w:eastAsia="zh-CN"/>
        </w:rPr>
        <w:t>监理人指定的接收人为：</w:t>
      </w:r>
      <w:r>
        <w:rPr>
          <w:rFonts w:ascii="宋体" w:hAnsi="宋体"/>
          <w:color w:val="00B0F0"/>
          <w:u w:val="single"/>
        </w:rPr>
        <w:sym w:font="宋体" w:char="F5E5"/>
      </w:r>
      <w:r>
        <w:rPr>
          <w:rFonts w:ascii="宋体" w:hAnsi="宋体" w:hint="eastAsia"/>
          <w:color w:val="00B0F0"/>
          <w:u w:val="single"/>
        </w:rPr>
        <w:t xml:space="preserve">总监理工程师 </w:t>
      </w:r>
      <w:r>
        <w:rPr>
          <w:rFonts w:ascii="宋体" w:hAnsi="宋体" w:hint="eastAsia"/>
          <w:lang w:eastAsia="zh-CN"/>
        </w:rPr>
        <w:t>。</w:t>
      </w:r>
    </w:p>
    <w:p w14:paraId="55241567">
      <w:pPr>
        <w:spacing w:line="360" w:lineRule="auto"/>
        <w:rPr>
          <w:rFonts w:ascii="宋体" w:hAnsi="宋体"/>
          <w:lang w:eastAsia="zh-CN"/>
        </w:rPr>
      </w:pPr>
      <w:r>
        <w:rPr>
          <w:rFonts w:ascii="宋体" w:hAnsi="宋体" w:hint="eastAsia"/>
          <w:lang w:eastAsia="zh-CN"/>
        </w:rPr>
        <w:t>1.10 交通运输</w:t>
      </w:r>
    </w:p>
    <w:p w14:paraId="6A00B332">
      <w:pPr>
        <w:spacing w:line="360" w:lineRule="auto"/>
        <w:rPr>
          <w:rFonts w:ascii="宋体" w:hAnsi="宋体"/>
          <w:lang w:eastAsia="zh-CN"/>
        </w:rPr>
      </w:pPr>
      <w:r>
        <w:rPr>
          <w:rFonts w:ascii="宋体" w:hAnsi="宋体" w:hint="eastAsia"/>
          <w:lang w:eastAsia="zh-CN"/>
        </w:rPr>
        <w:t>1</w:t>
      </w:r>
      <w:bookmarkStart w:id="548" w:name="_Toc318581155"/>
      <w:bookmarkStart w:id="549" w:name="_Toc304295521"/>
      <w:bookmarkStart w:id="550" w:name="_Toc303539100"/>
      <w:bookmarkStart w:id="551" w:name="_Toc300934943"/>
      <w:bookmarkStart w:id="552" w:name="_Toc312677986"/>
      <w:r>
        <w:rPr>
          <w:rFonts w:ascii="宋体" w:hAnsi="宋体" w:hint="eastAsia"/>
          <w:lang w:eastAsia="zh-CN"/>
        </w:rPr>
        <w:t>.10.1 出入现场的权利</w:t>
      </w:r>
    </w:p>
    <w:p w14:paraId="5EE3543D">
      <w:pPr>
        <w:spacing w:line="360" w:lineRule="auto"/>
        <w:rPr>
          <w:rFonts w:ascii="宋体" w:hAnsi="宋体"/>
          <w:lang w:eastAsia="zh-CN"/>
        </w:rPr>
      </w:pPr>
      <w:r>
        <w:rPr>
          <w:rFonts w:ascii="宋体" w:hAnsi="宋体" w:hint="eastAsia"/>
          <w:lang w:eastAsia="zh-CN"/>
        </w:rPr>
        <w:t>关于出入现场的权利的约定：</w:t>
      </w:r>
      <w:r>
        <w:rPr>
          <w:rFonts w:ascii="宋体" w:hAnsi="宋体"/>
          <w:color w:val="00B0F0"/>
          <w:u w:val="single"/>
        </w:rPr>
        <w:sym w:font="宋体" w:char="F5E5"/>
      </w:r>
      <w:r>
        <w:rPr>
          <w:rFonts w:ascii="宋体" w:hAnsi="宋体" w:hint="eastAsia"/>
          <w:color w:val="00B0F0"/>
          <w:u w:val="single"/>
        </w:rPr>
        <w:t>按通用合同条款执行</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w:t>
      </w:r>
    </w:p>
    <w:bookmarkEnd w:id="548"/>
    <w:bookmarkEnd w:id="549"/>
    <w:bookmarkEnd w:id="550"/>
    <w:bookmarkEnd w:id="551"/>
    <w:bookmarkEnd w:id="552"/>
    <w:p w14:paraId="365D71D7">
      <w:pPr>
        <w:spacing w:line="360" w:lineRule="auto"/>
        <w:rPr>
          <w:rFonts w:ascii="宋体" w:hAnsi="宋体"/>
          <w:lang w:eastAsia="zh-CN"/>
        </w:rPr>
      </w:pPr>
      <w:r>
        <w:rPr>
          <w:rFonts w:ascii="宋体" w:hAnsi="宋体" w:hint="eastAsia"/>
          <w:lang w:eastAsia="zh-CN"/>
        </w:rPr>
        <w:t>1</w:t>
      </w:r>
      <w:bookmarkStart w:id="553" w:name="_Toc300934944"/>
      <w:bookmarkStart w:id="554" w:name="_Toc304295522"/>
      <w:bookmarkStart w:id="555" w:name="_Toc318581156"/>
      <w:bookmarkStart w:id="556" w:name="_Toc312677987"/>
      <w:bookmarkStart w:id="557" w:name="_Toc303539101"/>
      <w:r>
        <w:rPr>
          <w:rFonts w:ascii="宋体" w:hAnsi="宋体" w:hint="eastAsia"/>
          <w:lang w:eastAsia="zh-CN"/>
        </w:rPr>
        <w:t>.10.3 场内交通</w:t>
      </w:r>
    </w:p>
    <w:p w14:paraId="0E42E578">
      <w:pPr>
        <w:spacing w:line="360" w:lineRule="auto"/>
        <w:rPr>
          <w:rFonts w:ascii="宋体" w:hAnsi="宋体"/>
          <w:lang w:eastAsia="zh-CN"/>
        </w:rPr>
      </w:pPr>
      <w:r>
        <w:rPr>
          <w:rFonts w:ascii="宋体" w:hAnsi="宋体" w:hint="eastAsia"/>
          <w:lang w:eastAsia="zh-CN"/>
        </w:rPr>
        <w:t>关于场外交通和场内交通的边界的约定：</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rPr>
        <w:t>按通用合同条款执行</w:t>
      </w:r>
      <w:r>
        <w:rPr>
          <w:rFonts w:ascii="宋体" w:hAnsi="宋体"/>
          <w:color w:val="00B0F0"/>
          <w:u w:val="single"/>
        </w:rPr>
        <w:sym w:font="宋体" w:char="F5E5"/>
      </w:r>
      <w:r>
        <w:rPr>
          <w:rFonts w:ascii="宋体" w:hAnsi="宋体" w:hint="eastAsia"/>
          <w:lang w:eastAsia="zh-CN"/>
        </w:rPr>
        <w:t>。</w:t>
      </w:r>
    </w:p>
    <w:p w14:paraId="398634F3">
      <w:pPr>
        <w:spacing w:line="360" w:lineRule="auto"/>
        <w:rPr>
          <w:rFonts w:ascii="宋体" w:hAnsi="宋体"/>
          <w:lang w:eastAsia="zh-CN"/>
        </w:rPr>
      </w:pPr>
      <w:r>
        <w:rPr>
          <w:rFonts w:ascii="宋体" w:hAnsi="宋体" w:hint="eastAsia"/>
          <w:lang w:eastAsia="zh-CN"/>
        </w:rPr>
        <w:t>关于发包人向承包人免费提供满足工程施工需要的场内道路和交通设施的约定：</w:t>
      </w:r>
      <w:r>
        <w:rPr>
          <w:rFonts w:ascii="宋体" w:hAnsi="宋体"/>
          <w:color w:val="00B0F0"/>
          <w:u w:val="single"/>
        </w:rPr>
        <w:sym w:font="宋体" w:char="F5E5"/>
      </w:r>
      <w:r>
        <w:rPr>
          <w:rFonts w:ascii="宋体" w:hAnsi="宋体" w:hint="eastAsia"/>
          <w:color w:val="00B0F0"/>
          <w:u w:val="single"/>
        </w:rPr>
        <w:t>承包人自行承担</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lang w:eastAsia="zh-CN"/>
        </w:rPr>
        <w:t>。</w:t>
      </w:r>
      <w:bookmarkEnd w:id="553"/>
      <w:bookmarkEnd w:id="554"/>
      <w:bookmarkEnd w:id="555"/>
      <w:bookmarkEnd w:id="556"/>
      <w:bookmarkEnd w:id="557"/>
      <w:r>
        <w:rPr>
          <w:rFonts w:ascii="宋体" w:hAnsi="宋体" w:hint="eastAsia"/>
          <w:lang w:eastAsia="zh-CN"/>
        </w:rPr>
        <w:t xml:space="preserve">  </w:t>
      </w:r>
      <w:bookmarkStart w:id="558" w:name="_Toc318581157"/>
    </w:p>
    <w:p w14:paraId="44CA98AE">
      <w:pPr>
        <w:spacing w:line="360" w:lineRule="auto"/>
        <w:rPr>
          <w:rFonts w:ascii="宋体" w:hAnsi="宋体"/>
          <w:lang w:eastAsia="zh-CN"/>
        </w:rPr>
      </w:pPr>
      <w:r>
        <w:rPr>
          <w:rFonts w:ascii="宋体" w:hAnsi="宋体" w:hint="eastAsia"/>
          <w:lang w:eastAsia="zh-CN"/>
        </w:rPr>
        <w:t>1.10.4超大件和超重件的运输</w:t>
      </w:r>
    </w:p>
    <w:p w14:paraId="4DF8BA07">
      <w:pPr>
        <w:spacing w:line="360" w:lineRule="auto"/>
        <w:rPr>
          <w:rFonts w:ascii="宋体" w:hAnsi="宋体"/>
          <w:lang w:eastAsia="zh-CN"/>
        </w:rPr>
      </w:pPr>
      <w:r>
        <w:rPr>
          <w:rFonts w:ascii="宋体" w:hAnsi="宋体" w:hint="eastAsia"/>
          <w:lang w:eastAsia="zh-CN"/>
        </w:rPr>
        <w:t>运输超大件或超重件所需的道路和桥梁临时加固改造费用和其他有关费用由</w:t>
      </w:r>
      <w:r>
        <w:rPr>
          <w:rFonts w:ascii="宋体" w:hAnsi="宋体" w:hint="eastAsia"/>
          <w:color w:val="00B0F0"/>
          <w:u w:val="single"/>
          <w:lang w:eastAsia="zh-CN"/>
        </w:rPr>
        <w:t xml:space="preserve"> 承包人 </w:t>
      </w:r>
      <w:r>
        <w:rPr>
          <w:rFonts w:ascii="宋体" w:hAnsi="宋体" w:hint="eastAsia"/>
          <w:lang w:eastAsia="zh-CN"/>
        </w:rPr>
        <w:t>承担。</w:t>
      </w:r>
    </w:p>
    <w:bookmarkEnd w:id="558"/>
    <w:p w14:paraId="3AF98686">
      <w:pPr>
        <w:spacing w:line="360" w:lineRule="auto"/>
        <w:rPr>
          <w:rFonts w:ascii="宋体" w:hAnsi="宋体"/>
          <w:lang w:eastAsia="zh-CN"/>
        </w:rPr>
      </w:pPr>
      <w:r>
        <w:rPr>
          <w:rFonts w:ascii="宋体" w:hAnsi="宋体" w:hint="eastAsia"/>
          <w:lang w:eastAsia="zh-CN"/>
        </w:rPr>
        <w:t>1.11 知识产权</w:t>
      </w:r>
    </w:p>
    <w:p w14:paraId="238A6555">
      <w:pPr>
        <w:spacing w:line="360" w:lineRule="auto"/>
        <w:rPr>
          <w:rFonts w:ascii="宋体" w:hAnsi="宋体"/>
          <w:u w:val="single"/>
          <w:lang w:eastAsia="zh-CN"/>
        </w:rPr>
      </w:pPr>
      <w:r>
        <w:rPr>
          <w:rFonts w:ascii="宋体" w:hAnsi="宋体" w:hint="eastAsia"/>
          <w:lang w:eastAsia="zh-CN"/>
        </w:rPr>
        <w:t>1.11.1关于发包人提供给承包人的图纸、发包人为实施工程自行编制或委托编制的技术规范以及反映发包人关于合同要求或其他类似性质的文件的著作权的归属：</w:t>
      </w:r>
    </w:p>
    <w:p w14:paraId="27472772">
      <w:pPr>
        <w:spacing w:line="360" w:lineRule="auto"/>
        <w:rPr>
          <w:rFonts w:ascii="宋体" w:hAnsi="宋体"/>
          <w:lang w:eastAsia="zh-CN"/>
        </w:rPr>
      </w:pPr>
      <w:r>
        <w:rPr>
          <w:rFonts w:ascii="宋体" w:hAnsi="宋体"/>
          <w:color w:val="00B0F0"/>
          <w:u w:val="single"/>
        </w:rPr>
        <w:sym w:font="宋体" w:char="F5E5"/>
      </w:r>
      <w:r>
        <w:rPr>
          <w:rFonts w:ascii="宋体" w:hAnsi="宋体" w:hint="eastAsia"/>
          <w:color w:val="00B0F0"/>
          <w:u w:val="single"/>
        </w:rPr>
        <w:t xml:space="preserve">按通用合同条款执行 </w:t>
      </w:r>
      <w:r>
        <w:rPr>
          <w:rFonts w:ascii="宋体" w:hAnsi="宋体" w:hint="eastAsia"/>
          <w:color w:val="00B0F0"/>
          <w:u w:val="single"/>
          <w:lang w:eastAsia="zh-CN"/>
        </w:rPr>
        <w:t xml:space="preserve"> </w:t>
      </w:r>
      <w:r>
        <w:rPr>
          <w:rFonts w:ascii="宋体" w:hAnsi="宋体" w:hint="eastAsia"/>
          <w:lang w:eastAsia="zh-CN"/>
        </w:rPr>
        <w:t>。</w:t>
      </w:r>
    </w:p>
    <w:p w14:paraId="214B8AF8">
      <w:pPr>
        <w:spacing w:line="360" w:lineRule="auto"/>
        <w:rPr>
          <w:rFonts w:ascii="宋体" w:hAnsi="宋体"/>
          <w:lang w:eastAsia="zh-CN"/>
        </w:rPr>
      </w:pPr>
      <w:r>
        <w:rPr>
          <w:rFonts w:ascii="宋体" w:hAnsi="宋体" w:hint="eastAsia"/>
          <w:lang w:eastAsia="zh-CN"/>
        </w:rPr>
        <w:t>关于发包人提供的上述文件的使用限制的要求：</w:t>
      </w:r>
      <w:r>
        <w:rPr>
          <w:rFonts w:ascii="宋体" w:hAnsi="宋体" w:hint="eastAsia"/>
          <w:color w:val="00B0F0"/>
          <w:u w:val="single"/>
          <w:lang w:eastAsia="zh-CN"/>
        </w:rPr>
        <w:t xml:space="preserve">  按通用合同条款执行  </w:t>
      </w:r>
      <w:r>
        <w:rPr>
          <w:rFonts w:ascii="宋体" w:hAnsi="宋体" w:hint="eastAsia"/>
          <w:lang w:eastAsia="zh-CN"/>
        </w:rPr>
        <w:t>。</w:t>
      </w:r>
    </w:p>
    <w:p w14:paraId="5ED07CEA">
      <w:pPr>
        <w:spacing w:line="360" w:lineRule="auto"/>
        <w:rPr>
          <w:rFonts w:ascii="宋体" w:hAnsi="宋体"/>
          <w:lang w:eastAsia="zh-CN"/>
        </w:rPr>
      </w:pPr>
      <w:r>
        <w:rPr>
          <w:rFonts w:ascii="宋体" w:hAnsi="宋体" w:hint="eastAsia"/>
          <w:lang w:eastAsia="zh-CN"/>
        </w:rPr>
        <w:t>1.11.2 关于承包人为实施工程所编制文件的著作权的归属：</w:t>
      </w:r>
      <w:r>
        <w:rPr>
          <w:rFonts w:ascii="宋体" w:hAnsi="宋体" w:hint="eastAsia"/>
          <w:color w:val="00B0F0"/>
          <w:u w:val="single"/>
          <w:lang w:eastAsia="zh-CN"/>
        </w:rPr>
        <w:t>按通用合同条款执</w:t>
      </w:r>
      <w:r>
        <w:rPr>
          <w:rFonts w:ascii="宋体" w:hAnsi="宋体" w:hint="eastAsia"/>
          <w:lang w:eastAsia="zh-CN"/>
        </w:rPr>
        <w:t>。</w:t>
      </w:r>
    </w:p>
    <w:p w14:paraId="055E0C79">
      <w:pPr>
        <w:spacing w:line="360" w:lineRule="auto"/>
        <w:rPr>
          <w:rFonts w:ascii="宋体" w:hAnsi="宋体"/>
          <w:u w:val="single"/>
          <w:lang w:eastAsia="zh-CN"/>
        </w:rPr>
      </w:pPr>
      <w:r>
        <w:rPr>
          <w:rFonts w:ascii="宋体" w:hAnsi="宋体" w:hint="eastAsia"/>
          <w:lang w:eastAsia="zh-CN"/>
        </w:rPr>
        <w:t>关于承包人提供的上述文件的使用限制的要求：</w:t>
      </w:r>
      <w:r>
        <w:rPr>
          <w:rFonts w:ascii="宋体" w:hAnsi="宋体"/>
          <w:color w:val="00B0F0"/>
          <w:u w:val="single"/>
        </w:rPr>
        <w:sym w:font="宋体" w:char="F5E5"/>
      </w:r>
      <w:r>
        <w:rPr>
          <w:rFonts w:ascii="宋体" w:hAnsi="宋体" w:hint="eastAsia"/>
          <w:color w:val="00B0F0"/>
          <w:u w:val="single"/>
        </w:rPr>
        <w:t>按通用合同条款执行</w:t>
      </w:r>
      <w:r>
        <w:rPr>
          <w:rFonts w:ascii="宋体" w:hAnsi="宋体" w:hint="eastAsia"/>
          <w:color w:val="00B0F0"/>
          <w:u w:val="single"/>
          <w:lang w:eastAsia="zh-CN"/>
        </w:rPr>
        <w:t xml:space="preserve"> </w:t>
      </w:r>
      <w:r>
        <w:rPr>
          <w:rFonts w:ascii="宋体" w:hAnsi="宋体" w:hint="eastAsia"/>
          <w:lang w:eastAsia="zh-CN"/>
        </w:rPr>
        <w:t>。</w:t>
      </w:r>
    </w:p>
    <w:p w14:paraId="1E22E958">
      <w:pPr>
        <w:spacing w:line="360" w:lineRule="auto"/>
        <w:rPr>
          <w:rFonts w:ascii="宋体" w:hAnsi="宋体"/>
          <w:lang w:eastAsia="zh-CN"/>
        </w:rPr>
      </w:pPr>
      <w:r>
        <w:rPr>
          <w:rFonts w:ascii="宋体" w:hAnsi="宋体" w:hint="eastAsia"/>
          <w:lang w:eastAsia="zh-CN"/>
        </w:rPr>
        <w:t>1.11.4 承包人在施工过程中所采用的专利、专有技术、技术秘密的使用费的承担方式：</w:t>
      </w:r>
      <w:r>
        <w:rPr>
          <w:rFonts w:ascii="宋体" w:hAnsi="宋体"/>
          <w:color w:val="00B0F0"/>
          <w:u w:val="single"/>
        </w:rPr>
        <w:sym w:font="宋体" w:char="F5E5"/>
      </w:r>
      <w:r>
        <w:rPr>
          <w:rFonts w:ascii="宋体" w:hAnsi="宋体" w:hint="eastAsia"/>
          <w:color w:val="00B0F0"/>
          <w:u w:val="single"/>
        </w:rPr>
        <w:t xml:space="preserve">承包人自行承担 </w:t>
      </w:r>
      <w:r>
        <w:rPr>
          <w:rFonts w:ascii="宋体" w:hAnsi="宋体" w:hint="eastAsia"/>
          <w:lang w:eastAsia="zh-CN"/>
        </w:rPr>
        <w:t>。</w:t>
      </w:r>
    </w:p>
    <w:p w14:paraId="1CBC3911">
      <w:pPr>
        <w:spacing w:line="360" w:lineRule="auto"/>
        <w:rPr>
          <w:rFonts w:ascii="宋体" w:hAnsi="宋体"/>
          <w:lang w:eastAsia="zh-CN"/>
        </w:rPr>
      </w:pPr>
      <w:r>
        <w:rPr>
          <w:rFonts w:ascii="宋体" w:hAnsi="宋体" w:hint="eastAsia"/>
          <w:lang w:eastAsia="zh-CN"/>
        </w:rPr>
        <w:t>1.13工程量清单错误的修正</w:t>
      </w:r>
    </w:p>
    <w:p w14:paraId="4F03F641">
      <w:pPr>
        <w:spacing w:line="360" w:lineRule="auto"/>
        <w:rPr>
          <w:rFonts w:ascii="宋体" w:hAnsi="宋体"/>
          <w:lang w:eastAsia="zh-CN"/>
        </w:rPr>
      </w:pPr>
      <w:r>
        <w:rPr>
          <w:rFonts w:ascii="宋体" w:hAnsi="宋体" w:hint="eastAsia"/>
          <w:lang w:eastAsia="zh-CN"/>
        </w:rPr>
        <w:t>出现工程量清单错误时，是否调整合同价格：</w:t>
      </w:r>
      <w:r>
        <w:rPr>
          <w:rFonts w:ascii="宋体" w:hAnsi="宋体" w:hint="eastAsia"/>
          <w:color w:val="00B0F0"/>
          <w:u w:val="single"/>
          <w:lang w:eastAsia="zh-CN"/>
        </w:rPr>
        <w:t xml:space="preserve"> 是  </w:t>
      </w:r>
      <w:r>
        <w:rPr>
          <w:rFonts w:ascii="宋体" w:hAnsi="宋体" w:hint="eastAsia"/>
          <w:lang w:eastAsia="zh-CN"/>
        </w:rPr>
        <w:t>。</w:t>
      </w:r>
    </w:p>
    <w:p w14:paraId="1E031CD6">
      <w:pPr>
        <w:spacing w:line="360" w:lineRule="auto"/>
        <w:rPr>
          <w:rFonts w:ascii="宋体" w:hAnsi="宋体"/>
          <w:u w:val="single"/>
          <w:lang w:eastAsia="zh-CN"/>
        </w:rPr>
      </w:pPr>
      <w:r>
        <w:rPr>
          <w:rFonts w:ascii="宋体" w:hAnsi="宋体" w:hint="eastAsia"/>
          <w:lang w:eastAsia="zh-CN"/>
        </w:rPr>
        <w:t>允许调整合同价格的工程量偏差范围：</w:t>
      </w:r>
      <w:r>
        <w:rPr>
          <w:rFonts w:ascii="宋体" w:hAnsi="宋体"/>
          <w:color w:val="00B0F0"/>
          <w:u w:val="single"/>
        </w:rPr>
        <w:sym w:font="宋体" w:char="F5E5"/>
      </w:r>
      <w:r>
        <w:rPr>
          <w:rFonts w:ascii="宋体" w:hAnsi="宋体" w:hint="eastAsia"/>
          <w:color w:val="00B0F0"/>
          <w:u w:val="single"/>
          <w:lang w:eastAsia="zh-CN"/>
        </w:rPr>
        <w:t xml:space="preserve">工程量变化(指非承包人原因或工程变更导致工程量增减变化)时，如果工程量偏差小于等于15%时，可以相应调整合同价款，单价不变;如果工程量偏差超过15%，应调整增加过15%部分或减少过15%后剩余部分工程量的综合单价，具体调整如下:1、当工程量增加15%以上时，增加超过15%部分的工程量的综合单价应予调低，调整后的综合单价为承包人投标的综合单价再下浮5%;2、当工程量减少15%以上时，减少后剩余部分工程量的综合单价应予调高，调整后的综合单价为承包人投标的综合单价再上浮5% </w:t>
      </w:r>
      <w:r>
        <w:rPr>
          <w:rFonts w:ascii="宋体" w:hAnsi="宋体" w:hint="eastAsia"/>
          <w:lang w:eastAsia="zh-CN"/>
        </w:rPr>
        <w:t>。</w:t>
      </w:r>
    </w:p>
    <w:p w14:paraId="0835AFAE">
      <w:pPr>
        <w:spacing w:line="360" w:lineRule="auto"/>
        <w:rPr>
          <w:rFonts w:ascii="宋体" w:hAnsi="宋体"/>
          <w:bCs/>
          <w:lang w:eastAsia="zh-CN"/>
        </w:rPr>
      </w:pPr>
      <w:bookmarkStart w:id="559" w:name="_Toc351203634"/>
      <w:r>
        <w:rPr>
          <w:rFonts w:ascii="宋体" w:hAnsi="宋体" w:hint="eastAsia"/>
          <w:bCs/>
          <w:lang w:eastAsia="zh-CN"/>
        </w:rPr>
        <w:t>2</w:t>
      </w:r>
      <w:bookmarkStart w:id="560" w:name="_Toc296890985"/>
      <w:bookmarkStart w:id="561" w:name="_Toc296944496"/>
      <w:bookmarkStart w:id="562" w:name="_Toc296891197"/>
      <w:bookmarkStart w:id="563" w:name="_Toc292559362"/>
      <w:bookmarkStart w:id="564" w:name="_Toc296503157"/>
      <w:bookmarkStart w:id="565" w:name="_Toc296347156"/>
      <w:bookmarkStart w:id="566" w:name="_Toc297048343"/>
      <w:bookmarkStart w:id="567" w:name="_Toc292559867"/>
      <w:bookmarkStart w:id="568" w:name="_Toc296346658"/>
      <w:bookmarkStart w:id="569" w:name="_Toc297120457"/>
      <w:r>
        <w:rPr>
          <w:rFonts w:ascii="宋体" w:hAnsi="宋体" w:hint="eastAsia"/>
          <w:bCs/>
          <w:lang w:eastAsia="zh-CN"/>
        </w:rPr>
        <w:t>. 发包人</w:t>
      </w:r>
      <w:bookmarkEnd w:id="559"/>
    </w:p>
    <w:bookmarkEnd w:id="560"/>
    <w:bookmarkEnd w:id="561"/>
    <w:bookmarkEnd w:id="562"/>
    <w:bookmarkEnd w:id="563"/>
    <w:bookmarkEnd w:id="564"/>
    <w:bookmarkEnd w:id="565"/>
    <w:bookmarkEnd w:id="566"/>
    <w:bookmarkEnd w:id="567"/>
    <w:bookmarkEnd w:id="568"/>
    <w:bookmarkEnd w:id="569"/>
    <w:p w14:paraId="0B521CC2">
      <w:pPr>
        <w:spacing w:line="360" w:lineRule="auto"/>
        <w:rPr>
          <w:rFonts w:ascii="宋体" w:hAnsi="宋体"/>
          <w:lang w:eastAsia="zh-CN"/>
        </w:rPr>
      </w:pPr>
      <w:r>
        <w:rPr>
          <w:rFonts w:ascii="宋体" w:hAnsi="宋体" w:hint="eastAsia"/>
          <w:lang w:eastAsia="zh-CN"/>
        </w:rPr>
        <w:t>2.2 发包人代表</w:t>
      </w:r>
    </w:p>
    <w:p w14:paraId="2EA84131">
      <w:pPr>
        <w:spacing w:line="360" w:lineRule="auto"/>
        <w:rPr>
          <w:rFonts w:ascii="宋体" w:hAnsi="宋体"/>
          <w:lang w:eastAsia="zh-CN"/>
        </w:rPr>
      </w:pPr>
      <w:r>
        <w:rPr>
          <w:rFonts w:ascii="宋体" w:hAnsi="宋体" w:hint="eastAsia"/>
          <w:lang w:eastAsia="zh-CN"/>
        </w:rPr>
        <w:t>发包人代表：</w:t>
      </w:r>
    </w:p>
    <w:p w14:paraId="3636EA8A">
      <w:pPr>
        <w:spacing w:line="360" w:lineRule="auto"/>
        <w:rPr>
          <w:rFonts w:ascii="宋体" w:hAnsi="宋体"/>
          <w:lang w:eastAsia="zh-CN"/>
        </w:rPr>
      </w:pPr>
      <w:r>
        <w:rPr>
          <w:rFonts w:ascii="宋体" w:hAnsi="宋体" w:hint="eastAsia"/>
          <w:lang w:eastAsia="zh-CN"/>
        </w:rPr>
        <w:t>姓    名：</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46AD3998">
      <w:pPr>
        <w:spacing w:line="360" w:lineRule="auto"/>
        <w:rPr>
          <w:rFonts w:ascii="宋体" w:hAnsi="宋体"/>
          <w:lang w:eastAsia="zh-CN"/>
        </w:rPr>
      </w:pPr>
      <w:r>
        <w:rPr>
          <w:rFonts w:ascii="宋体" w:hAnsi="宋体" w:hint="eastAsia"/>
          <w:lang w:eastAsia="zh-CN"/>
        </w:rPr>
        <w:t>身份证号：</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7066F364">
      <w:pPr>
        <w:spacing w:line="360" w:lineRule="auto"/>
        <w:rPr>
          <w:rFonts w:ascii="宋体" w:hAnsi="宋体"/>
          <w:lang w:eastAsia="zh-CN"/>
        </w:rPr>
      </w:pPr>
      <w:r>
        <w:rPr>
          <w:rFonts w:ascii="宋体" w:hAnsi="宋体" w:hint="eastAsia"/>
          <w:lang w:eastAsia="zh-CN"/>
        </w:rPr>
        <w:t>职    务：</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318D84B6">
      <w:pPr>
        <w:spacing w:line="360" w:lineRule="auto"/>
        <w:rPr>
          <w:rFonts w:ascii="宋体" w:hAnsi="宋体"/>
          <w:lang w:eastAsia="zh-CN"/>
        </w:rPr>
      </w:pPr>
      <w:r>
        <w:rPr>
          <w:rFonts w:ascii="宋体" w:hAnsi="宋体" w:hint="eastAsia"/>
          <w:lang w:eastAsia="zh-CN"/>
        </w:rPr>
        <w:t>联系电话：</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1BA94B7A">
      <w:pPr>
        <w:spacing w:line="360" w:lineRule="auto"/>
        <w:rPr>
          <w:rFonts w:ascii="宋体" w:hAnsi="宋体"/>
          <w:lang w:eastAsia="zh-CN"/>
        </w:rPr>
      </w:pPr>
      <w:r>
        <w:rPr>
          <w:rFonts w:ascii="宋体" w:hAnsi="宋体" w:hint="eastAsia"/>
          <w:lang w:eastAsia="zh-CN"/>
        </w:rPr>
        <w:t>电子信箱：</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2A6CB56A">
      <w:pPr>
        <w:spacing w:line="360" w:lineRule="auto"/>
        <w:rPr>
          <w:rFonts w:ascii="宋体" w:hAnsi="宋体"/>
          <w:lang w:eastAsia="zh-CN"/>
        </w:rPr>
      </w:pPr>
      <w:r>
        <w:rPr>
          <w:rFonts w:ascii="宋体" w:hAnsi="宋体" w:hint="eastAsia"/>
          <w:lang w:eastAsia="zh-CN"/>
        </w:rPr>
        <w:t>通信地址：</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6D1998A4">
      <w:pPr>
        <w:spacing w:line="360" w:lineRule="auto"/>
        <w:rPr>
          <w:rFonts w:ascii="宋体" w:hAnsi="宋体"/>
          <w:color w:val="00B0F0"/>
          <w:u w:val="single"/>
          <w:lang w:eastAsia="zh-CN"/>
        </w:rPr>
      </w:pPr>
      <w:r>
        <w:rPr>
          <w:rFonts w:ascii="宋体" w:hAnsi="宋体" w:hint="eastAsia"/>
          <w:lang w:eastAsia="zh-CN"/>
        </w:rPr>
        <w:t>发包人对发包人代表的授权范围如下：</w:t>
      </w:r>
      <w:r>
        <w:rPr>
          <w:rFonts w:ascii="宋体" w:hAnsi="宋体"/>
          <w:color w:val="00B0F0"/>
          <w:u w:val="single"/>
        </w:rPr>
        <w:sym w:font="宋体" w:char="F5E5"/>
      </w:r>
      <w:r>
        <w:rPr>
          <w:rFonts w:ascii="宋体" w:hAnsi="宋体" w:hint="eastAsia"/>
          <w:color w:val="00B0F0"/>
          <w:u w:val="single"/>
        </w:rPr>
        <w:t>协调工程建设各单位关系，处理对内、对外一般日常事务，督促施工方按图施工、监理方认真履行职责，审核各阶段工程，确保工程质量，发包人有权书面通知承包人更换其认为不称职的项目经理，承包人应在接到更换通知后7天内更换</w:t>
      </w:r>
      <w:r>
        <w:rPr>
          <w:rFonts w:ascii="宋体" w:hAnsi="宋体" w:hint="eastAsia"/>
          <w:color w:val="00B0F0"/>
          <w:u w:val="single"/>
          <w:lang w:eastAsia="zh-CN"/>
        </w:rPr>
        <w:t xml:space="preserve"> </w:t>
      </w:r>
    </w:p>
    <w:p w14:paraId="5F2227D8">
      <w:pPr>
        <w:spacing w:line="360" w:lineRule="auto"/>
        <w:rPr>
          <w:rFonts w:ascii="宋体" w:hAnsi="宋体"/>
          <w:b/>
          <w:lang w:eastAsia="zh-CN"/>
        </w:rPr>
      </w:pPr>
      <w:r>
        <w:rPr>
          <w:rFonts w:ascii="宋体" w:hAnsi="宋体" w:hint="eastAsia"/>
          <w:lang w:eastAsia="zh-CN"/>
        </w:rPr>
        <w:t>。</w:t>
      </w:r>
    </w:p>
    <w:p w14:paraId="06DF1D1B">
      <w:pPr>
        <w:spacing w:line="360" w:lineRule="auto"/>
        <w:rPr>
          <w:rFonts w:ascii="宋体" w:hAnsi="宋体"/>
          <w:lang w:eastAsia="zh-CN"/>
        </w:rPr>
      </w:pPr>
      <w:r>
        <w:rPr>
          <w:rFonts w:ascii="宋体" w:hAnsi="宋体" w:hint="eastAsia"/>
          <w:lang w:eastAsia="zh-CN"/>
        </w:rPr>
        <w:t>2.4 施工现场、施工条件和基础资料的提供</w:t>
      </w:r>
    </w:p>
    <w:p w14:paraId="62A73342">
      <w:pPr>
        <w:spacing w:line="360" w:lineRule="auto"/>
        <w:rPr>
          <w:rFonts w:ascii="宋体" w:hAnsi="宋体"/>
          <w:lang w:eastAsia="zh-CN"/>
        </w:rPr>
      </w:pPr>
      <w:r>
        <w:rPr>
          <w:rFonts w:ascii="宋体" w:hAnsi="宋体" w:hint="eastAsia"/>
          <w:lang w:eastAsia="zh-CN"/>
        </w:rPr>
        <w:t>2.4.1 提供施工现场</w:t>
      </w:r>
    </w:p>
    <w:p w14:paraId="6051A004">
      <w:pPr>
        <w:spacing w:line="360" w:lineRule="auto"/>
        <w:rPr>
          <w:rFonts w:ascii="宋体" w:hAnsi="宋体"/>
          <w:lang w:eastAsia="zh-CN"/>
        </w:rPr>
      </w:pPr>
      <w:r>
        <w:rPr>
          <w:rFonts w:ascii="宋体" w:hAnsi="宋体" w:hint="eastAsia"/>
          <w:lang w:eastAsia="zh-CN"/>
        </w:rPr>
        <w:t>关于发包人移交施工现场的期限要求：</w:t>
      </w:r>
      <w:r>
        <w:rPr>
          <w:rFonts w:ascii="宋体" w:hAnsi="宋体"/>
          <w:color w:val="00B0F0"/>
          <w:u w:val="single"/>
        </w:rPr>
        <w:sym w:font="宋体" w:char="F5E5"/>
      </w:r>
      <w:r>
        <w:rPr>
          <w:rFonts w:ascii="宋体" w:hAnsi="宋体" w:hint="eastAsia"/>
          <w:color w:val="00B0F0"/>
          <w:u w:val="single"/>
        </w:rPr>
        <w:t>施工场地应当在监理人发出的开工通知中载明的开工日期前7天具备施工条件并移交给承包人</w:t>
      </w:r>
      <w:r>
        <w:rPr>
          <w:rFonts w:ascii="宋体" w:hAnsi="宋体" w:hint="eastAsia"/>
          <w:color w:val="00B0F0"/>
          <w:u w:val="single"/>
          <w:lang w:eastAsia="zh-CN"/>
        </w:rPr>
        <w:t xml:space="preserve"> </w:t>
      </w:r>
      <w:r>
        <w:rPr>
          <w:rFonts w:ascii="宋体" w:hAnsi="宋体" w:hint="eastAsia"/>
          <w:lang w:eastAsia="zh-CN"/>
        </w:rPr>
        <w:t>。</w:t>
      </w:r>
    </w:p>
    <w:p w14:paraId="2EB8046C">
      <w:pPr>
        <w:spacing w:line="360" w:lineRule="auto"/>
        <w:rPr>
          <w:rFonts w:ascii="宋体" w:hAnsi="宋体"/>
          <w:lang w:eastAsia="zh-CN"/>
        </w:rPr>
      </w:pPr>
      <w:r>
        <w:rPr>
          <w:rFonts w:ascii="宋体" w:hAnsi="宋体" w:hint="eastAsia"/>
          <w:lang w:eastAsia="zh-CN"/>
        </w:rPr>
        <w:t>2.4.2 提供施工条件</w:t>
      </w:r>
    </w:p>
    <w:p w14:paraId="2A7DB957">
      <w:pPr>
        <w:spacing w:line="360" w:lineRule="auto"/>
        <w:rPr>
          <w:rFonts w:ascii="宋体" w:hAnsi="宋体"/>
          <w:u w:val="single"/>
          <w:lang w:eastAsia="zh-CN"/>
        </w:rPr>
      </w:pPr>
      <w:r>
        <w:rPr>
          <w:rFonts w:ascii="宋体" w:hAnsi="宋体" w:hint="eastAsia"/>
          <w:lang w:eastAsia="zh-CN"/>
        </w:rPr>
        <w:t>关于发包人应负责提供施工所需要的条件，包括：</w:t>
      </w:r>
      <w:r>
        <w:rPr>
          <w:rFonts w:ascii="宋体" w:hAnsi="宋体" w:hint="eastAsia"/>
          <w:color w:val="00B0F0"/>
          <w:u w:val="single"/>
          <w:lang w:eastAsia="zh-CN"/>
        </w:rPr>
        <w:t xml:space="preserve"> 除合同通用条款约定外，还包括办理土地征用、拆迁补偿等工作  </w:t>
      </w:r>
      <w:r>
        <w:rPr>
          <w:rFonts w:ascii="宋体" w:hAnsi="宋体" w:hint="eastAsia"/>
          <w:lang w:eastAsia="zh-CN"/>
        </w:rPr>
        <w:t>。</w:t>
      </w:r>
    </w:p>
    <w:p w14:paraId="23AA688B">
      <w:pPr>
        <w:spacing w:line="360" w:lineRule="auto"/>
        <w:rPr>
          <w:rFonts w:ascii="宋体" w:hAnsi="宋体"/>
          <w:lang w:eastAsia="zh-CN"/>
        </w:rPr>
      </w:pPr>
      <w:r>
        <w:rPr>
          <w:rFonts w:ascii="宋体" w:hAnsi="宋体" w:hint="eastAsia"/>
          <w:lang w:eastAsia="zh-CN"/>
        </w:rPr>
        <w:t>2.5 资金来源证明及支付担保</w:t>
      </w:r>
    </w:p>
    <w:p w14:paraId="5CA9EE9C">
      <w:pPr>
        <w:spacing w:line="360" w:lineRule="auto"/>
        <w:rPr>
          <w:rFonts w:ascii="宋体" w:hAnsi="宋体"/>
          <w:lang w:eastAsia="zh-CN"/>
        </w:rPr>
      </w:pPr>
      <w:r>
        <w:rPr>
          <w:rFonts w:ascii="宋体" w:hAnsi="宋体" w:hint="eastAsia"/>
          <w:lang w:eastAsia="zh-CN"/>
        </w:rPr>
        <w:t>发包人提供资金来源证明的期限要求：</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            </w:t>
      </w:r>
      <w:r>
        <w:rPr>
          <w:rFonts w:ascii="宋体" w:hAnsi="宋体" w:hint="eastAsia"/>
          <w:lang w:eastAsia="zh-CN"/>
        </w:rPr>
        <w:t>。</w:t>
      </w:r>
    </w:p>
    <w:p w14:paraId="4C91F898">
      <w:pPr>
        <w:spacing w:line="360" w:lineRule="auto"/>
        <w:rPr>
          <w:rFonts w:ascii="宋体" w:hAnsi="宋体"/>
          <w:lang w:eastAsia="zh-CN"/>
        </w:rPr>
      </w:pPr>
      <w:r>
        <w:rPr>
          <w:rFonts w:ascii="宋体" w:hAnsi="宋体" w:hint="eastAsia"/>
          <w:lang w:eastAsia="zh-CN"/>
        </w:rPr>
        <w:t>发包人是否提供支付担保：</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否      </w:t>
      </w:r>
      <w:r>
        <w:rPr>
          <w:rFonts w:ascii="宋体" w:hAnsi="宋体" w:hint="eastAsia"/>
          <w:lang w:eastAsia="zh-CN"/>
        </w:rPr>
        <w:t>。</w:t>
      </w:r>
    </w:p>
    <w:p w14:paraId="767B28A2">
      <w:pPr>
        <w:spacing w:line="360" w:lineRule="auto"/>
        <w:rPr>
          <w:rFonts w:ascii="宋体" w:hAnsi="宋体"/>
          <w:u w:val="single"/>
          <w:lang w:eastAsia="zh-CN"/>
        </w:rPr>
      </w:pPr>
      <w:r>
        <w:rPr>
          <w:rFonts w:ascii="宋体" w:hAnsi="宋体" w:hint="eastAsia"/>
          <w:lang w:eastAsia="zh-CN"/>
        </w:rPr>
        <w:t>发包人提供支付担保的形式：</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           </w:t>
      </w:r>
      <w:r>
        <w:rPr>
          <w:rFonts w:ascii="宋体" w:hAnsi="宋体" w:hint="eastAsia"/>
          <w:lang w:eastAsia="zh-CN"/>
        </w:rPr>
        <w:t>。</w:t>
      </w:r>
    </w:p>
    <w:p w14:paraId="73749127">
      <w:pPr>
        <w:spacing w:line="360" w:lineRule="auto"/>
        <w:rPr>
          <w:rFonts w:ascii="宋体" w:hAnsi="宋体"/>
          <w:bCs/>
          <w:lang w:eastAsia="zh-CN"/>
        </w:rPr>
      </w:pPr>
      <w:bookmarkStart w:id="570" w:name="_Toc351203635"/>
      <w:r>
        <w:rPr>
          <w:rFonts w:ascii="宋体" w:hAnsi="宋体" w:hint="eastAsia"/>
          <w:bCs/>
          <w:lang w:eastAsia="zh-CN"/>
        </w:rPr>
        <w:t>3</w:t>
      </w:r>
      <w:bookmarkStart w:id="571" w:name="_Toc292559868"/>
      <w:bookmarkStart w:id="572" w:name="_Toc296890986"/>
      <w:bookmarkStart w:id="573" w:name="_Toc297120458"/>
      <w:bookmarkStart w:id="574" w:name="_Toc296346659"/>
      <w:bookmarkStart w:id="575" w:name="_Toc296503158"/>
      <w:bookmarkStart w:id="576" w:name="_Toc297048344"/>
      <w:bookmarkStart w:id="577" w:name="_Toc292559363"/>
      <w:bookmarkStart w:id="578" w:name="_Toc296891198"/>
      <w:bookmarkStart w:id="579" w:name="_Toc296347157"/>
      <w:bookmarkStart w:id="580" w:name="_Toc296944497"/>
      <w:r>
        <w:rPr>
          <w:rFonts w:ascii="宋体" w:hAnsi="宋体" w:hint="eastAsia"/>
          <w:bCs/>
          <w:lang w:eastAsia="zh-CN"/>
        </w:rPr>
        <w:t>. 承包人</w:t>
      </w:r>
      <w:bookmarkEnd w:id="570"/>
    </w:p>
    <w:bookmarkEnd w:id="571"/>
    <w:bookmarkEnd w:id="572"/>
    <w:bookmarkEnd w:id="573"/>
    <w:bookmarkEnd w:id="574"/>
    <w:bookmarkEnd w:id="575"/>
    <w:bookmarkEnd w:id="576"/>
    <w:bookmarkEnd w:id="577"/>
    <w:bookmarkEnd w:id="578"/>
    <w:bookmarkEnd w:id="579"/>
    <w:bookmarkEnd w:id="580"/>
    <w:p w14:paraId="24283797">
      <w:pPr>
        <w:spacing w:line="360" w:lineRule="auto"/>
        <w:rPr>
          <w:rFonts w:ascii="宋体" w:hAnsi="宋体"/>
          <w:lang w:eastAsia="zh-CN"/>
        </w:rPr>
      </w:pPr>
      <w:r>
        <w:rPr>
          <w:rFonts w:ascii="宋体" w:hAnsi="宋体" w:hint="eastAsia"/>
          <w:lang w:eastAsia="zh-CN"/>
        </w:rPr>
        <w:t>3.1 承包人的一般义务</w:t>
      </w:r>
    </w:p>
    <w:p w14:paraId="645C73CC">
      <w:pPr>
        <w:spacing w:line="360" w:lineRule="auto"/>
        <w:rPr>
          <w:rFonts w:ascii="宋体" w:hAnsi="宋体"/>
          <w:lang w:eastAsia="zh-CN"/>
        </w:rPr>
      </w:pPr>
      <w:r>
        <w:rPr>
          <w:rFonts w:ascii="宋体" w:hAnsi="宋体" w:hint="eastAsia"/>
          <w:lang w:eastAsia="zh-CN"/>
        </w:rPr>
        <w:t>（9）承包人提交的竣工资料的内容：</w:t>
      </w:r>
      <w:r>
        <w:rPr>
          <w:rFonts w:ascii="宋体" w:hAnsi="宋体" w:hint="eastAsia"/>
          <w:color w:val="00B0F0"/>
          <w:u w:val="single"/>
          <w:lang w:eastAsia="zh-CN"/>
        </w:rPr>
        <w:t xml:space="preserve"> 承包人按城建档案馆的要求提供竣工图和竣工资料一式四套，并由承包人负责交给城建档案馆一套、交给发包人一套、城管局（建议核实并据实修改）一套、审计局一套。承包人提供的竣工图和竣工资料必须由发包人、承包人、监理三方签字认可，并配合发包人取得四川省竣工验收备案书   </w:t>
      </w:r>
      <w:r>
        <w:rPr>
          <w:rFonts w:ascii="宋体" w:hAnsi="宋体" w:hint="eastAsia"/>
          <w:lang w:eastAsia="zh-CN"/>
        </w:rPr>
        <w:t>。</w:t>
      </w:r>
    </w:p>
    <w:p w14:paraId="3A385980">
      <w:pPr>
        <w:spacing w:line="360" w:lineRule="auto"/>
        <w:rPr>
          <w:rFonts w:ascii="宋体" w:hAnsi="宋体"/>
          <w:lang w:eastAsia="zh-CN"/>
        </w:rPr>
      </w:pPr>
      <w:r>
        <w:rPr>
          <w:rFonts w:ascii="宋体" w:hAnsi="宋体" w:hint="eastAsia"/>
          <w:lang w:eastAsia="zh-CN"/>
        </w:rPr>
        <w:t>承包人需要提交的竣工资料套数：</w:t>
      </w:r>
      <w:r>
        <w:rPr>
          <w:rFonts w:ascii="宋体" w:hAnsi="宋体" w:hint="eastAsia"/>
          <w:color w:val="00B0F0"/>
          <w:u w:val="single"/>
          <w:lang w:eastAsia="zh-CN"/>
        </w:rPr>
        <w:t xml:space="preserve">  四套  </w:t>
      </w:r>
      <w:r>
        <w:rPr>
          <w:rFonts w:ascii="宋体" w:hAnsi="宋体" w:hint="eastAsia"/>
          <w:lang w:eastAsia="zh-CN"/>
        </w:rPr>
        <w:t>。</w:t>
      </w:r>
    </w:p>
    <w:p w14:paraId="42569E87">
      <w:pPr>
        <w:spacing w:line="360" w:lineRule="auto"/>
        <w:rPr>
          <w:rFonts w:ascii="宋体" w:hAnsi="宋体"/>
          <w:lang w:eastAsia="zh-CN"/>
        </w:rPr>
      </w:pPr>
      <w:r>
        <w:rPr>
          <w:rFonts w:ascii="宋体" w:hAnsi="宋体" w:hint="eastAsia"/>
          <w:lang w:eastAsia="zh-CN"/>
        </w:rPr>
        <w:t>承包人提交的竣工资料的费用承担：</w:t>
      </w:r>
      <w:r>
        <w:rPr>
          <w:rFonts w:ascii="宋体" w:hAnsi="宋体" w:hint="eastAsia"/>
          <w:color w:val="00B0F0"/>
          <w:u w:val="single"/>
          <w:lang w:eastAsia="zh-CN"/>
        </w:rPr>
        <w:t xml:space="preserve"> 由承包人承担    </w:t>
      </w:r>
      <w:r>
        <w:rPr>
          <w:rFonts w:ascii="宋体" w:hAnsi="宋体" w:hint="eastAsia"/>
          <w:lang w:eastAsia="zh-CN"/>
        </w:rPr>
        <w:t>。</w:t>
      </w:r>
    </w:p>
    <w:p w14:paraId="66F63F9E">
      <w:pPr>
        <w:spacing w:line="360" w:lineRule="auto"/>
        <w:rPr>
          <w:rFonts w:ascii="宋体" w:hAnsi="宋体"/>
          <w:lang w:eastAsia="zh-CN"/>
        </w:rPr>
      </w:pPr>
      <w:r>
        <w:rPr>
          <w:rFonts w:ascii="宋体" w:hAnsi="宋体" w:hint="eastAsia"/>
          <w:lang w:eastAsia="zh-CN"/>
        </w:rPr>
        <w:t>承包人提交的竣工资料移交时间：</w:t>
      </w:r>
      <w:r>
        <w:rPr>
          <w:rFonts w:ascii="宋体" w:hAnsi="宋体" w:hint="eastAsia"/>
          <w:color w:val="00B0F0"/>
          <w:u w:val="single"/>
          <w:lang w:eastAsia="zh-CN"/>
        </w:rPr>
        <w:t xml:space="preserve">  竣工验收合格后一个月内  </w:t>
      </w:r>
      <w:r>
        <w:rPr>
          <w:rFonts w:ascii="宋体" w:hAnsi="宋体" w:hint="eastAsia"/>
          <w:lang w:eastAsia="zh-CN"/>
        </w:rPr>
        <w:t>。</w:t>
      </w:r>
    </w:p>
    <w:p w14:paraId="36801395">
      <w:pPr>
        <w:spacing w:line="360" w:lineRule="auto"/>
        <w:rPr>
          <w:rFonts w:ascii="宋体" w:hAnsi="宋体"/>
          <w:lang w:eastAsia="zh-CN"/>
        </w:rPr>
      </w:pPr>
      <w:r>
        <w:rPr>
          <w:rFonts w:ascii="宋体" w:hAnsi="宋体" w:hint="eastAsia"/>
          <w:lang w:eastAsia="zh-CN"/>
        </w:rPr>
        <w:t>承包人提交的竣工资料形式要求：</w:t>
      </w:r>
      <w:r>
        <w:rPr>
          <w:rFonts w:ascii="宋体" w:hAnsi="宋体" w:hint="eastAsia"/>
          <w:color w:val="00B0F0"/>
          <w:u w:val="single"/>
          <w:lang w:eastAsia="zh-CN"/>
        </w:rPr>
        <w:t xml:space="preserve"> 签章齐全的纸质文件和必要的电子文件 </w:t>
      </w:r>
      <w:r>
        <w:rPr>
          <w:rFonts w:ascii="宋体" w:hAnsi="宋体" w:hint="eastAsia"/>
          <w:lang w:eastAsia="zh-CN"/>
        </w:rPr>
        <w:t>。</w:t>
      </w:r>
    </w:p>
    <w:p w14:paraId="6A382044">
      <w:pPr>
        <w:spacing w:line="360" w:lineRule="auto"/>
        <w:rPr>
          <w:rFonts w:ascii="宋体" w:hAnsi="宋体" w:hint="eastAsia"/>
          <w:color w:val="00B0F0"/>
          <w:u w:val="single"/>
        </w:rPr>
      </w:pPr>
      <w:r>
        <w:rPr>
          <w:rFonts w:ascii="宋体" w:hAnsi="宋体" w:hint="eastAsia"/>
          <w:lang w:eastAsia="zh-CN"/>
        </w:rPr>
        <w:t>（10）承包人应履行的其他义务：</w:t>
      </w:r>
      <w:r>
        <w:rPr>
          <w:rFonts w:ascii="宋体" w:hAnsi="宋体" w:hint="eastAsia"/>
          <w:color w:val="00B0F0"/>
          <w:u w:val="single"/>
        </w:rPr>
        <w:t>1、承包人承诺投标时的《施工组织设计》是充分理解本项目施工图设计、地基勘查资料、项目其他资料并进行了充分的现场踏勘的基础上制定的，《施工组织设计》中的施工方案、施工措施、施工设备、劳动力组织等均完全满足本项目各种情况下的需求，工程实施过程中发生与《施工组织设计》中不一致的事件，都是总承包方为更好完成本工程采取的主动方法措施，不产生任何变更费用，其中重要的施工方案或施工措施变动，按要求须申报的，仍须按要求申报审批，但只作技术变更处理，不作经济变更处理；</w:t>
      </w:r>
    </w:p>
    <w:p w14:paraId="35AECC47">
      <w:pPr>
        <w:spacing w:line="360" w:lineRule="auto"/>
        <w:rPr>
          <w:rFonts w:ascii="宋体" w:hAnsi="宋体"/>
          <w:lang w:eastAsia="zh-CN"/>
        </w:rPr>
      </w:pPr>
      <w:r>
        <w:rPr>
          <w:rFonts w:ascii="宋体" w:hAnsi="宋体" w:hint="eastAsia"/>
          <w:color w:val="00B0F0"/>
          <w:u w:val="single"/>
        </w:rPr>
        <w:t>2、承包人承诺，完全按发包人总的开发进度要求，匹配资源，完成对应的区域内的相关工程，发包人前期开发相关节点计划“2026年9月25日： 示范区施工完成 （大门外装饰、大门两侧商业外装饰及前广场等），2026年10月20日：楼栋地面三层（2#、7#、8#、13#楼及大门内广场等），2027年1月30日:样板间（地上2#、7#、8#、13#（99m²、105m²、139m²户型））”，后续开发根据发包人要求进行全力配合</w:t>
      </w:r>
      <w:r>
        <w:rPr>
          <w:rFonts w:ascii="宋体" w:hAnsi="宋体" w:hint="eastAsia"/>
          <w:color w:val="00B0F0"/>
          <w:u w:val="single"/>
          <w:lang w:eastAsia="zh-CN"/>
        </w:rPr>
        <w:t xml:space="preserve">  </w:t>
      </w:r>
      <w:r>
        <w:rPr>
          <w:rFonts w:ascii="宋体" w:hAnsi="宋体" w:hint="eastAsia"/>
          <w:lang w:eastAsia="zh-CN"/>
        </w:rPr>
        <w:t>。</w:t>
      </w:r>
    </w:p>
    <w:p w14:paraId="49CAE9CF">
      <w:pPr>
        <w:spacing w:line="360" w:lineRule="auto"/>
        <w:rPr>
          <w:rFonts w:ascii="宋体" w:hAnsi="宋体"/>
          <w:lang w:eastAsia="zh-CN"/>
        </w:rPr>
      </w:pPr>
      <w:r>
        <w:rPr>
          <w:rFonts w:ascii="宋体" w:hAnsi="宋体" w:hint="eastAsia"/>
          <w:lang w:eastAsia="zh-CN"/>
        </w:rPr>
        <w:t>3.2 项目经理</w:t>
      </w:r>
    </w:p>
    <w:p w14:paraId="70821EBC">
      <w:pPr>
        <w:spacing w:line="360" w:lineRule="auto"/>
        <w:rPr>
          <w:rFonts w:ascii="宋体" w:hAnsi="宋体"/>
          <w:lang w:eastAsia="zh-CN"/>
        </w:rPr>
      </w:pPr>
      <w:r>
        <w:rPr>
          <w:rFonts w:ascii="宋体" w:hAnsi="宋体" w:hint="eastAsia"/>
          <w:lang w:eastAsia="zh-CN"/>
        </w:rPr>
        <w:t>3.2.1 项目经理：</w:t>
      </w:r>
    </w:p>
    <w:p w14:paraId="3D7F46B6">
      <w:pPr>
        <w:spacing w:line="360" w:lineRule="auto"/>
        <w:rPr>
          <w:rFonts w:ascii="宋体" w:hAnsi="宋体"/>
          <w:lang w:eastAsia="zh-CN"/>
        </w:rPr>
      </w:pPr>
      <w:r>
        <w:rPr>
          <w:rFonts w:ascii="宋体" w:hAnsi="宋体" w:hint="eastAsia"/>
          <w:lang w:eastAsia="zh-CN"/>
        </w:rPr>
        <w:t>姓    名：</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766839A8">
      <w:pPr>
        <w:spacing w:line="360" w:lineRule="auto"/>
        <w:rPr>
          <w:rFonts w:ascii="宋体" w:hAnsi="宋体"/>
          <w:lang w:eastAsia="zh-CN"/>
        </w:rPr>
      </w:pPr>
      <w:r>
        <w:rPr>
          <w:rFonts w:ascii="宋体" w:hAnsi="宋体" w:hint="eastAsia"/>
          <w:lang w:eastAsia="zh-CN"/>
        </w:rPr>
        <w:t>身份证号：</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0B69D32A">
      <w:pPr>
        <w:spacing w:line="360" w:lineRule="auto"/>
        <w:rPr>
          <w:rFonts w:ascii="宋体" w:hAnsi="宋体"/>
          <w:lang w:eastAsia="zh-CN"/>
        </w:rPr>
      </w:pPr>
      <w:r>
        <w:rPr>
          <w:rFonts w:ascii="宋体" w:hAnsi="宋体" w:hint="eastAsia"/>
          <w:lang w:eastAsia="zh-CN"/>
        </w:rPr>
        <w:t>建造师执业资格等级：</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3FC935CE">
      <w:pPr>
        <w:spacing w:line="360" w:lineRule="auto"/>
        <w:rPr>
          <w:rFonts w:ascii="宋体" w:hAnsi="宋体"/>
          <w:lang w:eastAsia="zh-CN"/>
        </w:rPr>
      </w:pPr>
      <w:r>
        <w:rPr>
          <w:rFonts w:ascii="宋体" w:hAnsi="宋体" w:hint="eastAsia"/>
          <w:lang w:eastAsia="zh-CN"/>
        </w:rPr>
        <w:t>建造师注册证书号：</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51454A78">
      <w:pPr>
        <w:spacing w:line="360" w:lineRule="auto"/>
        <w:rPr>
          <w:rFonts w:ascii="宋体" w:hAnsi="宋体"/>
          <w:lang w:eastAsia="zh-CN"/>
        </w:rPr>
      </w:pPr>
      <w:r>
        <w:rPr>
          <w:rFonts w:ascii="宋体" w:hAnsi="宋体" w:hint="eastAsia"/>
          <w:lang w:eastAsia="zh-CN"/>
        </w:rPr>
        <w:t>建造师执业印章号：</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69CB673C">
      <w:pPr>
        <w:spacing w:line="360" w:lineRule="auto"/>
        <w:rPr>
          <w:rFonts w:ascii="宋体" w:hAnsi="宋体"/>
          <w:lang w:eastAsia="zh-CN"/>
        </w:rPr>
      </w:pPr>
      <w:r>
        <w:rPr>
          <w:rFonts w:ascii="宋体" w:hAnsi="宋体" w:hint="eastAsia"/>
          <w:lang w:eastAsia="zh-CN"/>
        </w:rPr>
        <w:t>安全生产考核合格证书号：</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399EDBE0">
      <w:pPr>
        <w:spacing w:line="360" w:lineRule="auto"/>
        <w:rPr>
          <w:rFonts w:ascii="宋体" w:hAnsi="宋体"/>
          <w:lang w:eastAsia="zh-CN"/>
        </w:rPr>
      </w:pPr>
      <w:r>
        <w:rPr>
          <w:rFonts w:ascii="宋体" w:hAnsi="宋体" w:hint="eastAsia"/>
          <w:lang w:eastAsia="zh-CN"/>
        </w:rPr>
        <w:t>联系电话：</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124244C6">
      <w:pPr>
        <w:spacing w:line="360" w:lineRule="auto"/>
        <w:rPr>
          <w:rFonts w:ascii="宋体" w:hAnsi="宋体"/>
          <w:lang w:eastAsia="zh-CN"/>
        </w:rPr>
      </w:pPr>
      <w:r>
        <w:rPr>
          <w:rFonts w:ascii="宋体" w:hAnsi="宋体" w:hint="eastAsia"/>
          <w:lang w:eastAsia="zh-CN"/>
        </w:rPr>
        <w:t>电子信箱：</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1BCD0A8F">
      <w:pPr>
        <w:spacing w:line="360" w:lineRule="auto"/>
        <w:rPr>
          <w:rFonts w:ascii="宋体" w:hAnsi="宋体"/>
          <w:lang w:eastAsia="zh-CN"/>
        </w:rPr>
      </w:pPr>
      <w:r>
        <w:rPr>
          <w:rFonts w:ascii="宋体" w:hAnsi="宋体" w:hint="eastAsia"/>
          <w:lang w:eastAsia="zh-CN"/>
        </w:rPr>
        <w:t>通信地址：</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542F7AB9">
      <w:pPr>
        <w:spacing w:line="360" w:lineRule="auto"/>
        <w:rPr>
          <w:rFonts w:ascii="宋体" w:hAnsi="宋体"/>
          <w:lang w:eastAsia="zh-CN"/>
        </w:rPr>
      </w:pPr>
      <w:r>
        <w:rPr>
          <w:rFonts w:ascii="宋体" w:hAnsi="宋体" w:hint="eastAsia"/>
          <w:lang w:eastAsia="zh-CN"/>
        </w:rPr>
        <w:t>承包人对项目经理的授权范围如下：</w:t>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全权负责本工程一切事务   </w:t>
      </w:r>
      <w:r>
        <w:rPr>
          <w:rFonts w:ascii="宋体" w:hAnsi="宋体" w:hint="eastAsia"/>
          <w:lang w:eastAsia="zh-CN"/>
        </w:rPr>
        <w:t>。</w:t>
      </w:r>
    </w:p>
    <w:p w14:paraId="56D8B92A">
      <w:pPr>
        <w:spacing w:line="360" w:lineRule="auto"/>
        <w:rPr>
          <w:rFonts w:ascii="宋体" w:hAnsi="宋体" w:hint="eastAsia"/>
          <w:color w:val="00B0F0"/>
          <w:u w:val="single"/>
          <w:lang w:eastAsia="zh-CN"/>
        </w:rPr>
      </w:pPr>
      <w:r>
        <w:rPr>
          <w:rFonts w:ascii="宋体" w:hAnsi="宋体" w:hint="eastAsia"/>
          <w:lang w:eastAsia="zh-CN"/>
        </w:rPr>
        <w:t>关于项目经理每月在施工现场的时间要求：</w:t>
      </w:r>
      <w:r>
        <w:rPr>
          <w:rFonts w:ascii="宋体" w:hAnsi="宋体" w:hint="eastAsia"/>
          <w:color w:val="00B0F0"/>
          <w:u w:val="single"/>
          <w:lang w:eastAsia="zh-CN"/>
        </w:rPr>
        <w:t xml:space="preserve"> 项目经理应常驻施工现场，且每月在施</w:t>
      </w:r>
    </w:p>
    <w:p w14:paraId="2C22D75B">
      <w:pPr>
        <w:spacing w:line="360" w:lineRule="auto"/>
        <w:rPr>
          <w:rFonts w:ascii="宋体" w:hAnsi="宋体"/>
          <w:lang w:eastAsia="zh-CN"/>
        </w:rPr>
      </w:pPr>
      <w:r>
        <w:rPr>
          <w:rFonts w:ascii="宋体" w:hAnsi="宋体" w:hint="eastAsia"/>
          <w:color w:val="00B0F0"/>
          <w:u w:val="single"/>
          <w:lang w:eastAsia="zh-CN"/>
        </w:rPr>
        <w:t>工现场时间不得少于22天</w:t>
      </w:r>
      <w:r>
        <w:rPr>
          <w:rFonts w:ascii="宋体" w:hAnsi="宋体"/>
          <w:color w:val="00B0F0"/>
          <w:u w:val="single"/>
        </w:rPr>
        <w:sym w:font="宋体" w:char="F5E5"/>
      </w:r>
      <w:r>
        <w:rPr>
          <w:rFonts w:ascii="宋体" w:hAnsi="宋体" w:hint="eastAsia"/>
          <w:lang w:eastAsia="zh-CN"/>
        </w:rPr>
        <w:t>。</w:t>
      </w:r>
    </w:p>
    <w:p w14:paraId="107C28C6">
      <w:pPr>
        <w:spacing w:line="360" w:lineRule="auto"/>
        <w:rPr>
          <w:rFonts w:ascii="宋体" w:hAnsi="宋体"/>
          <w:lang w:eastAsia="zh-CN"/>
        </w:rPr>
      </w:pPr>
      <w:r>
        <w:rPr>
          <w:rFonts w:ascii="宋体" w:hAnsi="宋体" w:hint="eastAsia"/>
          <w:lang w:eastAsia="zh-CN"/>
        </w:rPr>
        <w:t>承包人未提交劳动合同，以及没有为项目经理缴纳社会保险证明的违约责任：</w:t>
      </w:r>
      <w:r>
        <w:rPr>
          <w:rFonts w:ascii="宋体" w:hAnsi="宋体" w:hint="eastAsia"/>
          <w:u w:val="single"/>
          <w:lang w:eastAsia="zh-CN"/>
        </w:rPr>
        <w:t xml:space="preserve">     </w:t>
      </w:r>
      <w:r>
        <w:rPr>
          <w:rFonts w:ascii="宋体" w:hAnsi="宋体"/>
          <w:color w:val="00B0F0"/>
          <w:u w:val="single"/>
        </w:rPr>
        <w:sym w:font="宋体" w:char="F5E5"/>
      </w:r>
      <w:r>
        <w:rPr>
          <w:rFonts w:ascii="宋体" w:hAnsi="宋体" w:hint="eastAsia"/>
          <w:color w:val="00B0F0"/>
          <w:u w:val="single"/>
        </w:rPr>
        <w:t>按国家相关规定执行</w:t>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00620A54">
      <w:pPr>
        <w:spacing w:line="360" w:lineRule="auto"/>
        <w:rPr>
          <w:rFonts w:ascii="宋体" w:hAnsi="宋体"/>
          <w:u w:val="single"/>
          <w:lang w:eastAsia="zh-CN"/>
        </w:rPr>
      </w:pPr>
      <w:r>
        <w:rPr>
          <w:rFonts w:ascii="宋体" w:hAnsi="宋体" w:hint="eastAsia"/>
          <w:lang w:eastAsia="zh-CN"/>
        </w:rPr>
        <w:t>项目经理未经批准，擅自离开施工现场的违约责任：</w:t>
      </w:r>
      <w:r>
        <w:rPr>
          <w:rFonts w:ascii="宋体" w:hAnsi="宋体" w:hint="eastAsia"/>
          <w:color w:val="00B0F0"/>
          <w:u w:val="single"/>
          <w:lang w:eastAsia="zh-CN"/>
        </w:rPr>
        <w:t xml:space="preserve">   项目经理确需离开施工现场时，应事先通知监理人，并取得发包人的书面同意。项目经理无故缺席图纸会审、技术交底等工程会议或发包人发现项目经理无故缺席(脱岗)不在施工现场按30000元/次进行罚款，若累计达到3次不在施工现场，发包人有权要求施工单位更换项目经理或解除施工合同，由此带来的损失全部由承包人负责</w:t>
      </w:r>
      <w:r>
        <w:rPr>
          <w:rFonts w:ascii="宋体" w:hAnsi="宋体"/>
          <w:color w:val="00B0F0"/>
          <w:u w:val="single"/>
        </w:rPr>
        <w:sym w:font="宋体" w:char="F5E5"/>
      </w:r>
      <w:r>
        <w:rPr>
          <w:rFonts w:ascii="宋体" w:hAnsi="宋体" w:hint="eastAsia"/>
          <w:lang w:eastAsia="zh-CN"/>
        </w:rPr>
        <w:t>。</w:t>
      </w:r>
    </w:p>
    <w:p w14:paraId="1F80C99C">
      <w:pPr>
        <w:spacing w:line="360" w:lineRule="auto"/>
        <w:rPr>
          <w:rFonts w:ascii="宋体" w:hAnsi="宋体"/>
          <w:lang w:eastAsia="zh-CN"/>
        </w:rPr>
      </w:pPr>
      <w:r>
        <w:rPr>
          <w:rFonts w:ascii="宋体" w:hAnsi="宋体" w:hint="eastAsia"/>
          <w:lang w:eastAsia="zh-CN"/>
        </w:rPr>
        <w:t>3.2.3 承包人擅自更换项目经理的违约责任：</w:t>
      </w:r>
      <w:r>
        <w:rPr>
          <w:rFonts w:ascii="宋体" w:hAnsi="宋体" w:hint="eastAsia"/>
          <w:color w:val="00B0F0"/>
          <w:u w:val="single"/>
          <w:lang w:eastAsia="zh-CN"/>
        </w:rPr>
        <w:t xml:space="preserve"> 擅自更换项目经理，按100000元/次/人进行罚款，擅自更换项目技术负责人，按50000元/次/人进行罚款，擅自更换项目其他管理人员的，按20000元/次/人进行罚款；项目经理及技术负责人不称职甲方要求更换的，每更换一人按20000元进行罚款，更换人员应于3天内到场，每延迟一天按1000元进行罚款，并依此类推；项目其他管理人员不称职甲方要求更换的，每更换一人按5000元进行罚款，更换人员应于3天内到场，每延迟一天按500元进行罚款，并依此类推;经发包人批准更换项目经理或技术负责人，每人次按30000元进行罚款，项目其他管理人员每人次按3000元进行罚款。同时发包人有权解除施工合同，由此带来的损失全部由承包人负责   </w:t>
      </w:r>
      <w:r>
        <w:rPr>
          <w:rFonts w:ascii="宋体" w:hAnsi="宋体" w:hint="eastAsia"/>
          <w:lang w:eastAsia="zh-CN"/>
        </w:rPr>
        <w:t>。</w:t>
      </w:r>
    </w:p>
    <w:p w14:paraId="012E31A1">
      <w:pPr>
        <w:spacing w:line="360" w:lineRule="auto"/>
        <w:rPr>
          <w:rFonts w:ascii="宋体" w:hAnsi="宋体"/>
          <w:lang w:eastAsia="zh-CN"/>
        </w:rPr>
      </w:pPr>
      <w:r>
        <w:rPr>
          <w:rFonts w:ascii="宋体" w:hAnsi="宋体" w:hint="eastAsia"/>
          <w:lang w:eastAsia="zh-CN"/>
        </w:rPr>
        <w:t>3.2.4 承包人无正当理由拒绝更换项目经理的违约责任：</w:t>
      </w:r>
      <w:r>
        <w:rPr>
          <w:rFonts w:ascii="宋体" w:hAnsi="宋体" w:hint="eastAsia"/>
          <w:color w:val="00B0F0"/>
          <w:u w:val="single"/>
          <w:lang w:eastAsia="zh-CN"/>
        </w:rPr>
        <w:t xml:space="preserve">  发包人有权书面通知承包人更换其认为不称职的项目经理，承包人应在接到更换通知后7天内更换，否则发包人有权解除施工合同，由此带来的损失全部由承包人负责</w:t>
      </w:r>
      <w:r>
        <w:rPr>
          <w:rFonts w:ascii="宋体" w:hAnsi="宋体" w:hint="eastAsia"/>
          <w:lang w:eastAsia="zh-CN"/>
        </w:rPr>
        <w:t>。</w:t>
      </w:r>
    </w:p>
    <w:p w14:paraId="21D43A41">
      <w:pPr>
        <w:spacing w:line="360" w:lineRule="auto"/>
        <w:rPr>
          <w:rFonts w:ascii="宋体" w:hAnsi="宋体"/>
          <w:lang w:eastAsia="zh-CN"/>
        </w:rPr>
      </w:pPr>
      <w:r>
        <w:rPr>
          <w:rFonts w:ascii="宋体" w:hAnsi="宋体" w:hint="eastAsia"/>
          <w:lang w:eastAsia="zh-CN"/>
        </w:rPr>
        <w:t>3.3 承包人人员</w:t>
      </w:r>
    </w:p>
    <w:p w14:paraId="67D73285">
      <w:pPr>
        <w:spacing w:line="360" w:lineRule="auto"/>
        <w:rPr>
          <w:rFonts w:ascii="宋体" w:hAnsi="宋体"/>
          <w:lang w:eastAsia="zh-CN"/>
        </w:rPr>
      </w:pPr>
      <w:r>
        <w:rPr>
          <w:rFonts w:ascii="宋体" w:hAnsi="宋体" w:hint="eastAsia"/>
          <w:lang w:eastAsia="zh-CN"/>
        </w:rPr>
        <w:t>3.3.1 承包人提交项目管理机构及施工现场管理人员安排报告的期限：</w:t>
      </w:r>
      <w:r>
        <w:rPr>
          <w:rFonts w:ascii="宋体" w:hAnsi="宋体" w:hint="eastAsia"/>
          <w:color w:val="00B0F0"/>
          <w:u w:val="single"/>
          <w:lang w:eastAsia="zh-CN"/>
        </w:rPr>
        <w:t xml:space="preserve">  应在接到开工通知后7日内。施工过程中如有变动，承包人应及时向监理及发包人提交施工现场人员变动情况的报告。承包人更换主要施工管理人员时，应提前7天书面通知监理人，并征得发包人书面同意 </w:t>
      </w:r>
      <w:r>
        <w:rPr>
          <w:rFonts w:ascii="宋体" w:hAnsi="宋体" w:hint="eastAsia"/>
          <w:lang w:eastAsia="zh-CN"/>
        </w:rPr>
        <w:t>。</w:t>
      </w:r>
    </w:p>
    <w:p w14:paraId="7AF73AD2">
      <w:pPr>
        <w:spacing w:line="360" w:lineRule="auto"/>
        <w:rPr>
          <w:rFonts w:ascii="宋体" w:hAnsi="宋体"/>
          <w:lang w:eastAsia="zh-CN"/>
        </w:rPr>
      </w:pPr>
      <w:r>
        <w:rPr>
          <w:rFonts w:ascii="宋体" w:hAnsi="宋体" w:hint="eastAsia"/>
          <w:lang w:eastAsia="zh-CN"/>
        </w:rPr>
        <w:t>3.3.3 承包人无正当理由拒绝撤换主要施工管理人员的违约责任：</w:t>
      </w:r>
      <w:r>
        <w:rPr>
          <w:rFonts w:ascii="宋体" w:hAnsi="宋体" w:hint="eastAsia"/>
          <w:color w:val="00B0F0"/>
          <w:u w:val="single"/>
          <w:lang w:eastAsia="zh-CN"/>
        </w:rPr>
        <w:t xml:space="preserve">  发包人有权解除施工合同，由此带来的损失全部由承包人负责 </w:t>
      </w:r>
      <w:r>
        <w:rPr>
          <w:rFonts w:ascii="宋体" w:hAnsi="宋体" w:hint="eastAsia"/>
          <w:lang w:eastAsia="zh-CN"/>
        </w:rPr>
        <w:t>。</w:t>
      </w:r>
    </w:p>
    <w:p w14:paraId="099E80F8">
      <w:pPr>
        <w:spacing w:line="360" w:lineRule="auto"/>
        <w:rPr>
          <w:rFonts w:ascii="宋体" w:hAnsi="宋体" w:hint="eastAsia"/>
          <w:color w:val="00B0F0"/>
          <w:u w:val="single"/>
          <w:lang w:eastAsia="zh-CN"/>
        </w:rPr>
      </w:pPr>
      <w:r>
        <w:rPr>
          <w:rFonts w:ascii="宋体" w:hAnsi="宋体" w:hint="eastAsia"/>
          <w:lang w:eastAsia="zh-CN"/>
        </w:rPr>
        <w:t xml:space="preserve">3.3.4 承包人主要施工管理人员离开施工现场的批准要求：   </w:t>
      </w:r>
      <w:r>
        <w:rPr>
          <w:rFonts w:ascii="宋体" w:hAnsi="宋体"/>
          <w:color w:val="00B0F0"/>
          <w:u w:val="single"/>
        </w:rPr>
        <w:sym w:font="宋体" w:char="F5E5"/>
      </w:r>
      <w:r>
        <w:rPr>
          <w:rFonts w:ascii="宋体" w:hAnsi="宋体" w:hint="eastAsia"/>
          <w:color w:val="00B0F0"/>
          <w:u w:val="single"/>
          <w:lang w:eastAsia="zh-CN"/>
        </w:rPr>
        <w:t>承包人的主要施工</w:t>
      </w:r>
    </w:p>
    <w:p w14:paraId="2E6948BC">
      <w:pPr>
        <w:spacing w:line="360" w:lineRule="auto"/>
        <w:rPr>
          <w:rFonts w:ascii="宋体" w:hAnsi="宋体" w:hint="eastAsia"/>
          <w:color w:val="00B0F0"/>
          <w:u w:val="single"/>
          <w:lang w:eastAsia="zh-CN"/>
        </w:rPr>
      </w:pPr>
      <w:r>
        <w:rPr>
          <w:rFonts w:ascii="宋体" w:hAnsi="宋体" w:hint="eastAsia"/>
          <w:color w:val="00B0F0"/>
          <w:u w:val="single"/>
          <w:lang w:eastAsia="zh-CN"/>
        </w:rPr>
        <w:t>管理人员离开施工现场每月累计超过3天的，应通知监理人，并征得发包人书面同</w:t>
      </w:r>
    </w:p>
    <w:p w14:paraId="0F5069D9">
      <w:pPr>
        <w:spacing w:line="360" w:lineRule="auto"/>
        <w:rPr>
          <w:rFonts w:ascii="宋体" w:hAnsi="宋体"/>
          <w:u w:val="single"/>
          <w:lang w:eastAsia="zh-CN"/>
        </w:rPr>
      </w:pPr>
      <w:r>
        <w:rPr>
          <w:rFonts w:ascii="宋体" w:hAnsi="宋体" w:hint="eastAsia"/>
          <w:color w:val="00B0F0"/>
          <w:u w:val="single"/>
          <w:lang w:eastAsia="zh-CN"/>
        </w:rPr>
        <w:t xml:space="preserve">意  </w:t>
      </w:r>
      <w:r>
        <w:rPr>
          <w:rFonts w:ascii="宋体" w:hAnsi="宋体" w:hint="eastAsia"/>
          <w:lang w:eastAsia="zh-CN"/>
        </w:rPr>
        <w:t>。</w:t>
      </w:r>
    </w:p>
    <w:p w14:paraId="509FA79A">
      <w:pPr>
        <w:spacing w:line="360" w:lineRule="auto"/>
        <w:rPr>
          <w:rFonts w:ascii="宋体" w:hAnsi="宋体"/>
          <w:lang w:eastAsia="zh-CN"/>
        </w:rPr>
      </w:pPr>
      <w:r>
        <w:rPr>
          <w:rFonts w:ascii="宋体" w:hAnsi="宋体" w:hint="eastAsia"/>
          <w:lang w:eastAsia="zh-CN"/>
        </w:rPr>
        <w:t>3.3.5承包人擅自更换主要施工管理人员的违约责任：</w:t>
      </w:r>
      <w:r>
        <w:rPr>
          <w:rFonts w:ascii="宋体" w:hAnsi="宋体" w:hint="eastAsia"/>
          <w:color w:val="00B0F0"/>
          <w:u w:val="single"/>
          <w:lang w:eastAsia="zh-CN"/>
        </w:rPr>
        <w:t xml:space="preserve"> 发包人有权解除施工合同，由此带来的损失全部由承包人负责  </w:t>
      </w:r>
      <w:r>
        <w:rPr>
          <w:rFonts w:ascii="宋体" w:hAnsi="宋体" w:hint="eastAsia"/>
          <w:lang w:eastAsia="zh-CN"/>
        </w:rPr>
        <w:t>。</w:t>
      </w:r>
    </w:p>
    <w:p w14:paraId="5B5D7EBE">
      <w:pPr>
        <w:spacing w:line="360" w:lineRule="auto"/>
        <w:rPr>
          <w:rFonts w:ascii="宋体" w:hAnsi="宋体" w:hint="eastAsia"/>
          <w:color w:val="00B0F0"/>
          <w:u w:val="single"/>
          <w:lang w:eastAsia="zh-CN"/>
        </w:rPr>
      </w:pPr>
      <w:r>
        <w:rPr>
          <w:rFonts w:ascii="宋体" w:hAnsi="宋体" w:hint="eastAsia"/>
          <w:lang w:eastAsia="zh-CN"/>
        </w:rPr>
        <w:t>承包人主要施工管理人员擅自离开施工现场的违约责任：</w:t>
      </w:r>
      <w:r>
        <w:rPr>
          <w:rFonts w:ascii="宋体" w:hAnsi="宋体" w:hint="eastAsia"/>
          <w:color w:val="00B0F0"/>
          <w:u w:val="single"/>
          <w:lang w:eastAsia="zh-CN"/>
        </w:rPr>
        <w:t xml:space="preserve"> 承包人的主要施工管理人</w:t>
      </w:r>
    </w:p>
    <w:p w14:paraId="1A3F6326">
      <w:pPr>
        <w:spacing w:line="360" w:lineRule="auto"/>
        <w:rPr>
          <w:rFonts w:ascii="宋体" w:hAnsi="宋体" w:hint="eastAsia"/>
          <w:color w:val="00B0F0"/>
          <w:u w:val="single"/>
          <w:lang w:eastAsia="zh-CN"/>
        </w:rPr>
      </w:pPr>
      <w:r>
        <w:rPr>
          <w:rFonts w:ascii="宋体" w:hAnsi="宋体" w:hint="eastAsia"/>
          <w:color w:val="00B0F0"/>
          <w:u w:val="single"/>
          <w:lang w:eastAsia="zh-CN"/>
        </w:rPr>
        <w:t>员离开施工现场每月累计超过3天的，应通知监理人，并征得发包人书面同意。技</w:t>
      </w:r>
    </w:p>
    <w:p w14:paraId="7C6ECF3C">
      <w:pPr>
        <w:spacing w:line="360" w:lineRule="auto"/>
        <w:rPr>
          <w:rFonts w:ascii="宋体" w:hAnsi="宋体" w:hint="eastAsia"/>
          <w:color w:val="00B0F0"/>
          <w:u w:val="single"/>
          <w:lang w:eastAsia="zh-CN"/>
        </w:rPr>
      </w:pPr>
      <w:r>
        <w:rPr>
          <w:rFonts w:ascii="宋体" w:hAnsi="宋体" w:hint="eastAsia"/>
          <w:color w:val="00B0F0"/>
          <w:u w:val="single"/>
          <w:lang w:eastAsia="zh-CN"/>
        </w:rPr>
        <w:t>术负责人无故缺席图纸会审、技术交底等工程会议或无故缺席(脱岗)不在施工现场</w:t>
      </w:r>
    </w:p>
    <w:p w14:paraId="2A1F3881">
      <w:pPr>
        <w:spacing w:line="360" w:lineRule="auto"/>
        <w:rPr>
          <w:rFonts w:ascii="宋体" w:hAnsi="宋体" w:hint="eastAsia"/>
          <w:color w:val="00B0F0"/>
          <w:u w:val="single"/>
          <w:lang w:eastAsia="zh-CN"/>
        </w:rPr>
      </w:pPr>
      <w:r>
        <w:rPr>
          <w:rFonts w:ascii="宋体" w:hAnsi="宋体" w:hint="eastAsia"/>
          <w:color w:val="00B0F0"/>
          <w:u w:val="single"/>
          <w:lang w:eastAsia="zh-CN"/>
        </w:rPr>
        <w:t>按10000元/次进行罚款，若累计达到3次不在施工现场，发包人有权要求施工单位</w:t>
      </w:r>
    </w:p>
    <w:p w14:paraId="071461CD">
      <w:pPr>
        <w:spacing w:line="360" w:lineRule="auto"/>
        <w:rPr>
          <w:rFonts w:ascii="宋体" w:hAnsi="宋体"/>
          <w:lang w:eastAsia="zh-CN"/>
        </w:rPr>
      </w:pPr>
      <w:r>
        <w:rPr>
          <w:rFonts w:ascii="宋体" w:hAnsi="宋体" w:hint="eastAsia"/>
          <w:color w:val="00B0F0"/>
          <w:u w:val="single"/>
          <w:lang w:eastAsia="zh-CN"/>
        </w:rPr>
        <w:t xml:space="preserve">更换技术负责人或解除施工合同，由此带来的损失全部由承包人负责。其他主要施工管理人员发包人将按3000元/次进行罚款，若累计达到3次不在施工现场，发包人有权要求施工单位更换主要施工管理人员或解除施工合同，由此带来的损失全部由承包方负责   </w:t>
      </w:r>
      <w:r>
        <w:rPr>
          <w:rFonts w:ascii="宋体" w:hAnsi="宋体" w:hint="eastAsia"/>
          <w:lang w:eastAsia="zh-CN"/>
        </w:rPr>
        <w:t>。</w:t>
      </w:r>
    </w:p>
    <w:p w14:paraId="70948825">
      <w:pPr>
        <w:spacing w:line="360" w:lineRule="auto"/>
        <w:rPr>
          <w:rFonts w:ascii="宋体" w:hAnsi="宋体"/>
          <w:lang w:eastAsia="zh-CN"/>
        </w:rPr>
      </w:pPr>
      <w:r>
        <w:rPr>
          <w:rFonts w:ascii="宋体" w:hAnsi="宋体" w:hint="eastAsia"/>
          <w:lang w:eastAsia="zh-CN"/>
        </w:rPr>
        <w:t>3</w:t>
      </w:r>
      <w:bookmarkStart w:id="581" w:name="_Toc312677988"/>
      <w:bookmarkStart w:id="582" w:name="_Toc296503159"/>
      <w:bookmarkStart w:id="583" w:name="_Toc297048345"/>
      <w:bookmarkStart w:id="584" w:name="_Toc297120459"/>
      <w:bookmarkStart w:id="585" w:name="_Toc304295523"/>
      <w:bookmarkStart w:id="586" w:name="_Toc296347158"/>
      <w:bookmarkStart w:id="587" w:name="_Toc296890987"/>
      <w:bookmarkStart w:id="588" w:name="_Toc300934945"/>
      <w:bookmarkStart w:id="589" w:name="_Toc292559869"/>
      <w:bookmarkStart w:id="590" w:name="_Toc297123492"/>
      <w:bookmarkStart w:id="591" w:name="_Toc292559364"/>
      <w:bookmarkStart w:id="592" w:name="_Toc296891199"/>
      <w:bookmarkStart w:id="593" w:name="_Toc297216151"/>
      <w:bookmarkStart w:id="594" w:name="_Toc303539102"/>
      <w:bookmarkStart w:id="595" w:name="_Toc296346660"/>
      <w:bookmarkStart w:id="596" w:name="_Toc296944498"/>
      <w:r>
        <w:rPr>
          <w:rFonts w:ascii="宋体" w:hAnsi="宋体" w:hint="eastAsia"/>
          <w:lang w:eastAsia="zh-CN"/>
        </w:rPr>
        <w:t>.5 分包</w:t>
      </w:r>
    </w:p>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14:paraId="223F223F">
      <w:pPr>
        <w:spacing w:line="360" w:lineRule="auto"/>
        <w:rPr>
          <w:rFonts w:ascii="宋体" w:hAnsi="宋体"/>
          <w:lang w:eastAsia="zh-CN"/>
        </w:rPr>
      </w:pPr>
      <w:r>
        <w:rPr>
          <w:rFonts w:ascii="宋体" w:hAnsi="宋体" w:hint="eastAsia"/>
          <w:lang w:eastAsia="zh-CN"/>
        </w:rPr>
        <w:t>3</w:t>
      </w:r>
      <w:bookmarkStart w:id="597" w:name="_Toc296890988"/>
      <w:bookmarkStart w:id="598" w:name="_Toc296346661"/>
      <w:bookmarkStart w:id="599" w:name="_Toc292559870"/>
      <w:bookmarkStart w:id="600" w:name="_Toc296944499"/>
      <w:bookmarkStart w:id="601" w:name="_Toc300934946"/>
      <w:bookmarkStart w:id="602" w:name="_Toc292559365"/>
      <w:bookmarkStart w:id="603" w:name="_Toc296503160"/>
      <w:bookmarkStart w:id="604" w:name="_Toc297123493"/>
      <w:bookmarkStart w:id="605" w:name="_Toc303539103"/>
      <w:bookmarkStart w:id="606" w:name="_Toc297120460"/>
      <w:bookmarkStart w:id="607" w:name="_Toc297216152"/>
      <w:bookmarkStart w:id="608" w:name="_Toc304295524"/>
      <w:bookmarkStart w:id="609" w:name="_Toc296891200"/>
      <w:bookmarkStart w:id="610" w:name="_Toc297048346"/>
      <w:bookmarkStart w:id="611" w:name="_Toc296347159"/>
      <w:bookmarkStart w:id="612" w:name="_Toc318581158"/>
      <w:bookmarkStart w:id="613" w:name="_Toc312677989"/>
      <w:r>
        <w:rPr>
          <w:rFonts w:ascii="宋体" w:hAnsi="宋体" w:hint="eastAsia"/>
          <w:lang w:eastAsia="zh-CN"/>
        </w:rPr>
        <w:t>.5.1 分包的一般约定</w:t>
      </w:r>
    </w:p>
    <w:p w14:paraId="21936842">
      <w:pPr>
        <w:spacing w:line="360" w:lineRule="auto"/>
        <w:rPr>
          <w:rFonts w:ascii="宋体" w:hAnsi="宋体"/>
          <w:lang w:eastAsia="zh-CN"/>
        </w:rPr>
      </w:pPr>
      <w:r>
        <w:rPr>
          <w:rFonts w:ascii="宋体" w:hAnsi="宋体" w:hint="eastAsia"/>
          <w:lang w:eastAsia="zh-CN"/>
        </w:rPr>
        <w:t>禁止分包的工程包括：</w:t>
      </w:r>
      <w:r>
        <w:rPr>
          <w:rFonts w:ascii="宋体" w:hAnsi="宋体"/>
          <w:color w:val="00B0F0"/>
          <w:u w:val="single"/>
        </w:rPr>
        <w:sym w:font="宋体" w:char="F5E5"/>
      </w:r>
      <w:r>
        <w:rPr>
          <w:rFonts w:ascii="宋体" w:hAnsi="宋体" w:hint="eastAsia"/>
          <w:color w:val="00B0F0"/>
          <w:u w:val="single"/>
        </w:rPr>
        <w:t xml:space="preserve"> 按相关法律法规执行</w:t>
      </w:r>
      <w:r>
        <w:rPr>
          <w:rFonts w:ascii="宋体" w:hAnsi="宋体" w:hint="eastAsia"/>
          <w:color w:val="00B0F0"/>
          <w:u w:val="single"/>
          <w:lang w:eastAsia="zh-CN"/>
        </w:rPr>
        <w:t xml:space="preserve">  </w:t>
      </w:r>
      <w:r>
        <w:rPr>
          <w:rFonts w:ascii="宋体" w:hAnsi="宋体" w:hint="eastAsia"/>
          <w:lang w:eastAsia="zh-CN"/>
        </w:rPr>
        <w:t>。</w:t>
      </w:r>
    </w:p>
    <w:p w14:paraId="024F0F58">
      <w:pPr>
        <w:spacing w:line="360" w:lineRule="auto"/>
        <w:rPr>
          <w:rFonts w:ascii="宋体" w:hAnsi="宋体"/>
          <w:u w:val="single"/>
          <w:lang w:eastAsia="zh-CN"/>
        </w:rPr>
      </w:pPr>
      <w:r>
        <w:rPr>
          <w:rFonts w:ascii="宋体" w:hAnsi="宋体" w:hint="eastAsia"/>
          <w:lang w:eastAsia="zh-CN"/>
        </w:rPr>
        <w:t>主体结构、关键性工作的范围：</w:t>
      </w:r>
      <w:r>
        <w:rPr>
          <w:rFonts w:ascii="宋体" w:hAnsi="宋体"/>
          <w:color w:val="00B0F0"/>
          <w:u w:val="single"/>
        </w:rPr>
        <w:sym w:font="宋体" w:char="F5E5"/>
      </w:r>
      <w:r>
        <w:rPr>
          <w:rFonts w:ascii="宋体" w:hAnsi="宋体" w:hint="eastAsia"/>
          <w:color w:val="00B0F0"/>
          <w:u w:val="single"/>
          <w:lang w:eastAsia="zh-CN"/>
        </w:rPr>
        <w:t xml:space="preserve">   /       </w:t>
      </w:r>
      <w:r>
        <w:rPr>
          <w:rFonts w:ascii="宋体" w:hAnsi="宋体" w:hint="eastAsia"/>
          <w:lang w:eastAsia="zh-CN"/>
        </w:rPr>
        <w:t>。</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Start w:id="614" w:name="_Toc297048347"/>
      <w:bookmarkStart w:id="615" w:name="_Toc296891201"/>
      <w:bookmarkStart w:id="616" w:name="_Toc296503161"/>
      <w:bookmarkStart w:id="617" w:name="_Toc303539104"/>
      <w:bookmarkStart w:id="618" w:name="_Toc304295525"/>
      <w:bookmarkStart w:id="619" w:name="_Toc296347160"/>
      <w:bookmarkStart w:id="620" w:name="_Toc296944500"/>
      <w:bookmarkStart w:id="621" w:name="_Toc296890989"/>
      <w:bookmarkStart w:id="622" w:name="_Toc300934947"/>
      <w:bookmarkStart w:id="623" w:name="_Toc297123494"/>
      <w:bookmarkStart w:id="624" w:name="_Toc296346662"/>
      <w:bookmarkStart w:id="625" w:name="_Toc297120461"/>
      <w:bookmarkStart w:id="626" w:name="_Toc297216153"/>
    </w:p>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14:paraId="650C4E76">
      <w:pPr>
        <w:spacing w:line="360" w:lineRule="auto"/>
        <w:rPr>
          <w:rFonts w:ascii="宋体" w:hAnsi="宋体"/>
          <w:lang w:eastAsia="zh-CN"/>
        </w:rPr>
      </w:pPr>
      <w:r>
        <w:rPr>
          <w:rFonts w:ascii="宋体" w:hAnsi="宋体" w:hint="eastAsia"/>
          <w:lang w:eastAsia="zh-CN"/>
        </w:rPr>
        <w:t>3</w:t>
      </w:r>
      <w:bookmarkStart w:id="627" w:name="_Toc318581159"/>
      <w:bookmarkStart w:id="628" w:name="_Toc312677990"/>
      <w:r>
        <w:rPr>
          <w:rFonts w:ascii="宋体" w:hAnsi="宋体" w:hint="eastAsia"/>
          <w:lang w:eastAsia="zh-CN"/>
        </w:rPr>
        <w:t>.5.2分包的确定</w:t>
      </w:r>
    </w:p>
    <w:p w14:paraId="194F0270">
      <w:pPr>
        <w:spacing w:line="360" w:lineRule="auto"/>
        <w:rPr>
          <w:rFonts w:ascii="宋体" w:hAnsi="宋体"/>
          <w:u w:val="single"/>
          <w:lang w:eastAsia="zh-CN"/>
        </w:rPr>
      </w:pPr>
      <w:r>
        <w:rPr>
          <w:rFonts w:ascii="宋体" w:hAnsi="宋体" w:hint="eastAsia"/>
          <w:lang w:eastAsia="zh-CN"/>
        </w:rPr>
        <w:t>允许分包的专业工程包括：</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按相关法律法规执行    </w:t>
      </w:r>
      <w:r>
        <w:rPr>
          <w:rFonts w:ascii="宋体" w:hAnsi="宋体" w:hint="eastAsia"/>
          <w:lang w:eastAsia="zh-CN"/>
        </w:rPr>
        <w:t>。</w:t>
      </w:r>
    </w:p>
    <w:p w14:paraId="203904A6">
      <w:pPr>
        <w:spacing w:line="360" w:lineRule="auto"/>
        <w:rPr>
          <w:rFonts w:ascii="宋体" w:hAnsi="宋体"/>
          <w:u w:val="single"/>
          <w:lang w:eastAsia="zh-CN"/>
        </w:rPr>
      </w:pPr>
      <w:r>
        <w:rPr>
          <w:rFonts w:ascii="宋体" w:hAnsi="宋体" w:hint="eastAsia"/>
          <w:lang w:eastAsia="zh-CN"/>
        </w:rPr>
        <w:t>其他关于分包的约定：</w:t>
      </w:r>
      <w:r>
        <w:rPr>
          <w:rFonts w:ascii="宋体" w:hAnsi="宋体" w:hint="eastAsia"/>
          <w:color w:val="00B0F0"/>
          <w:u w:val="single"/>
          <w:lang w:eastAsia="zh-CN"/>
        </w:rPr>
        <w:t xml:space="preserve">     /           </w:t>
      </w:r>
      <w:r>
        <w:rPr>
          <w:rFonts w:ascii="宋体" w:hAnsi="宋体" w:hint="eastAsia"/>
          <w:lang w:eastAsia="zh-CN"/>
        </w:rPr>
        <w:t>。</w:t>
      </w:r>
    </w:p>
    <w:p w14:paraId="72E1DF45">
      <w:pPr>
        <w:spacing w:line="360" w:lineRule="auto"/>
        <w:rPr>
          <w:rFonts w:ascii="宋体" w:hAnsi="宋体"/>
          <w:lang w:eastAsia="zh-CN"/>
        </w:rPr>
      </w:pPr>
      <w:r>
        <w:rPr>
          <w:rFonts w:ascii="宋体" w:hAnsi="宋体" w:hint="eastAsia"/>
          <w:lang w:eastAsia="zh-CN"/>
        </w:rPr>
        <w:t>3.5.4 分包合同价款</w:t>
      </w:r>
    </w:p>
    <w:p w14:paraId="280B0EE1">
      <w:pPr>
        <w:spacing w:line="360" w:lineRule="auto"/>
        <w:rPr>
          <w:rFonts w:ascii="宋体" w:hAnsi="宋体"/>
          <w:lang w:eastAsia="zh-CN"/>
        </w:rPr>
      </w:pPr>
      <w:r>
        <w:rPr>
          <w:rFonts w:ascii="宋体" w:hAnsi="宋体" w:hint="eastAsia"/>
          <w:lang w:eastAsia="zh-CN"/>
        </w:rPr>
        <w:t>关于分包合同价款支付的约定：</w:t>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hint="eastAsia"/>
          <w:lang w:eastAsia="zh-CN"/>
        </w:rPr>
        <w:t>。</w:t>
      </w:r>
    </w:p>
    <w:bookmarkEnd w:id="627"/>
    <w:bookmarkEnd w:id="628"/>
    <w:p w14:paraId="0FBA2F1C">
      <w:pPr>
        <w:spacing w:line="360" w:lineRule="auto"/>
        <w:rPr>
          <w:rFonts w:ascii="宋体" w:hAnsi="宋体"/>
          <w:lang w:eastAsia="zh-CN"/>
        </w:rPr>
      </w:pPr>
      <w:r>
        <w:rPr>
          <w:rFonts w:ascii="宋体" w:hAnsi="宋体" w:hint="eastAsia"/>
          <w:lang w:eastAsia="zh-CN"/>
        </w:rPr>
        <w:t>3.6 工程照管与成品、半成品保护</w:t>
      </w:r>
    </w:p>
    <w:p w14:paraId="5F708587">
      <w:pPr>
        <w:spacing w:line="360" w:lineRule="auto"/>
        <w:rPr>
          <w:rFonts w:ascii="宋体" w:hAnsi="宋体"/>
          <w:u w:val="single"/>
          <w:lang w:eastAsia="zh-CN"/>
        </w:rPr>
      </w:pPr>
      <w:r>
        <w:rPr>
          <w:rFonts w:ascii="宋体" w:hAnsi="宋体" w:hint="eastAsia"/>
          <w:lang w:eastAsia="zh-CN"/>
        </w:rPr>
        <w:t>承包人负责照管工程及工程相关的材料、工程设备的起始时间：</w:t>
      </w:r>
      <w:r>
        <w:rPr>
          <w:rFonts w:ascii="宋体" w:hAnsi="宋体" w:hint="eastAsia"/>
          <w:color w:val="00B0F0"/>
          <w:u w:val="single"/>
          <w:lang w:eastAsia="zh-CN"/>
        </w:rPr>
        <w:t xml:space="preserve">  按通用合同条款执行   </w:t>
      </w:r>
      <w:r>
        <w:rPr>
          <w:rFonts w:ascii="宋体" w:hAnsi="宋体" w:hint="eastAsia"/>
          <w:lang w:eastAsia="zh-CN"/>
        </w:rPr>
        <w:t>。</w:t>
      </w:r>
    </w:p>
    <w:p w14:paraId="183520FE">
      <w:pPr>
        <w:spacing w:line="360" w:lineRule="auto"/>
        <w:rPr>
          <w:rFonts w:ascii="宋体" w:hAnsi="宋体"/>
          <w:lang w:eastAsia="zh-CN"/>
        </w:rPr>
      </w:pPr>
      <w:r>
        <w:rPr>
          <w:rFonts w:ascii="宋体" w:hAnsi="宋体" w:hint="eastAsia"/>
          <w:lang w:eastAsia="zh-CN"/>
        </w:rPr>
        <w:t>3.7 履约担保</w:t>
      </w:r>
    </w:p>
    <w:p w14:paraId="3380A12A">
      <w:pPr>
        <w:spacing w:line="360" w:lineRule="auto"/>
        <w:rPr>
          <w:rFonts w:ascii="宋体" w:hAnsi="宋体"/>
          <w:lang w:eastAsia="zh-CN"/>
        </w:rPr>
      </w:pPr>
      <w:r>
        <w:rPr>
          <w:rFonts w:ascii="宋体" w:hAnsi="宋体" w:hint="eastAsia"/>
          <w:lang w:eastAsia="zh-CN"/>
        </w:rPr>
        <w:t>承包人是否提供履约担保：</w:t>
      </w:r>
      <w:r>
        <w:rPr>
          <w:rFonts w:ascii="宋体" w:hAnsi="宋体" w:hint="eastAsia"/>
          <w:color w:val="00B0F0"/>
          <w:u w:val="single"/>
          <w:lang w:eastAsia="zh-CN"/>
        </w:rPr>
        <w:t xml:space="preserve">    是     </w:t>
      </w:r>
      <w:r>
        <w:rPr>
          <w:rFonts w:ascii="宋体" w:hAnsi="宋体" w:hint="eastAsia"/>
          <w:lang w:eastAsia="zh-CN"/>
        </w:rPr>
        <w:t>。</w:t>
      </w:r>
    </w:p>
    <w:p w14:paraId="62A48BB4">
      <w:pPr>
        <w:spacing w:line="360" w:lineRule="auto"/>
        <w:rPr>
          <w:rFonts w:ascii="宋体" w:hAnsi="宋体"/>
          <w:u w:val="single"/>
          <w:lang w:eastAsia="zh-CN"/>
        </w:rPr>
      </w:pPr>
      <w:r>
        <w:rPr>
          <w:rFonts w:ascii="宋体" w:hAnsi="宋体" w:hint="eastAsia"/>
          <w:lang w:eastAsia="zh-CN"/>
        </w:rPr>
        <w:t>承包人提供履约担保的形式、金额及期限：</w:t>
      </w:r>
      <w:r>
        <w:rPr>
          <w:rFonts w:ascii="宋体" w:hAnsi="宋体" w:hint="eastAsia"/>
          <w:color w:val="00B0F0"/>
          <w:u w:val="single"/>
          <w:lang w:eastAsia="zh-CN"/>
        </w:rPr>
        <w:t xml:space="preserve">  合同签订前承包人按照招标文件要求向发包人提供履约保函，保函金额为     元；履约保函有效期自开具且主合同生效之日起至 年 月 日止。履约保函期满后工程未完工，承包人应在履约保函期满前三个月内提供续保履约保函，每延迟一天按2万元进行罚款，并依此类推，且逾期未续保，造成的一切经济损失由承包人承担，后期相应工程进度款不予支付，直至完成续保手续。    </w:t>
      </w:r>
      <w:r>
        <w:rPr>
          <w:rFonts w:ascii="宋体" w:hAnsi="宋体" w:hint="eastAsia"/>
          <w:lang w:eastAsia="zh-CN"/>
        </w:rPr>
        <w:t>。</w:t>
      </w:r>
    </w:p>
    <w:p w14:paraId="741E39C2">
      <w:pPr>
        <w:spacing w:line="360" w:lineRule="auto"/>
        <w:rPr>
          <w:rFonts w:ascii="宋体" w:hAnsi="宋体"/>
          <w:bCs/>
          <w:lang w:eastAsia="zh-CN"/>
        </w:rPr>
      </w:pPr>
      <w:bookmarkStart w:id="629" w:name="_Toc351203636"/>
      <w:r>
        <w:rPr>
          <w:rFonts w:ascii="宋体" w:hAnsi="宋体" w:hint="eastAsia"/>
          <w:bCs/>
          <w:lang w:eastAsia="zh-CN"/>
        </w:rPr>
        <w:t>4</w:t>
      </w:r>
      <w:bookmarkStart w:id="630" w:name="_Toc297048348"/>
      <w:bookmarkStart w:id="631" w:name="_Toc296346663"/>
      <w:bookmarkStart w:id="632" w:name="_Toc296944501"/>
      <w:bookmarkStart w:id="633" w:name="_Toc267251413"/>
      <w:bookmarkStart w:id="634" w:name="_Toc297120462"/>
      <w:bookmarkStart w:id="635" w:name="_Toc296890990"/>
      <w:bookmarkStart w:id="636" w:name="_Toc292559871"/>
      <w:bookmarkStart w:id="637" w:name="_Toc296503162"/>
      <w:bookmarkStart w:id="638" w:name="_Toc296347161"/>
      <w:bookmarkStart w:id="639" w:name="_Toc292559366"/>
      <w:bookmarkStart w:id="640" w:name="_Toc296891202"/>
      <w:r>
        <w:rPr>
          <w:rFonts w:ascii="宋体" w:hAnsi="宋体" w:hint="eastAsia"/>
          <w:bCs/>
          <w:lang w:eastAsia="zh-CN"/>
        </w:rPr>
        <w:t>. 监</w:t>
      </w:r>
      <w:bookmarkEnd w:id="630"/>
      <w:bookmarkEnd w:id="631"/>
      <w:bookmarkEnd w:id="632"/>
      <w:bookmarkEnd w:id="633"/>
      <w:bookmarkEnd w:id="634"/>
      <w:bookmarkEnd w:id="635"/>
      <w:bookmarkEnd w:id="636"/>
      <w:bookmarkEnd w:id="637"/>
      <w:bookmarkEnd w:id="638"/>
      <w:bookmarkEnd w:id="639"/>
      <w:bookmarkEnd w:id="640"/>
      <w:r>
        <w:rPr>
          <w:rFonts w:ascii="宋体" w:hAnsi="宋体" w:hint="eastAsia"/>
          <w:bCs/>
          <w:lang w:eastAsia="zh-CN"/>
        </w:rPr>
        <w:t>理人</w:t>
      </w:r>
      <w:bookmarkEnd w:id="629"/>
    </w:p>
    <w:p w14:paraId="6621B69F">
      <w:pPr>
        <w:spacing w:line="360" w:lineRule="auto"/>
        <w:rPr>
          <w:rFonts w:ascii="宋体" w:hAnsi="宋体"/>
          <w:lang w:eastAsia="zh-CN"/>
        </w:rPr>
      </w:pPr>
      <w:r>
        <w:rPr>
          <w:rFonts w:ascii="宋体" w:hAnsi="宋体" w:hint="eastAsia"/>
          <w:lang w:eastAsia="zh-CN"/>
        </w:rPr>
        <w:t>4.1监理人的一般规定</w:t>
      </w:r>
    </w:p>
    <w:p w14:paraId="369E8937">
      <w:pPr>
        <w:spacing w:line="360" w:lineRule="auto"/>
        <w:rPr>
          <w:rFonts w:ascii="宋体" w:hAnsi="宋体"/>
          <w:lang w:eastAsia="zh-CN"/>
        </w:rPr>
      </w:pPr>
      <w:r>
        <w:rPr>
          <w:rFonts w:ascii="宋体" w:hAnsi="宋体" w:hint="eastAsia"/>
          <w:lang w:eastAsia="zh-CN"/>
        </w:rPr>
        <w:t>关于监理人的监理内容：</w:t>
      </w:r>
      <w:r>
        <w:rPr>
          <w:rFonts w:ascii="宋体" w:hAnsi="宋体" w:hint="eastAsia"/>
          <w:color w:val="00B0F0"/>
          <w:u w:val="single"/>
          <w:lang w:eastAsia="zh-CN"/>
        </w:rPr>
        <w:t xml:space="preserve">  本工程全部施工内容  </w:t>
      </w:r>
      <w:r>
        <w:rPr>
          <w:rFonts w:ascii="宋体" w:hAnsi="宋体" w:hint="eastAsia"/>
          <w:lang w:eastAsia="zh-CN"/>
        </w:rPr>
        <w:t>。</w:t>
      </w:r>
    </w:p>
    <w:p w14:paraId="1E456EC6">
      <w:pPr>
        <w:spacing w:line="360" w:lineRule="auto"/>
        <w:rPr>
          <w:rFonts w:ascii="宋体" w:hAnsi="宋体"/>
          <w:lang w:eastAsia="zh-CN"/>
        </w:rPr>
      </w:pPr>
      <w:r>
        <w:rPr>
          <w:rFonts w:ascii="宋体" w:hAnsi="宋体" w:hint="eastAsia"/>
          <w:lang w:eastAsia="zh-CN"/>
        </w:rPr>
        <w:t>关于监理人的监理权限：</w:t>
      </w:r>
      <w:r>
        <w:rPr>
          <w:rFonts w:ascii="宋体" w:hAnsi="宋体" w:hint="eastAsia"/>
          <w:color w:val="00B0F0"/>
          <w:u w:val="single"/>
          <w:lang w:eastAsia="zh-CN"/>
        </w:rPr>
        <w:t xml:space="preserve">   (1)监理工程师依照法律、法规及有关技术标准、设计文件和建设工程承包合同，对承包人在施工质量安全、建设工期、进度和建设资金使用等方面，代表发包人进行监督。(2)监理工程师认为工程施工不符合工程设计要求、施工技术标准和合同约定，有权要求承包人返工     </w:t>
      </w:r>
      <w:r>
        <w:rPr>
          <w:rFonts w:ascii="宋体" w:hAnsi="宋体" w:hint="eastAsia"/>
          <w:lang w:eastAsia="zh-CN"/>
        </w:rPr>
        <w:t xml:space="preserve">。 </w:t>
      </w:r>
    </w:p>
    <w:p w14:paraId="27AD8771">
      <w:pPr>
        <w:spacing w:line="360" w:lineRule="auto"/>
        <w:rPr>
          <w:rFonts w:ascii="宋体" w:hAnsi="宋体" w:hint="eastAsia"/>
          <w:color w:val="00B0F0"/>
          <w:u w:val="single"/>
          <w:lang w:eastAsia="zh-CN"/>
        </w:rPr>
      </w:pPr>
      <w:r>
        <w:rPr>
          <w:rFonts w:ascii="宋体" w:hAnsi="宋体" w:hint="eastAsia"/>
          <w:lang w:eastAsia="zh-CN"/>
        </w:rPr>
        <w:t>关于监理人在施工现场的办公场所、生活场所的提供和费用承担的约定：</w:t>
      </w:r>
      <w:r>
        <w:rPr>
          <w:rFonts w:ascii="宋体" w:hAnsi="宋体" w:hint="eastAsia"/>
          <w:color w:val="00B0F0"/>
          <w:u w:val="single"/>
          <w:lang w:eastAsia="zh-CN"/>
        </w:rPr>
        <w:t xml:space="preserve">  监理人自</w:t>
      </w:r>
    </w:p>
    <w:p w14:paraId="032D04AC">
      <w:pPr>
        <w:spacing w:line="360" w:lineRule="auto"/>
        <w:rPr>
          <w:rFonts w:ascii="宋体" w:hAnsi="宋体"/>
          <w:lang w:eastAsia="zh-CN"/>
        </w:rPr>
      </w:pPr>
      <w:r>
        <w:rPr>
          <w:rFonts w:ascii="宋体" w:hAnsi="宋体" w:hint="eastAsia"/>
          <w:color w:val="00B0F0"/>
          <w:u w:val="single"/>
          <w:lang w:eastAsia="zh-CN"/>
        </w:rPr>
        <w:t xml:space="preserve">行承担     </w:t>
      </w:r>
      <w:r>
        <w:rPr>
          <w:rFonts w:ascii="宋体" w:hAnsi="宋体" w:hint="eastAsia"/>
          <w:lang w:eastAsia="zh-CN"/>
        </w:rPr>
        <w:t>。</w:t>
      </w:r>
    </w:p>
    <w:p w14:paraId="5B458600">
      <w:pPr>
        <w:spacing w:line="360" w:lineRule="auto"/>
        <w:rPr>
          <w:rFonts w:ascii="宋体" w:hAnsi="宋体"/>
          <w:lang w:eastAsia="zh-CN"/>
        </w:rPr>
      </w:pPr>
      <w:r>
        <w:rPr>
          <w:rFonts w:ascii="宋体" w:hAnsi="宋体" w:hint="eastAsia"/>
          <w:lang w:eastAsia="zh-CN"/>
        </w:rPr>
        <w:t>4.2 监理人员</w:t>
      </w:r>
    </w:p>
    <w:p w14:paraId="26B45A1B">
      <w:pPr>
        <w:spacing w:line="360" w:lineRule="auto"/>
        <w:rPr>
          <w:rFonts w:ascii="宋体" w:hAnsi="宋体"/>
          <w:lang w:eastAsia="zh-CN"/>
        </w:rPr>
      </w:pPr>
      <w:r>
        <w:rPr>
          <w:rFonts w:ascii="宋体" w:hAnsi="宋体" w:hint="eastAsia"/>
          <w:lang w:eastAsia="zh-CN"/>
        </w:rPr>
        <w:t>总监理工程师：</w:t>
      </w:r>
    </w:p>
    <w:p w14:paraId="3E112950">
      <w:pPr>
        <w:spacing w:line="360" w:lineRule="auto"/>
        <w:rPr>
          <w:rFonts w:ascii="宋体" w:hAnsi="宋体"/>
          <w:lang w:eastAsia="zh-CN"/>
        </w:rPr>
      </w:pPr>
      <w:r>
        <w:rPr>
          <w:rFonts w:ascii="宋体" w:hAnsi="宋体" w:hint="eastAsia"/>
          <w:lang w:eastAsia="zh-CN"/>
        </w:rPr>
        <w:t>姓    名：</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14C47175">
      <w:pPr>
        <w:spacing w:line="360" w:lineRule="auto"/>
        <w:rPr>
          <w:rFonts w:ascii="宋体" w:hAnsi="宋体"/>
          <w:lang w:eastAsia="zh-CN"/>
        </w:rPr>
      </w:pPr>
      <w:r>
        <w:rPr>
          <w:rFonts w:ascii="宋体" w:hAnsi="宋体" w:hint="eastAsia"/>
          <w:lang w:eastAsia="zh-CN"/>
        </w:rPr>
        <w:t>职    务：</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54121EDB">
      <w:pPr>
        <w:spacing w:line="360" w:lineRule="auto"/>
        <w:rPr>
          <w:rFonts w:ascii="宋体" w:hAnsi="宋体"/>
          <w:lang w:eastAsia="zh-CN"/>
        </w:rPr>
      </w:pPr>
      <w:r>
        <w:rPr>
          <w:rFonts w:ascii="宋体" w:hAnsi="宋体" w:hint="eastAsia"/>
          <w:lang w:eastAsia="zh-CN"/>
        </w:rPr>
        <w:t>监理工程师执业资格证书号：</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60B71E35">
      <w:pPr>
        <w:spacing w:line="360" w:lineRule="auto"/>
        <w:rPr>
          <w:rFonts w:ascii="宋体" w:hAnsi="宋体"/>
          <w:lang w:eastAsia="zh-CN"/>
        </w:rPr>
      </w:pPr>
      <w:r>
        <w:rPr>
          <w:rFonts w:ascii="宋体" w:hAnsi="宋体" w:hint="eastAsia"/>
          <w:lang w:eastAsia="zh-CN"/>
        </w:rPr>
        <w:t>联系电话：</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446884F3">
      <w:pPr>
        <w:spacing w:line="360" w:lineRule="auto"/>
        <w:rPr>
          <w:rFonts w:ascii="宋体" w:hAnsi="宋体"/>
          <w:lang w:eastAsia="zh-CN"/>
        </w:rPr>
      </w:pPr>
      <w:r>
        <w:rPr>
          <w:rFonts w:ascii="宋体" w:hAnsi="宋体" w:hint="eastAsia"/>
          <w:lang w:eastAsia="zh-CN"/>
        </w:rPr>
        <w:t>电子信箱：</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0EC071C7">
      <w:pPr>
        <w:spacing w:line="360" w:lineRule="auto"/>
        <w:rPr>
          <w:rFonts w:ascii="宋体" w:hAnsi="宋体"/>
          <w:lang w:eastAsia="zh-CN"/>
        </w:rPr>
      </w:pPr>
      <w:r>
        <w:rPr>
          <w:rFonts w:ascii="宋体" w:hAnsi="宋体" w:hint="eastAsia"/>
          <w:lang w:eastAsia="zh-CN"/>
        </w:rPr>
        <w:t>通信地址：</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4C0D5D08">
      <w:pPr>
        <w:spacing w:line="360" w:lineRule="auto"/>
        <w:rPr>
          <w:rFonts w:ascii="宋体" w:hAnsi="宋体"/>
          <w:lang w:eastAsia="zh-CN"/>
        </w:rPr>
      </w:pPr>
      <w:r>
        <w:rPr>
          <w:rFonts w:ascii="宋体" w:hAnsi="宋体" w:hint="eastAsia"/>
          <w:lang w:eastAsia="zh-CN"/>
        </w:rPr>
        <w:t>关于监理人的其他约定：</w:t>
      </w:r>
      <w:r>
        <w:rPr>
          <w:rFonts w:ascii="宋体" w:hAnsi="宋体"/>
          <w:color w:val="00B0F0"/>
          <w:u w:val="single"/>
        </w:rPr>
        <w:sym w:font="宋体" w:char="F5E5"/>
      </w:r>
      <w:r>
        <w:rPr>
          <w:rFonts w:ascii="宋体" w:hAnsi="宋体" w:hint="eastAsia"/>
          <w:color w:val="00B0F0"/>
          <w:u w:val="single"/>
        </w:rPr>
        <w:t>按监理合同执行</w:t>
      </w:r>
      <w:r>
        <w:rPr>
          <w:rFonts w:ascii="宋体" w:hAnsi="宋体"/>
          <w:color w:val="00B0F0"/>
          <w:u w:val="single"/>
        </w:rPr>
        <w:sym w:font="宋体" w:char="F5E5"/>
      </w:r>
      <w:r>
        <w:rPr>
          <w:rFonts w:ascii="宋体" w:hAnsi="宋体" w:hint="eastAsia"/>
          <w:color w:val="00B0F0"/>
          <w:u w:val="single"/>
          <w:lang w:eastAsia="zh-CN"/>
        </w:rPr>
        <w:t xml:space="preserve"> </w:t>
      </w:r>
      <w:r>
        <w:rPr>
          <w:rFonts w:ascii="宋体" w:hAnsi="宋体"/>
          <w:color w:val="00B0F0"/>
          <w:u w:val="single"/>
        </w:rPr>
        <w:sym w:font="宋体" w:char="F5E5"/>
      </w:r>
      <w:r>
        <w:rPr>
          <w:rFonts w:ascii="宋体" w:hAnsi="宋体" w:hint="eastAsia"/>
          <w:lang w:eastAsia="zh-CN"/>
        </w:rPr>
        <w:t>。</w:t>
      </w:r>
    </w:p>
    <w:p w14:paraId="30304200">
      <w:pPr>
        <w:spacing w:line="360" w:lineRule="auto"/>
        <w:rPr>
          <w:rFonts w:ascii="宋体" w:hAnsi="宋体"/>
          <w:lang w:eastAsia="zh-CN"/>
        </w:rPr>
      </w:pPr>
      <w:r>
        <w:rPr>
          <w:rFonts w:ascii="宋体" w:hAnsi="宋体" w:hint="eastAsia"/>
          <w:lang w:eastAsia="zh-CN"/>
        </w:rPr>
        <w:t>4.4 商定或确定</w:t>
      </w:r>
    </w:p>
    <w:p w14:paraId="00E2F0C8">
      <w:pPr>
        <w:spacing w:line="360" w:lineRule="auto"/>
        <w:rPr>
          <w:rFonts w:ascii="宋体" w:hAnsi="宋体"/>
          <w:lang w:eastAsia="zh-CN"/>
        </w:rPr>
      </w:pPr>
      <w:bookmarkStart w:id="641" w:name="_Toc267251418"/>
      <w:r>
        <w:rPr>
          <w:rFonts w:ascii="宋体" w:hAnsi="宋体" w:hint="eastAsia"/>
          <w:lang w:eastAsia="zh-CN"/>
        </w:rPr>
        <w:t>在发包人和承包人不能通过协商达成一致意见时，发包人授权监理人对以下事项进行确定：</w:t>
      </w:r>
    </w:p>
    <w:p w14:paraId="65E8FE92">
      <w:pPr>
        <w:spacing w:line="360" w:lineRule="auto"/>
        <w:rPr>
          <w:rFonts w:ascii="宋体" w:hAnsi="宋体"/>
          <w:lang w:eastAsia="zh-CN"/>
        </w:rPr>
      </w:pPr>
      <w:r>
        <w:rPr>
          <w:rFonts w:ascii="宋体" w:hAnsi="宋体" w:hint="eastAsia"/>
          <w:lang w:eastAsia="zh-CN"/>
        </w:rPr>
        <w:t>（1）</w:t>
      </w:r>
      <w:r>
        <w:rPr>
          <w:rFonts w:ascii="宋体" w:hAnsi="宋体" w:hint="eastAsia"/>
          <w:color w:val="00B0F0"/>
          <w:u w:val="single"/>
          <w:lang w:eastAsia="zh-CN"/>
        </w:rPr>
        <w:t xml:space="preserve">     另行约定      </w:t>
      </w:r>
      <w:r>
        <w:rPr>
          <w:rFonts w:ascii="宋体" w:hAnsi="宋体" w:hint="eastAsia"/>
          <w:lang w:eastAsia="zh-CN"/>
        </w:rPr>
        <w:t>；</w:t>
      </w:r>
    </w:p>
    <w:p w14:paraId="6875D022">
      <w:pPr>
        <w:spacing w:line="360" w:lineRule="auto"/>
        <w:rPr>
          <w:rFonts w:ascii="宋体" w:hAnsi="宋体"/>
          <w:lang w:eastAsia="zh-CN"/>
        </w:rPr>
      </w:pPr>
      <w:r>
        <w:rPr>
          <w:rFonts w:ascii="宋体" w:hAnsi="宋体" w:hint="eastAsia"/>
          <w:lang w:eastAsia="zh-CN"/>
        </w:rPr>
        <w:t>（2）</w:t>
      </w:r>
      <w:r>
        <w:rPr>
          <w:rFonts w:ascii="宋体" w:hAnsi="宋体" w:hint="eastAsia"/>
          <w:color w:val="00B0F0"/>
          <w:u w:val="single"/>
          <w:lang w:eastAsia="zh-CN"/>
        </w:rPr>
        <w:t xml:space="preserve">    /        </w:t>
      </w:r>
      <w:r>
        <w:rPr>
          <w:rFonts w:ascii="宋体" w:hAnsi="宋体" w:hint="eastAsia"/>
          <w:lang w:eastAsia="zh-CN"/>
        </w:rPr>
        <w:t>；</w:t>
      </w:r>
    </w:p>
    <w:p w14:paraId="1182BEC0">
      <w:pPr>
        <w:spacing w:line="360" w:lineRule="auto"/>
        <w:rPr>
          <w:rFonts w:ascii="宋体" w:hAnsi="宋体"/>
          <w:lang w:eastAsia="zh-CN"/>
        </w:rPr>
      </w:pPr>
      <w:r>
        <w:rPr>
          <w:rFonts w:ascii="宋体" w:hAnsi="宋体" w:hint="eastAsia"/>
          <w:lang w:eastAsia="zh-CN"/>
        </w:rPr>
        <w:t>（3）</w:t>
      </w:r>
      <w:r>
        <w:rPr>
          <w:rFonts w:ascii="宋体" w:hAnsi="宋体" w:hint="eastAsia"/>
          <w:color w:val="00B0F0"/>
          <w:u w:val="single"/>
          <w:lang w:eastAsia="zh-CN"/>
        </w:rPr>
        <w:t xml:space="preserve">   /              </w:t>
      </w:r>
      <w:r>
        <w:rPr>
          <w:rFonts w:ascii="宋体" w:hAnsi="宋体" w:hint="eastAsia"/>
          <w:lang w:eastAsia="zh-CN"/>
        </w:rPr>
        <w:t>。</w:t>
      </w:r>
    </w:p>
    <w:p w14:paraId="2A1D1B51">
      <w:pPr>
        <w:spacing w:line="360" w:lineRule="auto"/>
        <w:rPr>
          <w:rFonts w:ascii="宋体" w:hAnsi="宋体"/>
          <w:bCs/>
          <w:lang w:eastAsia="zh-CN"/>
        </w:rPr>
      </w:pPr>
      <w:bookmarkStart w:id="642" w:name="_Toc351203637"/>
      <w:r>
        <w:rPr>
          <w:rFonts w:ascii="宋体" w:hAnsi="宋体" w:hint="eastAsia"/>
          <w:bCs/>
          <w:lang w:eastAsia="zh-CN"/>
        </w:rPr>
        <w:t>5</w:t>
      </w:r>
      <w:bookmarkEnd w:id="641"/>
      <w:bookmarkStart w:id="643" w:name="_Toc292559367"/>
      <w:bookmarkStart w:id="644" w:name="_Toc296890991"/>
      <w:bookmarkStart w:id="645" w:name="_Toc296891203"/>
      <w:bookmarkStart w:id="646" w:name="_Toc297048349"/>
      <w:bookmarkStart w:id="647" w:name="_Toc297120463"/>
      <w:bookmarkStart w:id="648" w:name="_Toc296347162"/>
      <w:bookmarkStart w:id="649" w:name="_Toc292559872"/>
      <w:bookmarkStart w:id="650" w:name="_Toc296944502"/>
      <w:bookmarkStart w:id="651" w:name="_Toc296346664"/>
      <w:bookmarkStart w:id="652" w:name="_Toc296503163"/>
      <w:r>
        <w:rPr>
          <w:rFonts w:ascii="宋体" w:hAnsi="宋体" w:hint="eastAsia"/>
          <w:bCs/>
          <w:lang w:eastAsia="zh-CN"/>
        </w:rPr>
        <w:t>. 工程质量</w:t>
      </w:r>
      <w:bookmarkEnd w:id="642"/>
    </w:p>
    <w:p w14:paraId="488A8D54">
      <w:pPr>
        <w:spacing w:line="360" w:lineRule="auto"/>
        <w:rPr>
          <w:rFonts w:ascii="宋体" w:hAnsi="宋体"/>
          <w:lang w:eastAsia="zh-CN"/>
        </w:rPr>
      </w:pPr>
      <w:r>
        <w:rPr>
          <w:rFonts w:ascii="宋体" w:hAnsi="宋体" w:hint="eastAsia"/>
          <w:lang w:eastAsia="zh-CN"/>
        </w:rPr>
        <w:t>5.1 质量要求</w:t>
      </w:r>
    </w:p>
    <w:p w14:paraId="613235F8">
      <w:pPr>
        <w:spacing w:line="360" w:lineRule="auto"/>
        <w:rPr>
          <w:rFonts w:ascii="宋体" w:hAnsi="宋体"/>
          <w:lang w:eastAsia="zh-CN"/>
        </w:rPr>
      </w:pPr>
      <w:r>
        <w:rPr>
          <w:rFonts w:ascii="宋体" w:hAnsi="宋体" w:hint="eastAsia"/>
          <w:lang w:eastAsia="zh-CN"/>
        </w:rPr>
        <w:t>5</w:t>
      </w:r>
      <w:bookmarkStart w:id="653" w:name="_Toc303539106"/>
      <w:bookmarkStart w:id="654" w:name="_Toc300934949"/>
      <w:bookmarkStart w:id="655" w:name="_Toc312677997"/>
      <w:bookmarkStart w:id="656" w:name="_Toc297216155"/>
      <w:bookmarkStart w:id="657" w:name="_Toc318581164"/>
      <w:bookmarkStart w:id="658" w:name="_Toc304295527"/>
      <w:bookmarkStart w:id="659" w:name="_Toc297123496"/>
      <w:r>
        <w:rPr>
          <w:rFonts w:ascii="宋体" w:hAnsi="宋体" w:hint="eastAsia"/>
          <w:lang w:eastAsia="zh-CN"/>
        </w:rPr>
        <w:t>.1.1 特殊质量标准和要求：</w:t>
      </w:r>
      <w:r>
        <w:rPr>
          <w:rFonts w:ascii="宋体" w:hAnsi="宋体" w:hint="eastAsia"/>
          <w:color w:val="00B0F0"/>
          <w:u w:val="single"/>
          <w:lang w:eastAsia="zh-CN"/>
        </w:rPr>
        <w:t xml:space="preserve">    /     </w:t>
      </w:r>
      <w:r>
        <w:rPr>
          <w:rFonts w:ascii="宋体" w:hAnsi="宋体" w:hint="eastAsia"/>
          <w:lang w:eastAsia="zh-CN"/>
        </w:rPr>
        <w:t>。</w:t>
      </w:r>
    </w:p>
    <w:p w14:paraId="23EBAAB4">
      <w:pPr>
        <w:spacing w:line="360" w:lineRule="auto"/>
        <w:rPr>
          <w:rFonts w:ascii="宋体" w:hAnsi="宋体"/>
          <w:lang w:eastAsia="zh-CN"/>
        </w:rPr>
      </w:pPr>
      <w:r>
        <w:rPr>
          <w:rFonts w:ascii="宋体" w:hAnsi="宋体" w:hint="eastAsia"/>
          <w:lang w:eastAsia="zh-CN"/>
        </w:rPr>
        <w:t>关于工程奖项的约定：</w:t>
      </w:r>
      <w:r>
        <w:rPr>
          <w:rFonts w:ascii="宋体" w:hAnsi="宋体" w:hint="eastAsia"/>
          <w:color w:val="00B0F0"/>
          <w:u w:val="single"/>
          <w:lang w:eastAsia="zh-CN"/>
        </w:rPr>
        <w:t xml:space="preserve">     /          </w:t>
      </w:r>
      <w:r>
        <w:rPr>
          <w:rFonts w:ascii="宋体" w:hAnsi="宋体" w:hint="eastAsia"/>
          <w:lang w:eastAsia="zh-CN"/>
        </w:rPr>
        <w:t>。</w:t>
      </w:r>
    </w:p>
    <w:p w14:paraId="3B5E9C66">
      <w:pPr>
        <w:spacing w:line="360" w:lineRule="auto"/>
        <w:rPr>
          <w:rFonts w:ascii="宋体" w:hAnsi="宋体"/>
          <w:lang w:eastAsia="zh-CN"/>
        </w:rPr>
      </w:pPr>
      <w:r>
        <w:rPr>
          <w:rFonts w:ascii="宋体" w:hAnsi="宋体" w:hint="eastAsia"/>
          <w:lang w:eastAsia="zh-CN"/>
        </w:rPr>
        <w:t>5.3 隐蔽工程检查</w:t>
      </w:r>
    </w:p>
    <w:p w14:paraId="5A5DE48C">
      <w:pPr>
        <w:spacing w:line="360" w:lineRule="auto"/>
        <w:rPr>
          <w:rFonts w:ascii="宋体" w:hAnsi="宋体"/>
          <w:u w:val="single"/>
          <w:lang w:eastAsia="zh-CN"/>
        </w:rPr>
      </w:pPr>
      <w:r>
        <w:rPr>
          <w:rFonts w:ascii="宋体" w:hAnsi="宋体" w:hint="eastAsia"/>
          <w:lang w:eastAsia="zh-CN"/>
        </w:rPr>
        <w:t>5.3.2承包人提前通知监理人隐蔽工程检查的期限的约定：</w:t>
      </w:r>
      <w:r>
        <w:rPr>
          <w:rFonts w:ascii="宋体" w:hAnsi="宋体" w:hint="eastAsia"/>
          <w:color w:val="00B0F0"/>
          <w:u w:val="single"/>
          <w:lang w:eastAsia="zh-CN"/>
        </w:rPr>
        <w:t xml:space="preserve">  按通用合同条款执行  </w:t>
      </w:r>
      <w:r>
        <w:rPr>
          <w:rFonts w:ascii="宋体" w:hAnsi="宋体" w:hint="eastAsia"/>
          <w:lang w:eastAsia="zh-CN"/>
        </w:rPr>
        <w:t>。</w:t>
      </w:r>
    </w:p>
    <w:p w14:paraId="168D60AE">
      <w:pPr>
        <w:spacing w:line="360" w:lineRule="auto"/>
        <w:rPr>
          <w:rFonts w:ascii="宋体" w:hAnsi="宋体"/>
          <w:lang w:eastAsia="zh-CN"/>
        </w:rPr>
      </w:pPr>
      <w:r>
        <w:rPr>
          <w:rFonts w:ascii="宋体" w:hAnsi="宋体" w:hint="eastAsia"/>
          <w:lang w:eastAsia="zh-CN"/>
        </w:rPr>
        <w:t>监理人不能按时进行检查时，应提前</w:t>
      </w:r>
      <w:r>
        <w:rPr>
          <w:rFonts w:ascii="宋体" w:hAnsi="宋体" w:hint="eastAsia"/>
          <w:color w:val="00B0F0"/>
          <w:u w:val="single"/>
          <w:lang w:eastAsia="zh-CN"/>
        </w:rPr>
        <w:t xml:space="preserve">  24   </w:t>
      </w:r>
      <w:r>
        <w:rPr>
          <w:rFonts w:ascii="宋体" w:hAnsi="宋体" w:hint="eastAsia"/>
          <w:lang w:eastAsia="zh-CN"/>
        </w:rPr>
        <w:t>小时提交书面延期要求。</w:t>
      </w:r>
    </w:p>
    <w:p w14:paraId="71B86F1D">
      <w:pPr>
        <w:spacing w:line="360" w:lineRule="auto"/>
        <w:rPr>
          <w:rFonts w:ascii="宋体" w:hAnsi="宋体"/>
          <w:lang w:eastAsia="zh-CN"/>
        </w:rPr>
      </w:pPr>
      <w:r>
        <w:rPr>
          <w:rFonts w:ascii="宋体" w:hAnsi="宋体" w:hint="eastAsia"/>
          <w:lang w:eastAsia="zh-CN"/>
        </w:rPr>
        <w:t>关于延期最长不得超过：</w:t>
      </w:r>
      <w:r>
        <w:rPr>
          <w:rFonts w:ascii="宋体" w:hAnsi="宋体" w:hint="eastAsia"/>
          <w:color w:val="00B0F0"/>
          <w:u w:val="single"/>
          <w:lang w:eastAsia="zh-CN"/>
        </w:rPr>
        <w:t xml:space="preserve">  </w:t>
      </w:r>
      <w:r>
        <w:rPr>
          <w:rFonts w:ascii="宋体" w:hAnsi="宋体" w:hint="eastAsia"/>
          <w:color w:val="00B0F0"/>
          <w:u w:val="single"/>
          <w:lang w:val="en-US" w:eastAsia="zh-CN"/>
        </w:rPr>
        <w:t>48</w:t>
      </w:r>
      <w:r>
        <w:rPr>
          <w:rFonts w:ascii="宋体" w:hAnsi="宋体" w:hint="eastAsia"/>
          <w:color w:val="00B0F0"/>
          <w:u w:val="single"/>
          <w:lang w:eastAsia="zh-CN"/>
        </w:rPr>
        <w:t xml:space="preserve">   </w:t>
      </w:r>
      <w:r>
        <w:rPr>
          <w:rFonts w:ascii="宋体" w:hAnsi="宋体" w:hint="eastAsia"/>
          <w:lang w:eastAsia="zh-CN"/>
        </w:rPr>
        <w:t>小时。</w:t>
      </w:r>
    </w:p>
    <w:p w14:paraId="4960D71A">
      <w:pPr>
        <w:spacing w:line="360" w:lineRule="auto"/>
        <w:rPr>
          <w:rFonts w:ascii="宋体" w:hAnsi="宋体"/>
          <w:bCs/>
          <w:lang w:eastAsia="zh-CN"/>
        </w:rPr>
      </w:pPr>
      <w:bookmarkStart w:id="660" w:name="_Toc351203638"/>
      <w:r>
        <w:rPr>
          <w:rFonts w:ascii="宋体" w:hAnsi="宋体" w:hint="eastAsia"/>
          <w:bCs/>
          <w:lang w:eastAsia="zh-CN"/>
        </w:rPr>
        <w:t>6. 安全文明施工与环境保护</w:t>
      </w:r>
      <w:bookmarkEnd w:id="660"/>
    </w:p>
    <w:p w14:paraId="10855326">
      <w:pPr>
        <w:spacing w:line="360" w:lineRule="auto"/>
        <w:rPr>
          <w:rFonts w:ascii="宋体" w:hAnsi="宋体"/>
          <w:lang w:eastAsia="zh-CN"/>
        </w:rPr>
      </w:pPr>
      <w:r>
        <w:rPr>
          <w:rFonts w:ascii="宋体" w:hAnsi="宋体" w:hint="eastAsia"/>
          <w:lang w:eastAsia="zh-CN"/>
        </w:rPr>
        <w:t>6.1安全文明施工</w:t>
      </w:r>
    </w:p>
    <w:p w14:paraId="7D9EF994">
      <w:pPr>
        <w:spacing w:line="360" w:lineRule="auto"/>
        <w:rPr>
          <w:rFonts w:ascii="宋体" w:hAnsi="宋体" w:hint="eastAsia"/>
          <w:color w:val="00B0F0"/>
          <w:u w:val="single"/>
          <w:lang w:eastAsia="zh-CN"/>
        </w:rPr>
      </w:pPr>
      <w:r>
        <w:rPr>
          <w:rFonts w:ascii="宋体" w:hAnsi="宋体" w:hint="eastAsia"/>
          <w:lang w:eastAsia="zh-CN"/>
        </w:rPr>
        <w:t>6.1.1 项目安全生产的达标目标及相应事项的约定：</w:t>
      </w:r>
      <w:r>
        <w:rPr>
          <w:rFonts w:ascii="宋体" w:hAnsi="宋体" w:hint="eastAsia"/>
          <w:color w:val="00B0F0"/>
          <w:u w:val="single"/>
          <w:lang w:eastAsia="zh-CN"/>
        </w:rPr>
        <w:t xml:space="preserve"> 按通用合同条款执行，确保无</w:t>
      </w:r>
    </w:p>
    <w:p w14:paraId="3A8872BA">
      <w:pPr>
        <w:spacing w:line="360" w:lineRule="auto"/>
        <w:rPr>
          <w:rFonts w:ascii="宋体" w:hAnsi="宋体"/>
          <w:lang w:eastAsia="zh-CN"/>
        </w:rPr>
      </w:pPr>
      <w:r>
        <w:rPr>
          <w:rFonts w:ascii="宋体" w:hAnsi="宋体" w:hint="eastAsia"/>
          <w:color w:val="00B0F0"/>
          <w:u w:val="single"/>
          <w:lang w:eastAsia="zh-CN"/>
        </w:rPr>
        <w:t xml:space="preserve">安全事故发生   </w:t>
      </w:r>
      <w:r>
        <w:rPr>
          <w:rFonts w:ascii="宋体" w:hAnsi="宋体" w:hint="eastAsia"/>
          <w:lang w:eastAsia="zh-CN"/>
        </w:rPr>
        <w:t>。</w:t>
      </w:r>
    </w:p>
    <w:p w14:paraId="4A3BDC57">
      <w:pPr>
        <w:spacing w:line="360" w:lineRule="auto"/>
        <w:rPr>
          <w:rFonts w:ascii="宋体" w:hAnsi="宋体"/>
          <w:lang w:eastAsia="zh-CN"/>
        </w:rPr>
      </w:pPr>
      <w:r>
        <w:rPr>
          <w:rFonts w:ascii="宋体" w:hAnsi="宋体" w:hint="eastAsia"/>
          <w:lang w:eastAsia="zh-CN"/>
        </w:rPr>
        <w:t>6.1.4 关于治安保卫的特别约定：</w:t>
      </w:r>
      <w:r>
        <w:rPr>
          <w:rFonts w:ascii="宋体" w:hAnsi="宋体" w:hint="eastAsia"/>
          <w:color w:val="00B0F0"/>
          <w:u w:val="single"/>
          <w:lang w:eastAsia="zh-CN"/>
        </w:rPr>
        <w:t xml:space="preserve">  按通用合同条款执行   </w:t>
      </w:r>
      <w:r>
        <w:rPr>
          <w:rFonts w:ascii="宋体" w:hAnsi="宋体" w:hint="eastAsia"/>
          <w:lang w:eastAsia="zh-CN"/>
        </w:rPr>
        <w:t>。</w:t>
      </w:r>
    </w:p>
    <w:p w14:paraId="73B2876E">
      <w:pPr>
        <w:spacing w:line="360" w:lineRule="auto"/>
        <w:rPr>
          <w:rFonts w:ascii="宋体" w:hAnsi="宋体"/>
          <w:lang w:eastAsia="zh-CN"/>
        </w:rPr>
      </w:pPr>
      <w:r>
        <w:rPr>
          <w:rFonts w:ascii="宋体" w:hAnsi="宋体" w:hint="eastAsia"/>
          <w:lang w:eastAsia="zh-CN"/>
        </w:rPr>
        <w:t>关于编制施工场地治安管理计划的约定：</w:t>
      </w:r>
      <w:r>
        <w:rPr>
          <w:rFonts w:ascii="宋体" w:hAnsi="宋体" w:hint="eastAsia"/>
          <w:color w:val="00B0F0"/>
          <w:u w:val="single"/>
          <w:lang w:eastAsia="zh-CN"/>
        </w:rPr>
        <w:t xml:space="preserve">  开工前3天，承包人应提交施工场地治安管理计划   </w:t>
      </w:r>
      <w:r>
        <w:rPr>
          <w:rFonts w:ascii="宋体" w:hAnsi="宋体" w:hint="eastAsia"/>
          <w:lang w:eastAsia="zh-CN"/>
        </w:rPr>
        <w:t>。</w:t>
      </w:r>
    </w:p>
    <w:p w14:paraId="692851DE">
      <w:pPr>
        <w:spacing w:line="360" w:lineRule="auto"/>
        <w:rPr>
          <w:rFonts w:ascii="宋体" w:hAnsi="宋体"/>
          <w:lang w:eastAsia="zh-CN"/>
        </w:rPr>
      </w:pPr>
      <w:r>
        <w:rPr>
          <w:rFonts w:ascii="宋体" w:hAnsi="宋体" w:hint="eastAsia"/>
          <w:lang w:eastAsia="zh-CN"/>
        </w:rPr>
        <w:t>6.1.5 文明施工</w:t>
      </w:r>
    </w:p>
    <w:p w14:paraId="5D48982F">
      <w:pPr>
        <w:spacing w:line="360" w:lineRule="auto"/>
        <w:rPr>
          <w:rFonts w:ascii="宋体" w:hAnsi="宋体"/>
          <w:lang w:eastAsia="zh-CN"/>
        </w:rPr>
      </w:pPr>
      <w:r>
        <w:rPr>
          <w:rFonts w:ascii="宋体" w:hAnsi="宋体" w:hint="eastAsia"/>
          <w:lang w:eastAsia="zh-CN"/>
        </w:rPr>
        <w:t>合同当事人对文明施工的要求：</w:t>
      </w:r>
      <w:r>
        <w:rPr>
          <w:rFonts w:ascii="宋体" w:hAnsi="宋体" w:hint="eastAsia"/>
          <w:color w:val="00B0F0"/>
          <w:u w:val="single"/>
          <w:lang w:eastAsia="zh-CN"/>
        </w:rPr>
        <w:t xml:space="preserve">  按通用合同条款执行    </w:t>
      </w:r>
      <w:r>
        <w:rPr>
          <w:rFonts w:ascii="宋体" w:hAnsi="宋体" w:hint="eastAsia"/>
          <w:lang w:eastAsia="zh-CN"/>
        </w:rPr>
        <w:t>。</w:t>
      </w:r>
    </w:p>
    <w:p w14:paraId="7ADD3204">
      <w:pPr>
        <w:spacing w:line="360" w:lineRule="auto"/>
        <w:rPr>
          <w:rFonts w:ascii="宋体" w:hAnsi="宋体"/>
          <w:lang w:eastAsia="zh-CN"/>
        </w:rPr>
      </w:pPr>
      <w:r>
        <w:rPr>
          <w:rFonts w:ascii="宋体" w:hAnsi="宋体" w:hint="eastAsia"/>
          <w:lang w:eastAsia="zh-CN"/>
        </w:rPr>
        <w:t>6.1.6 关于安全文明施工费支付比例和支付期限的约定：</w:t>
      </w:r>
      <w:r>
        <w:rPr>
          <w:rFonts w:ascii="宋体" w:hAnsi="宋体" w:hint="eastAsia"/>
          <w:color w:val="00B0F0"/>
          <w:u w:val="single"/>
          <w:lang w:eastAsia="zh-CN"/>
        </w:rPr>
        <w:t xml:space="preserve"> 纳入合同进度款支付   </w:t>
      </w:r>
      <w:r>
        <w:rPr>
          <w:rFonts w:ascii="宋体" w:hAnsi="宋体" w:hint="eastAsia"/>
          <w:lang w:eastAsia="zh-CN"/>
        </w:rPr>
        <w:t>。</w:t>
      </w:r>
    </w:p>
    <w:bookmarkEnd w:id="653"/>
    <w:bookmarkEnd w:id="654"/>
    <w:bookmarkEnd w:id="655"/>
    <w:bookmarkEnd w:id="656"/>
    <w:bookmarkEnd w:id="657"/>
    <w:bookmarkEnd w:id="658"/>
    <w:bookmarkEnd w:id="659"/>
    <w:p w14:paraId="00F1924D">
      <w:pPr>
        <w:spacing w:line="360" w:lineRule="auto"/>
        <w:rPr>
          <w:rFonts w:ascii="宋体" w:hAnsi="宋体"/>
          <w:bCs/>
          <w:lang w:eastAsia="zh-CN"/>
        </w:rPr>
      </w:pPr>
      <w:bookmarkStart w:id="661" w:name="_Toc351203639"/>
      <w:r>
        <w:rPr>
          <w:rFonts w:ascii="宋体" w:hAnsi="宋体" w:hint="eastAsia"/>
          <w:bCs/>
          <w:lang w:eastAsia="zh-CN"/>
        </w:rPr>
        <w:t>7. 工期和进度</w:t>
      </w:r>
      <w:bookmarkEnd w:id="661"/>
    </w:p>
    <w:p w14:paraId="1899A3A7">
      <w:pPr>
        <w:spacing w:line="360" w:lineRule="auto"/>
        <w:rPr>
          <w:rFonts w:ascii="宋体" w:hAnsi="宋体"/>
          <w:lang w:eastAsia="zh-CN"/>
        </w:rPr>
      </w:pPr>
      <w:r>
        <w:rPr>
          <w:rFonts w:ascii="宋体" w:hAnsi="宋体" w:hint="eastAsia"/>
          <w:lang w:eastAsia="zh-CN"/>
        </w:rPr>
        <w:t>7.1 施工组织设计</w:t>
      </w:r>
    </w:p>
    <w:p w14:paraId="785FAE30">
      <w:pPr>
        <w:spacing w:line="360" w:lineRule="auto"/>
        <w:rPr>
          <w:rFonts w:ascii="宋体" w:hAnsi="宋体"/>
          <w:u w:val="single"/>
          <w:lang w:eastAsia="zh-CN"/>
        </w:rPr>
      </w:pPr>
      <w:r>
        <w:rPr>
          <w:rFonts w:ascii="宋体" w:hAnsi="宋体" w:hint="eastAsia"/>
          <w:lang w:eastAsia="zh-CN"/>
        </w:rPr>
        <w:t>7.1.1 合同当事人约定的施工组织设计应包括的其他内容：</w:t>
      </w:r>
      <w:r>
        <w:rPr>
          <w:rFonts w:ascii="宋体" w:hAnsi="宋体" w:hint="eastAsia"/>
          <w:color w:val="00B0F0"/>
          <w:u w:val="single"/>
          <w:lang w:eastAsia="zh-CN"/>
        </w:rPr>
        <w:t xml:space="preserve">   无   </w:t>
      </w:r>
      <w:r>
        <w:rPr>
          <w:rFonts w:ascii="宋体" w:hAnsi="宋体" w:hint="eastAsia"/>
          <w:lang w:eastAsia="zh-CN"/>
        </w:rPr>
        <w:t>。</w:t>
      </w:r>
    </w:p>
    <w:p w14:paraId="2CF3E79A">
      <w:pPr>
        <w:spacing w:line="360" w:lineRule="auto"/>
        <w:rPr>
          <w:rFonts w:ascii="宋体" w:hAnsi="宋体"/>
          <w:lang w:eastAsia="zh-CN"/>
        </w:rPr>
      </w:pPr>
      <w:r>
        <w:rPr>
          <w:rFonts w:ascii="宋体" w:hAnsi="宋体" w:hint="eastAsia"/>
          <w:lang w:eastAsia="zh-CN"/>
        </w:rPr>
        <w:t>7.1.2 施工组织设计的提交和修改</w:t>
      </w:r>
    </w:p>
    <w:p w14:paraId="22E8F176">
      <w:pPr>
        <w:spacing w:line="360" w:lineRule="auto"/>
        <w:rPr>
          <w:rFonts w:ascii="宋体" w:hAnsi="宋体"/>
          <w:u w:val="single"/>
          <w:lang w:eastAsia="zh-CN"/>
        </w:rPr>
      </w:pPr>
      <w:r>
        <w:rPr>
          <w:rFonts w:ascii="宋体" w:hAnsi="宋体" w:hint="eastAsia"/>
          <w:lang w:eastAsia="zh-CN"/>
        </w:rPr>
        <w:t>承包人提交详细施工组织设计的期限的约定：</w:t>
      </w:r>
      <w:r>
        <w:rPr>
          <w:rFonts w:ascii="宋体" w:hAnsi="宋体" w:hint="eastAsia"/>
          <w:color w:val="00B0F0"/>
          <w:u w:val="single"/>
          <w:lang w:eastAsia="zh-CN"/>
        </w:rPr>
        <w:t xml:space="preserve">  按通用合同条款执行   </w:t>
      </w:r>
      <w:r>
        <w:rPr>
          <w:rFonts w:ascii="宋体" w:hAnsi="宋体" w:hint="eastAsia"/>
          <w:lang w:eastAsia="zh-CN"/>
        </w:rPr>
        <w:t>。</w:t>
      </w:r>
    </w:p>
    <w:p w14:paraId="08FA719E">
      <w:pPr>
        <w:spacing w:line="360" w:lineRule="auto"/>
        <w:rPr>
          <w:rFonts w:ascii="宋体" w:hAnsi="宋体"/>
          <w:lang w:eastAsia="zh-CN"/>
        </w:rPr>
      </w:pPr>
      <w:r>
        <w:rPr>
          <w:rFonts w:ascii="宋体" w:hAnsi="宋体" w:hint="eastAsia"/>
          <w:lang w:eastAsia="zh-CN"/>
        </w:rPr>
        <w:t>发包人和监理人在收到详细的施工组织设计后确认或提出修改意见的期限：</w:t>
      </w:r>
      <w:r>
        <w:rPr>
          <w:rFonts w:ascii="宋体" w:hAnsi="宋体" w:hint="eastAsia"/>
          <w:color w:val="00B0F0"/>
          <w:u w:val="single"/>
          <w:lang w:eastAsia="zh-CN"/>
        </w:rPr>
        <w:t xml:space="preserve">按通用合同条款执行 </w:t>
      </w:r>
      <w:r>
        <w:rPr>
          <w:rFonts w:ascii="宋体" w:hAnsi="宋体" w:hint="eastAsia"/>
          <w:lang w:eastAsia="zh-CN"/>
        </w:rPr>
        <w:t>。</w:t>
      </w:r>
    </w:p>
    <w:p w14:paraId="66DCD071">
      <w:pPr>
        <w:spacing w:line="360" w:lineRule="auto"/>
        <w:rPr>
          <w:rFonts w:ascii="宋体" w:hAnsi="宋体"/>
          <w:lang w:eastAsia="zh-CN"/>
        </w:rPr>
      </w:pPr>
      <w:r>
        <w:rPr>
          <w:rFonts w:ascii="宋体" w:hAnsi="宋体" w:hint="eastAsia"/>
          <w:lang w:eastAsia="zh-CN"/>
        </w:rPr>
        <w:t>7</w:t>
      </w:r>
      <w:bookmarkStart w:id="662" w:name="_Toc304295541"/>
      <w:bookmarkStart w:id="663" w:name="_Toc300934966"/>
      <w:bookmarkStart w:id="664" w:name="_Toc312677479"/>
      <w:bookmarkStart w:id="665" w:name="_Toc297216173"/>
      <w:bookmarkStart w:id="666" w:name="_Toc312678005"/>
      <w:bookmarkStart w:id="667" w:name="_Toc297123514"/>
      <w:bookmarkStart w:id="668" w:name="_Toc303539123"/>
      <w:r>
        <w:rPr>
          <w:rFonts w:ascii="宋体" w:hAnsi="宋体" w:hint="eastAsia"/>
          <w:lang w:eastAsia="zh-CN"/>
        </w:rPr>
        <w:t>.2 施工进度计划</w:t>
      </w:r>
    </w:p>
    <w:p w14:paraId="2D736158">
      <w:pPr>
        <w:spacing w:line="360" w:lineRule="auto"/>
        <w:rPr>
          <w:rFonts w:ascii="宋体" w:hAnsi="宋体"/>
          <w:lang w:eastAsia="zh-CN"/>
        </w:rPr>
      </w:pPr>
      <w:r>
        <w:rPr>
          <w:rFonts w:ascii="宋体" w:hAnsi="宋体" w:hint="eastAsia"/>
          <w:lang w:eastAsia="zh-CN"/>
        </w:rPr>
        <w:t>7.2.2 施工进度计划的修订</w:t>
      </w:r>
    </w:p>
    <w:p w14:paraId="57A26C34">
      <w:pPr>
        <w:spacing w:line="360" w:lineRule="auto"/>
        <w:rPr>
          <w:rFonts w:ascii="宋体" w:hAnsi="宋体"/>
          <w:lang w:eastAsia="zh-CN"/>
        </w:rPr>
      </w:pPr>
      <w:r>
        <w:rPr>
          <w:rFonts w:ascii="宋体" w:hAnsi="宋体" w:hint="eastAsia"/>
          <w:lang w:eastAsia="zh-CN"/>
        </w:rPr>
        <w:t>发包人和监理人在收到修订的施工进度计划后确认或提出修改意见的期限：</w:t>
      </w:r>
      <w:r>
        <w:rPr>
          <w:rFonts w:ascii="宋体" w:hAnsi="宋体" w:hint="eastAsia"/>
          <w:color w:val="00B0F0"/>
          <w:u w:val="single"/>
          <w:lang w:eastAsia="zh-CN"/>
        </w:rPr>
        <w:t xml:space="preserve">  按通用合同条款执行 </w:t>
      </w:r>
      <w:r>
        <w:rPr>
          <w:rFonts w:ascii="宋体" w:hAnsi="宋体" w:hint="eastAsia"/>
          <w:lang w:eastAsia="zh-CN"/>
        </w:rPr>
        <w:t>。</w:t>
      </w:r>
    </w:p>
    <w:p w14:paraId="24B5D6BC">
      <w:pPr>
        <w:spacing w:line="360" w:lineRule="auto"/>
        <w:rPr>
          <w:rFonts w:ascii="宋体" w:hAnsi="宋体"/>
          <w:lang w:eastAsia="zh-CN"/>
        </w:rPr>
      </w:pPr>
      <w:r>
        <w:rPr>
          <w:rFonts w:ascii="宋体" w:hAnsi="宋体" w:hint="eastAsia"/>
          <w:lang w:eastAsia="zh-CN"/>
        </w:rPr>
        <w:t>7.3 开工</w:t>
      </w:r>
    </w:p>
    <w:p w14:paraId="33D63C62">
      <w:pPr>
        <w:spacing w:line="360" w:lineRule="auto"/>
        <w:rPr>
          <w:rFonts w:ascii="宋体" w:hAnsi="宋体"/>
          <w:lang w:eastAsia="zh-CN"/>
        </w:rPr>
      </w:pPr>
      <w:r>
        <w:rPr>
          <w:rFonts w:ascii="宋体" w:hAnsi="宋体" w:hint="eastAsia"/>
          <w:lang w:eastAsia="zh-CN"/>
        </w:rPr>
        <w:t>7.3.1 开工准备</w:t>
      </w:r>
    </w:p>
    <w:p w14:paraId="12D35DC5">
      <w:pPr>
        <w:spacing w:line="360" w:lineRule="auto"/>
        <w:rPr>
          <w:rFonts w:ascii="宋体" w:hAnsi="宋体"/>
          <w:u w:val="single"/>
          <w:lang w:eastAsia="zh-CN"/>
        </w:rPr>
      </w:pPr>
      <w:r>
        <w:rPr>
          <w:rFonts w:ascii="宋体" w:hAnsi="宋体" w:hint="eastAsia"/>
          <w:lang w:eastAsia="zh-CN"/>
        </w:rPr>
        <w:t>关于承包人提交工程开工报审表的期限：</w:t>
      </w:r>
      <w:r>
        <w:rPr>
          <w:rFonts w:ascii="宋体" w:hAnsi="宋体" w:hint="eastAsia"/>
          <w:color w:val="00B0F0"/>
          <w:u w:val="single"/>
          <w:lang w:eastAsia="zh-CN"/>
        </w:rPr>
        <w:t xml:space="preserve">  按通用合同条款执行  </w:t>
      </w:r>
      <w:r>
        <w:rPr>
          <w:rFonts w:ascii="宋体" w:hAnsi="宋体" w:hint="eastAsia"/>
          <w:lang w:eastAsia="zh-CN"/>
        </w:rPr>
        <w:t>。</w:t>
      </w:r>
    </w:p>
    <w:p w14:paraId="3C8C1D92">
      <w:pPr>
        <w:spacing w:line="360" w:lineRule="auto"/>
        <w:rPr>
          <w:rFonts w:ascii="宋体" w:hAnsi="宋体"/>
          <w:lang w:eastAsia="zh-CN"/>
        </w:rPr>
      </w:pPr>
      <w:r>
        <w:rPr>
          <w:rFonts w:ascii="宋体" w:hAnsi="宋体" w:hint="eastAsia"/>
          <w:lang w:eastAsia="zh-CN"/>
        </w:rPr>
        <w:t>关于发包人应完成的其他开工准备工作及期限：</w:t>
      </w:r>
      <w:r>
        <w:rPr>
          <w:rFonts w:ascii="宋体" w:hAnsi="宋体" w:hint="eastAsia"/>
          <w:color w:val="00B0F0"/>
          <w:u w:val="single"/>
          <w:lang w:eastAsia="zh-CN"/>
        </w:rPr>
        <w:t xml:space="preserve">  合同签订后一个月内 </w:t>
      </w:r>
      <w:r>
        <w:rPr>
          <w:rFonts w:ascii="宋体" w:hAnsi="宋体" w:hint="eastAsia"/>
          <w:lang w:eastAsia="zh-CN"/>
        </w:rPr>
        <w:t>。</w:t>
      </w:r>
    </w:p>
    <w:p w14:paraId="5CB76F6E">
      <w:pPr>
        <w:spacing w:line="360" w:lineRule="auto"/>
        <w:rPr>
          <w:rFonts w:ascii="宋体" w:hAnsi="宋体"/>
          <w:lang w:eastAsia="zh-CN"/>
        </w:rPr>
      </w:pPr>
      <w:r>
        <w:rPr>
          <w:rFonts w:ascii="宋体" w:hAnsi="宋体" w:hint="eastAsia"/>
          <w:lang w:eastAsia="zh-CN"/>
        </w:rPr>
        <w:t>关于承包人应完成的其他开工准备工作及期限：</w:t>
      </w:r>
      <w:r>
        <w:rPr>
          <w:rFonts w:ascii="宋体" w:hAnsi="宋体" w:hint="eastAsia"/>
          <w:color w:val="00B0F0"/>
          <w:u w:val="single"/>
          <w:lang w:eastAsia="zh-CN"/>
        </w:rPr>
        <w:t xml:space="preserve">  （1）合同签订后30日内，承包人应到我区银行开设民工工资(劳务费)专用账户。每延迟1天，罚款5000元，并依此类推，延迟一个月以上，发包人有权解除合同，并由承包人承担相应损失。（2）合同签订后30日内，承包人应提交相应合格资料协助发包人办理施工许可证，承包人提供资料每延迟1天，罚款5000元，延迟一个月以上，发包人有权解除合同，并由承包人承担相应损失。（3）设计图须经政府规委会审查通过和经发包人施工图审查合格后方可开工建设   </w:t>
      </w:r>
      <w:r>
        <w:rPr>
          <w:rFonts w:ascii="宋体" w:hAnsi="宋体" w:hint="eastAsia"/>
          <w:lang w:eastAsia="zh-CN"/>
        </w:rPr>
        <w:t>。</w:t>
      </w:r>
    </w:p>
    <w:p w14:paraId="20253ADB">
      <w:pPr>
        <w:spacing w:line="360" w:lineRule="auto"/>
        <w:rPr>
          <w:rFonts w:ascii="宋体" w:hAnsi="宋体"/>
          <w:lang w:eastAsia="zh-CN"/>
        </w:rPr>
      </w:pPr>
      <w:r>
        <w:rPr>
          <w:rFonts w:ascii="宋体" w:hAnsi="宋体" w:hint="eastAsia"/>
          <w:lang w:eastAsia="zh-CN"/>
        </w:rPr>
        <w:t>7.3.2开工通知</w:t>
      </w:r>
    </w:p>
    <w:p w14:paraId="5C23233C">
      <w:pPr>
        <w:spacing w:line="360" w:lineRule="auto"/>
        <w:rPr>
          <w:rFonts w:ascii="宋体" w:hAnsi="宋体"/>
          <w:lang w:eastAsia="zh-CN"/>
        </w:rPr>
      </w:pPr>
      <w:r>
        <w:rPr>
          <w:rFonts w:ascii="宋体" w:hAnsi="宋体" w:hint="eastAsia"/>
          <w:lang w:eastAsia="zh-CN"/>
        </w:rPr>
        <w:t>因发包人原因造成监理人未能在计划开工日期之日起</w:t>
      </w:r>
      <w:r>
        <w:rPr>
          <w:rFonts w:ascii="宋体" w:hAnsi="宋体" w:hint="eastAsia"/>
          <w:color w:val="00B0F0"/>
          <w:u w:val="single"/>
          <w:lang w:eastAsia="zh-CN"/>
        </w:rPr>
        <w:t xml:space="preserve">  90    </w:t>
      </w:r>
      <w:r>
        <w:rPr>
          <w:rFonts w:ascii="宋体" w:hAnsi="宋体" w:hint="eastAsia"/>
          <w:lang w:eastAsia="zh-CN"/>
        </w:rPr>
        <w:t>天内发出开工通知的，承包人有权提出价格调整要求，或者解除合同。</w:t>
      </w:r>
    </w:p>
    <w:bookmarkEnd w:id="662"/>
    <w:bookmarkEnd w:id="663"/>
    <w:bookmarkEnd w:id="664"/>
    <w:bookmarkEnd w:id="665"/>
    <w:bookmarkEnd w:id="666"/>
    <w:bookmarkEnd w:id="667"/>
    <w:bookmarkEnd w:id="668"/>
    <w:p w14:paraId="53E49660">
      <w:pPr>
        <w:spacing w:line="360" w:lineRule="auto"/>
        <w:rPr>
          <w:rFonts w:ascii="宋体" w:hAnsi="宋体"/>
          <w:lang w:eastAsia="zh-CN"/>
        </w:rPr>
      </w:pPr>
      <w:r>
        <w:rPr>
          <w:rFonts w:ascii="宋体" w:hAnsi="宋体" w:hint="eastAsia"/>
          <w:lang w:eastAsia="zh-CN"/>
        </w:rPr>
        <w:t>7.4 测量放线</w:t>
      </w:r>
    </w:p>
    <w:p w14:paraId="36E06A85">
      <w:pPr>
        <w:spacing w:line="360" w:lineRule="auto"/>
        <w:rPr>
          <w:rFonts w:ascii="宋体" w:hAnsi="宋体"/>
          <w:u w:val="single"/>
          <w:lang w:eastAsia="zh-CN"/>
        </w:rPr>
      </w:pPr>
      <w:r>
        <w:rPr>
          <w:rFonts w:ascii="宋体" w:hAnsi="宋体" w:hint="eastAsia"/>
          <w:lang w:eastAsia="zh-CN"/>
        </w:rPr>
        <w:t>7.4.1发包人通过监理人向承包人提供测量基准点、基准线和水准点及其书面资料的期限：</w:t>
      </w:r>
      <w:r>
        <w:rPr>
          <w:rFonts w:ascii="宋体" w:hAnsi="宋体" w:hint="eastAsia"/>
          <w:color w:val="00B0F0"/>
          <w:u w:val="single"/>
          <w:lang w:eastAsia="zh-CN"/>
        </w:rPr>
        <w:t xml:space="preserve">  合同签订后10日内   </w:t>
      </w:r>
      <w:r>
        <w:rPr>
          <w:rFonts w:ascii="宋体" w:hAnsi="宋体" w:hint="eastAsia"/>
          <w:lang w:eastAsia="zh-CN"/>
        </w:rPr>
        <w:t>。</w:t>
      </w:r>
    </w:p>
    <w:p w14:paraId="1BFC2B13">
      <w:pPr>
        <w:spacing w:line="360" w:lineRule="auto"/>
        <w:rPr>
          <w:rFonts w:ascii="宋体" w:hAnsi="宋体"/>
          <w:lang w:eastAsia="zh-CN"/>
        </w:rPr>
      </w:pPr>
      <w:r>
        <w:rPr>
          <w:rFonts w:ascii="宋体" w:hAnsi="宋体" w:hint="eastAsia"/>
          <w:lang w:eastAsia="zh-CN"/>
        </w:rPr>
        <w:t>7</w:t>
      </w:r>
      <w:bookmarkStart w:id="669" w:name="_Toc312677484"/>
      <w:bookmarkStart w:id="670" w:name="_Toc300934968"/>
      <w:bookmarkStart w:id="671" w:name="_Toc297216175"/>
      <w:bookmarkStart w:id="672" w:name="_Toc297123516"/>
      <w:bookmarkStart w:id="673" w:name="_Toc303539125"/>
      <w:bookmarkStart w:id="674" w:name="_Toc312678010"/>
      <w:bookmarkStart w:id="675" w:name="_Toc304295546"/>
      <w:r>
        <w:rPr>
          <w:rFonts w:ascii="宋体" w:hAnsi="宋体" w:hint="eastAsia"/>
          <w:lang w:eastAsia="zh-CN"/>
        </w:rPr>
        <w:t>.5 工期延误</w:t>
      </w:r>
    </w:p>
    <w:bookmarkEnd w:id="669"/>
    <w:bookmarkEnd w:id="670"/>
    <w:bookmarkEnd w:id="671"/>
    <w:bookmarkEnd w:id="672"/>
    <w:bookmarkEnd w:id="673"/>
    <w:bookmarkEnd w:id="674"/>
    <w:bookmarkEnd w:id="675"/>
    <w:p w14:paraId="492986E1">
      <w:pPr>
        <w:spacing w:line="360" w:lineRule="auto"/>
        <w:rPr>
          <w:rFonts w:ascii="宋体" w:hAnsi="宋体"/>
          <w:lang w:eastAsia="zh-CN"/>
        </w:rPr>
      </w:pPr>
      <w:r>
        <w:rPr>
          <w:rFonts w:ascii="宋体" w:hAnsi="宋体" w:hint="eastAsia"/>
          <w:lang w:eastAsia="zh-CN"/>
        </w:rPr>
        <w:t>7.5.1 因发包人原因导致工期延误</w:t>
      </w:r>
    </w:p>
    <w:p w14:paraId="234583FD">
      <w:pPr>
        <w:spacing w:line="360" w:lineRule="auto"/>
        <w:rPr>
          <w:rFonts w:ascii="宋体" w:hAnsi="宋体"/>
          <w:lang w:eastAsia="zh-CN"/>
        </w:rPr>
      </w:pPr>
      <w:r>
        <w:rPr>
          <w:rFonts w:ascii="宋体" w:hAnsi="宋体" w:hint="eastAsia"/>
          <w:lang w:eastAsia="zh-CN"/>
        </w:rPr>
        <w:t>（7）因发包人原因导致工期延误的其他情形：</w:t>
      </w:r>
      <w:r>
        <w:rPr>
          <w:rFonts w:ascii="宋体" w:hAnsi="宋体" w:hint="eastAsia"/>
          <w:color w:val="00B0F0"/>
          <w:u w:val="single"/>
          <w:lang w:eastAsia="zh-CN"/>
        </w:rPr>
        <w:t xml:space="preserve">   /    </w:t>
      </w:r>
      <w:r>
        <w:rPr>
          <w:rFonts w:ascii="宋体" w:hAnsi="宋体" w:hint="eastAsia"/>
          <w:lang w:eastAsia="zh-CN"/>
        </w:rPr>
        <w:t>。</w:t>
      </w:r>
    </w:p>
    <w:p w14:paraId="54DE971F">
      <w:pPr>
        <w:spacing w:line="360" w:lineRule="auto"/>
        <w:rPr>
          <w:rFonts w:ascii="宋体" w:hAnsi="宋体"/>
          <w:lang w:eastAsia="zh-CN"/>
        </w:rPr>
      </w:pPr>
      <w:r>
        <w:rPr>
          <w:rFonts w:ascii="宋体" w:hAnsi="宋体" w:hint="eastAsia"/>
          <w:lang w:eastAsia="zh-CN"/>
        </w:rPr>
        <w:t>7</w:t>
      </w:r>
      <w:bookmarkStart w:id="676" w:name="_Toc318581169"/>
      <w:bookmarkStart w:id="677" w:name="_Toc312677486"/>
      <w:bookmarkStart w:id="678" w:name="_Toc312678012"/>
      <w:bookmarkStart w:id="679" w:name="_Toc304295548"/>
      <w:bookmarkStart w:id="680" w:name="_Toc297216177"/>
      <w:bookmarkStart w:id="681" w:name="_Toc300934970"/>
      <w:bookmarkStart w:id="682" w:name="_Toc297123518"/>
      <w:bookmarkStart w:id="683" w:name="_Toc303539127"/>
      <w:r>
        <w:rPr>
          <w:rFonts w:ascii="宋体" w:hAnsi="宋体" w:hint="eastAsia"/>
          <w:lang w:eastAsia="zh-CN"/>
        </w:rPr>
        <w:t>.5.2 因承包人原因导致工期延误</w:t>
      </w:r>
    </w:p>
    <w:bookmarkEnd w:id="676"/>
    <w:bookmarkEnd w:id="677"/>
    <w:bookmarkEnd w:id="678"/>
    <w:p w14:paraId="1E64EA88">
      <w:pPr>
        <w:spacing w:line="360" w:lineRule="auto"/>
        <w:rPr>
          <w:rFonts w:ascii="宋体" w:hAnsi="宋体"/>
          <w:u w:val="single"/>
          <w:lang w:eastAsia="zh-CN"/>
        </w:rPr>
      </w:pPr>
      <w:r>
        <w:rPr>
          <w:rFonts w:ascii="宋体" w:hAnsi="宋体" w:hint="eastAsia"/>
          <w:lang w:eastAsia="zh-CN"/>
        </w:rPr>
        <w:t>因</w:t>
      </w:r>
      <w:bookmarkStart w:id="684" w:name="_Toc312677487"/>
      <w:bookmarkStart w:id="685" w:name="_Toc312678013"/>
      <w:bookmarkStart w:id="686" w:name="_Toc318581170"/>
      <w:r>
        <w:rPr>
          <w:rFonts w:ascii="宋体" w:hAnsi="宋体" w:hint="eastAsia"/>
          <w:lang w:eastAsia="zh-CN"/>
        </w:rPr>
        <w:t>承包人原因造成工期延误，逾期竣工违约金的计算方法为：</w:t>
      </w:r>
    </w:p>
    <w:p w14:paraId="0E188E69">
      <w:pPr>
        <w:spacing w:line="360" w:lineRule="auto"/>
        <w:rPr>
          <w:rFonts w:ascii="宋体" w:hAnsi="宋体"/>
          <w:lang w:eastAsia="zh-CN"/>
        </w:rPr>
      </w:pPr>
      <w:r>
        <w:rPr>
          <w:rFonts w:ascii="宋体" w:hAnsi="宋体" w:hint="eastAsia"/>
          <w:color w:val="00B0F0"/>
          <w:u w:val="single"/>
          <w:lang w:eastAsia="zh-CN"/>
        </w:rPr>
        <w:t xml:space="preserve">  每延误一天，承包人应按合同价的1‰向发包人支付违约金，发包人有权在工程款中直接扣除上述款项;同时，承包人还应承担因工期延误给发包人造成的一切损失 </w:t>
      </w:r>
      <w:r>
        <w:rPr>
          <w:rFonts w:ascii="宋体" w:hAnsi="宋体" w:hint="eastAsia"/>
          <w:lang w:eastAsia="zh-CN"/>
        </w:rPr>
        <w:t>。</w:t>
      </w:r>
      <w:bookmarkEnd w:id="679"/>
      <w:bookmarkEnd w:id="680"/>
      <w:bookmarkEnd w:id="681"/>
      <w:bookmarkEnd w:id="682"/>
      <w:bookmarkEnd w:id="683"/>
      <w:bookmarkEnd w:id="684"/>
      <w:bookmarkEnd w:id="685"/>
    </w:p>
    <w:bookmarkEnd w:id="686"/>
    <w:p w14:paraId="4F0F0327">
      <w:pPr>
        <w:spacing w:line="360" w:lineRule="auto"/>
        <w:rPr>
          <w:rFonts w:ascii="宋体" w:hAnsi="宋体" w:hint="eastAsia"/>
          <w:color w:val="00B0F0"/>
          <w:u w:val="single"/>
          <w:lang w:eastAsia="zh-CN"/>
        </w:rPr>
      </w:pPr>
      <w:r>
        <w:rPr>
          <w:rFonts w:ascii="宋体" w:hAnsi="宋体" w:hint="eastAsia"/>
          <w:lang w:eastAsia="zh-CN"/>
        </w:rPr>
        <w:t>因承包人原因造成工期延误，逾</w:t>
      </w:r>
      <w:bookmarkStart w:id="687" w:name="_Toc318581171"/>
      <w:bookmarkStart w:id="688" w:name="_Toc312678014"/>
      <w:r>
        <w:rPr>
          <w:rFonts w:ascii="宋体" w:hAnsi="宋体" w:hint="eastAsia"/>
          <w:lang w:eastAsia="zh-CN"/>
        </w:rPr>
        <w:t>期竣工违约金的上限：</w:t>
      </w:r>
      <w:r>
        <w:rPr>
          <w:rFonts w:ascii="宋体" w:hAnsi="宋体" w:hint="eastAsia"/>
          <w:color w:val="00B0F0"/>
          <w:u w:val="single"/>
          <w:lang w:eastAsia="zh-CN"/>
        </w:rPr>
        <w:t xml:space="preserve"> 违约金上限不超过合同总价;</w:t>
      </w:r>
    </w:p>
    <w:p w14:paraId="056751DF">
      <w:pPr>
        <w:spacing w:line="360" w:lineRule="auto"/>
        <w:rPr>
          <w:rFonts w:ascii="宋体" w:hAnsi="宋体"/>
          <w:lang w:eastAsia="zh-CN"/>
        </w:rPr>
      </w:pPr>
      <w:r>
        <w:rPr>
          <w:rFonts w:ascii="宋体" w:hAnsi="宋体" w:hint="eastAsia"/>
          <w:color w:val="00B0F0"/>
          <w:u w:val="single"/>
          <w:lang w:eastAsia="zh-CN"/>
        </w:rPr>
        <w:t xml:space="preserve">给发包人造成的损失赔偿无上限，发包人可以通过法律途径依法追缴。   </w:t>
      </w:r>
      <w:r>
        <w:rPr>
          <w:rFonts w:ascii="宋体" w:hAnsi="宋体" w:hint="eastAsia"/>
          <w:lang w:eastAsia="zh-CN"/>
        </w:rPr>
        <w:t>。</w:t>
      </w:r>
    </w:p>
    <w:bookmarkEnd w:id="687"/>
    <w:bookmarkEnd w:id="688"/>
    <w:p w14:paraId="16EB23CA">
      <w:pPr>
        <w:spacing w:line="360" w:lineRule="auto"/>
        <w:rPr>
          <w:rFonts w:ascii="宋体" w:hAnsi="宋体"/>
          <w:lang w:eastAsia="zh-CN"/>
        </w:rPr>
      </w:pPr>
      <w:r>
        <w:rPr>
          <w:rFonts w:ascii="宋体" w:hAnsi="宋体" w:hint="eastAsia"/>
          <w:lang w:eastAsia="zh-CN"/>
        </w:rPr>
        <w:t>7</w:t>
      </w:r>
      <w:bookmarkStart w:id="689" w:name="_Toc297123519"/>
      <w:bookmarkStart w:id="690" w:name="_Toc297216178"/>
      <w:bookmarkStart w:id="691" w:name="_Toc312678015"/>
      <w:bookmarkStart w:id="692" w:name="_Toc303539128"/>
      <w:bookmarkStart w:id="693" w:name="_Toc304295549"/>
      <w:bookmarkStart w:id="694" w:name="_Toc300934971"/>
      <w:r>
        <w:rPr>
          <w:rFonts w:ascii="宋体" w:hAnsi="宋体" w:hint="eastAsia"/>
          <w:lang w:eastAsia="zh-CN"/>
        </w:rPr>
        <w:t>.6 不</w:t>
      </w:r>
      <w:bookmarkEnd w:id="689"/>
      <w:bookmarkEnd w:id="690"/>
      <w:bookmarkEnd w:id="691"/>
      <w:bookmarkEnd w:id="692"/>
      <w:bookmarkEnd w:id="693"/>
      <w:bookmarkEnd w:id="694"/>
      <w:r>
        <w:rPr>
          <w:rFonts w:ascii="宋体" w:hAnsi="宋体" w:hint="eastAsia"/>
          <w:lang w:eastAsia="zh-CN"/>
        </w:rPr>
        <w:t>利物质条件</w:t>
      </w:r>
    </w:p>
    <w:p w14:paraId="6B2E356A">
      <w:pPr>
        <w:spacing w:line="360" w:lineRule="auto"/>
        <w:rPr>
          <w:rFonts w:ascii="宋体" w:hAnsi="宋体"/>
          <w:lang w:eastAsia="zh-CN"/>
        </w:rPr>
      </w:pPr>
      <w:bookmarkStart w:id="695" w:name="_Toc297216179"/>
      <w:bookmarkStart w:id="696" w:name="_Toc297123520"/>
      <w:bookmarkStart w:id="697" w:name="_Toc303539129"/>
      <w:bookmarkStart w:id="698" w:name="_Toc318581172"/>
      <w:bookmarkStart w:id="699" w:name="_Toc312678016"/>
      <w:bookmarkStart w:id="700" w:name="_Toc300934972"/>
      <w:bookmarkStart w:id="701" w:name="_Toc304295550"/>
      <w:r>
        <w:rPr>
          <w:rFonts w:ascii="宋体" w:hAnsi="宋体" w:hint="eastAsia"/>
          <w:lang w:eastAsia="zh-CN"/>
        </w:rPr>
        <w:t>不利物质条件的其他情形和有关约定：</w:t>
      </w:r>
      <w:r>
        <w:rPr>
          <w:rFonts w:ascii="宋体" w:hAnsi="宋体" w:hint="eastAsia"/>
          <w:color w:val="00B0F0"/>
          <w:u w:val="single"/>
          <w:lang w:eastAsia="zh-CN"/>
        </w:rPr>
        <w:t xml:space="preserve"> </w:t>
      </w:r>
      <w:r>
        <w:rPr>
          <w:rFonts w:ascii="宋体" w:hAnsi="宋体" w:hint="eastAsia"/>
          <w:color w:val="00B0F0"/>
          <w:u w:val="single"/>
          <w:lang w:val="en-US" w:eastAsia="zh-CN"/>
        </w:rPr>
        <w:t xml:space="preserve">            </w:t>
      </w:r>
      <w:r>
        <w:rPr>
          <w:rFonts w:ascii="宋体" w:hAnsi="宋体" w:hint="eastAsia"/>
          <w:color w:val="00B0F0"/>
          <w:u w:val="single"/>
          <w:lang w:eastAsia="zh-CN"/>
        </w:rPr>
        <w:t xml:space="preserve">  </w:t>
      </w:r>
      <w:r>
        <w:rPr>
          <w:rFonts w:ascii="宋体" w:hAnsi="宋体" w:hint="eastAsia"/>
          <w:lang w:eastAsia="zh-CN"/>
        </w:rPr>
        <w:t>。</w:t>
      </w:r>
    </w:p>
    <w:bookmarkEnd w:id="695"/>
    <w:bookmarkEnd w:id="696"/>
    <w:bookmarkEnd w:id="697"/>
    <w:bookmarkEnd w:id="698"/>
    <w:bookmarkEnd w:id="699"/>
    <w:bookmarkEnd w:id="700"/>
    <w:bookmarkEnd w:id="701"/>
    <w:p w14:paraId="062D164C">
      <w:pPr>
        <w:spacing w:line="360" w:lineRule="auto"/>
        <w:rPr>
          <w:rFonts w:ascii="宋体" w:hAnsi="宋体"/>
          <w:lang w:eastAsia="zh-CN"/>
        </w:rPr>
      </w:pPr>
      <w:r>
        <w:rPr>
          <w:rFonts w:ascii="宋体" w:hAnsi="宋体" w:hint="eastAsia"/>
          <w:lang w:eastAsia="zh-CN"/>
        </w:rPr>
        <w:t>7</w:t>
      </w:r>
      <w:bookmarkStart w:id="702" w:name="_Toc297123521"/>
      <w:bookmarkStart w:id="703" w:name="_Toc303539130"/>
      <w:bookmarkStart w:id="704" w:name="_Toc312678017"/>
      <w:bookmarkStart w:id="705" w:name="_Toc304295551"/>
      <w:bookmarkStart w:id="706" w:name="_Toc297216180"/>
      <w:bookmarkStart w:id="707" w:name="_Toc300934973"/>
      <w:r>
        <w:rPr>
          <w:rFonts w:ascii="宋体" w:hAnsi="宋体" w:hint="eastAsia"/>
          <w:lang w:eastAsia="zh-CN"/>
        </w:rPr>
        <w:t>.7异常恶劣的气候条件</w:t>
      </w:r>
    </w:p>
    <w:bookmarkEnd w:id="702"/>
    <w:bookmarkEnd w:id="703"/>
    <w:bookmarkEnd w:id="704"/>
    <w:bookmarkEnd w:id="705"/>
    <w:bookmarkEnd w:id="706"/>
    <w:bookmarkEnd w:id="707"/>
    <w:p w14:paraId="2532C478">
      <w:pPr>
        <w:spacing w:line="360" w:lineRule="auto"/>
        <w:rPr>
          <w:rFonts w:ascii="宋体" w:hAnsi="宋体"/>
          <w:lang w:eastAsia="zh-CN"/>
        </w:rPr>
      </w:pPr>
      <w:r>
        <w:rPr>
          <w:rFonts w:ascii="宋体" w:hAnsi="宋体" w:hint="eastAsia"/>
          <w:lang w:eastAsia="zh-CN"/>
        </w:rPr>
        <w:t>发包人和承包人同意以下情形视为异常恶劣的气候条件：</w:t>
      </w:r>
    </w:p>
    <w:p w14:paraId="06BC9E60">
      <w:pPr>
        <w:spacing w:line="360" w:lineRule="auto"/>
        <w:rPr>
          <w:rFonts w:ascii="宋体" w:hAnsi="宋体"/>
          <w:lang w:eastAsia="zh-CN"/>
        </w:rPr>
      </w:pPr>
      <w:r>
        <w:rPr>
          <w:rFonts w:ascii="宋体" w:hAnsi="宋体" w:hint="eastAsia"/>
          <w:lang w:eastAsia="zh-CN"/>
        </w:rPr>
        <w:t>（1）</w:t>
      </w:r>
      <w:r>
        <w:rPr>
          <w:rFonts w:ascii="宋体" w:hAnsi="宋体" w:hint="eastAsia"/>
          <w:color w:val="00B0F0"/>
          <w:u w:val="single"/>
          <w:lang w:eastAsia="zh-CN"/>
        </w:rPr>
        <w:t xml:space="preserve">    指以月计的每个时期的恶劣气候比本省气象部门40年的统计资料，以20年一遇频率计算的平均气候还要恶劣起的异常气候时，由监理人根据承包人提交的证明予以评定，由此导致工期延误的，承包人有权要求发包人延长工期     </w:t>
      </w:r>
      <w:r>
        <w:rPr>
          <w:rFonts w:ascii="宋体" w:hAnsi="宋体" w:hint="eastAsia"/>
          <w:lang w:eastAsia="zh-CN"/>
        </w:rPr>
        <w:t>；</w:t>
      </w:r>
    </w:p>
    <w:p w14:paraId="0D172B9D">
      <w:pPr>
        <w:spacing w:line="360" w:lineRule="auto"/>
        <w:rPr>
          <w:rFonts w:ascii="宋体" w:hAnsi="宋体"/>
          <w:lang w:eastAsia="zh-CN"/>
        </w:rPr>
      </w:pPr>
      <w:r>
        <w:rPr>
          <w:rFonts w:ascii="宋体" w:hAnsi="宋体" w:hint="eastAsia"/>
          <w:lang w:eastAsia="zh-CN"/>
        </w:rPr>
        <w:t>（2）</w:t>
      </w:r>
      <w:r>
        <w:rPr>
          <w:rFonts w:ascii="宋体" w:hAnsi="宋体" w:hint="eastAsia"/>
          <w:color w:val="00B0F0"/>
          <w:u w:val="single"/>
          <w:lang w:eastAsia="zh-CN"/>
        </w:rPr>
        <w:t xml:space="preserve">    /                 </w:t>
      </w:r>
      <w:r>
        <w:rPr>
          <w:rFonts w:ascii="宋体" w:hAnsi="宋体" w:hint="eastAsia"/>
          <w:lang w:eastAsia="zh-CN"/>
        </w:rPr>
        <w:t>；</w:t>
      </w:r>
    </w:p>
    <w:p w14:paraId="115CF954">
      <w:pPr>
        <w:spacing w:line="360" w:lineRule="auto"/>
        <w:rPr>
          <w:rFonts w:ascii="宋体" w:hAnsi="宋体"/>
          <w:lang w:eastAsia="zh-CN"/>
        </w:rPr>
      </w:pPr>
      <w:r>
        <w:rPr>
          <w:rFonts w:ascii="宋体" w:hAnsi="宋体" w:hint="eastAsia"/>
          <w:lang w:eastAsia="zh-CN"/>
        </w:rPr>
        <w:t>（3）</w:t>
      </w:r>
      <w:r>
        <w:rPr>
          <w:rFonts w:ascii="宋体" w:hAnsi="宋体" w:hint="eastAsia"/>
          <w:color w:val="00B0F0"/>
          <w:u w:val="single"/>
          <w:lang w:eastAsia="zh-CN"/>
        </w:rPr>
        <w:t xml:space="preserve">    /            </w:t>
      </w:r>
      <w:r>
        <w:rPr>
          <w:rFonts w:ascii="宋体" w:hAnsi="宋体" w:hint="eastAsia"/>
          <w:lang w:eastAsia="zh-CN"/>
        </w:rPr>
        <w:t>。</w:t>
      </w:r>
    </w:p>
    <w:p w14:paraId="271CA0E7">
      <w:pPr>
        <w:spacing w:line="360" w:lineRule="auto"/>
        <w:rPr>
          <w:rFonts w:ascii="宋体" w:hAnsi="宋体"/>
          <w:lang w:eastAsia="zh-CN"/>
        </w:rPr>
      </w:pPr>
      <w:r>
        <w:rPr>
          <w:rFonts w:ascii="宋体" w:hAnsi="宋体" w:hint="eastAsia"/>
          <w:lang w:eastAsia="zh-CN"/>
        </w:rPr>
        <w:t>7.9 提前竣工的奖励</w:t>
      </w:r>
    </w:p>
    <w:p w14:paraId="1EB4FC2D">
      <w:pPr>
        <w:spacing w:line="360" w:lineRule="auto"/>
        <w:rPr>
          <w:rFonts w:ascii="宋体" w:hAnsi="宋体"/>
          <w:lang w:eastAsia="zh-CN"/>
        </w:rPr>
      </w:pPr>
      <w:r>
        <w:rPr>
          <w:rFonts w:ascii="宋体" w:hAnsi="宋体" w:hint="eastAsia"/>
          <w:lang w:eastAsia="zh-CN"/>
        </w:rPr>
        <w:t>7.9.2提前竣工的奖励：</w:t>
      </w:r>
      <w:r>
        <w:rPr>
          <w:rFonts w:ascii="宋体" w:hAnsi="宋体" w:hint="eastAsia"/>
          <w:color w:val="00B0F0"/>
          <w:u w:val="single"/>
          <w:lang w:eastAsia="zh-CN"/>
        </w:rPr>
        <w:t xml:space="preserve">     /                </w:t>
      </w:r>
      <w:r>
        <w:rPr>
          <w:rFonts w:ascii="宋体" w:hAnsi="宋体" w:hint="eastAsia"/>
          <w:lang w:eastAsia="zh-CN"/>
        </w:rPr>
        <w:t>。</w:t>
      </w:r>
    </w:p>
    <w:p w14:paraId="4DA71435">
      <w:pPr>
        <w:spacing w:line="360" w:lineRule="auto"/>
        <w:rPr>
          <w:rFonts w:ascii="宋体" w:hAnsi="宋体"/>
          <w:bCs/>
          <w:lang w:eastAsia="zh-CN"/>
        </w:rPr>
      </w:pPr>
      <w:bookmarkStart w:id="708" w:name="_Toc351203640"/>
      <w:r>
        <w:rPr>
          <w:rFonts w:ascii="宋体" w:hAnsi="宋体" w:hint="eastAsia"/>
          <w:bCs/>
          <w:lang w:eastAsia="zh-CN"/>
        </w:rPr>
        <w:t>8. 材料与设备</w:t>
      </w:r>
      <w:bookmarkEnd w:id="708"/>
    </w:p>
    <w:bookmarkEnd w:id="643"/>
    <w:bookmarkEnd w:id="644"/>
    <w:bookmarkEnd w:id="645"/>
    <w:bookmarkEnd w:id="646"/>
    <w:bookmarkEnd w:id="647"/>
    <w:bookmarkEnd w:id="648"/>
    <w:bookmarkEnd w:id="649"/>
    <w:bookmarkEnd w:id="650"/>
    <w:bookmarkEnd w:id="651"/>
    <w:bookmarkEnd w:id="652"/>
    <w:p w14:paraId="21E26454">
      <w:pPr>
        <w:spacing w:line="360" w:lineRule="auto"/>
        <w:rPr>
          <w:rFonts w:ascii="宋体" w:hAnsi="宋体"/>
          <w:lang w:eastAsia="zh-CN"/>
        </w:rPr>
      </w:pPr>
      <w:r>
        <w:rPr>
          <w:rFonts w:ascii="宋体" w:hAnsi="宋体" w:hint="eastAsia"/>
          <w:lang w:eastAsia="zh-CN"/>
        </w:rPr>
        <w:t>8</w:t>
      </w:r>
      <w:bookmarkStart w:id="709" w:name="_Toc312678019"/>
      <w:bookmarkStart w:id="710" w:name="_Toc296890995"/>
      <w:bookmarkStart w:id="711" w:name="_Toc297048353"/>
      <w:bookmarkStart w:id="712" w:name="_Toc292559877"/>
      <w:bookmarkStart w:id="713" w:name="_Toc296346668"/>
      <w:bookmarkStart w:id="714" w:name="_Toc280868654"/>
      <w:bookmarkStart w:id="715" w:name="_Toc297123527"/>
      <w:bookmarkStart w:id="716" w:name="_Toc296891207"/>
      <w:bookmarkStart w:id="717" w:name="_Toc303539136"/>
      <w:bookmarkStart w:id="718" w:name="_Toc292559372"/>
      <w:bookmarkStart w:id="719" w:name="_Toc312677493"/>
      <w:bookmarkStart w:id="720" w:name="_Toc297216186"/>
      <w:bookmarkStart w:id="721" w:name="_Toc304295556"/>
      <w:bookmarkStart w:id="722" w:name="_Toc297120467"/>
      <w:bookmarkStart w:id="723" w:name="_Toc296503167"/>
      <w:bookmarkStart w:id="724" w:name="_Toc300934979"/>
      <w:bookmarkStart w:id="725" w:name="_Toc296944506"/>
      <w:bookmarkStart w:id="726" w:name="_Toc296347166"/>
      <w:bookmarkStart w:id="727" w:name="_Toc267251424"/>
      <w:bookmarkStart w:id="728" w:name="_Toc280868655"/>
      <w:bookmarkStart w:id="729" w:name="_Toc280868656"/>
      <w:r>
        <w:rPr>
          <w:rFonts w:ascii="宋体" w:hAnsi="宋体" w:hint="eastAsia"/>
          <w:lang w:eastAsia="zh-CN"/>
        </w:rPr>
        <w:t>.4材料与工程设备的保管与使用</w:t>
      </w:r>
    </w:p>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14:paraId="7CAE8311">
      <w:pPr>
        <w:spacing w:line="360" w:lineRule="auto"/>
        <w:rPr>
          <w:rFonts w:ascii="宋体" w:hAnsi="宋体"/>
          <w:lang w:eastAsia="zh-CN"/>
        </w:rPr>
      </w:pPr>
      <w:r>
        <w:rPr>
          <w:rFonts w:ascii="宋体" w:hAnsi="宋体" w:hint="eastAsia"/>
          <w:lang w:eastAsia="zh-CN"/>
        </w:rPr>
        <w:t>8</w:t>
      </w:r>
      <w:bookmarkStart w:id="730" w:name="_Toc292559373"/>
      <w:bookmarkStart w:id="731" w:name="_Toc292559878"/>
      <w:bookmarkStart w:id="732" w:name="_Toc297123528"/>
      <w:bookmarkStart w:id="733" w:name="_Toc297048354"/>
      <w:bookmarkStart w:id="734" w:name="_Toc304295557"/>
      <w:bookmarkStart w:id="735" w:name="_Toc300934980"/>
      <w:bookmarkStart w:id="736" w:name="_Toc312677494"/>
      <w:bookmarkStart w:id="737" w:name="_Toc296346669"/>
      <w:bookmarkStart w:id="738" w:name="_Toc312678020"/>
      <w:bookmarkStart w:id="739" w:name="_Toc296890996"/>
      <w:bookmarkStart w:id="740" w:name="_Toc296503168"/>
      <w:bookmarkStart w:id="741" w:name="_Toc297120468"/>
      <w:bookmarkStart w:id="742" w:name="_Toc297216187"/>
      <w:bookmarkStart w:id="743" w:name="_Toc296944507"/>
      <w:bookmarkStart w:id="744" w:name="_Toc296891208"/>
      <w:bookmarkStart w:id="745" w:name="_Toc318581173"/>
      <w:bookmarkStart w:id="746" w:name="_Toc296347167"/>
      <w:bookmarkStart w:id="747" w:name="_Toc303539137"/>
      <w:r>
        <w:rPr>
          <w:rFonts w:ascii="宋体" w:hAnsi="宋体" w:hint="eastAsia"/>
          <w:lang w:eastAsia="zh-CN"/>
        </w:rPr>
        <w:t>.4.1发包人供应的材料设备的保管费用的承担：</w:t>
      </w:r>
      <w:r>
        <w:rPr>
          <w:rFonts w:ascii="宋体" w:hAnsi="宋体" w:hint="eastAsia"/>
          <w:color w:val="00B0F0"/>
          <w:u w:val="single"/>
          <w:lang w:eastAsia="zh-CN"/>
        </w:rPr>
        <w:t xml:space="preserve">  承包人承担         </w:t>
      </w:r>
      <w:r>
        <w:rPr>
          <w:rFonts w:ascii="宋体" w:hAnsi="宋体" w:hint="eastAsia"/>
          <w:lang w:eastAsia="zh-CN"/>
        </w:rPr>
        <w:t>。</w:t>
      </w:r>
      <w:bookmarkEnd w:id="730"/>
      <w:bookmarkEnd w:id="731"/>
    </w:p>
    <w:p w14:paraId="50C8CDCE">
      <w:pPr>
        <w:spacing w:line="360" w:lineRule="auto"/>
        <w:rPr>
          <w:rFonts w:ascii="宋体" w:hAnsi="宋体"/>
          <w:lang w:eastAsia="zh-CN"/>
        </w:rPr>
      </w:pPr>
      <w:r>
        <w:rPr>
          <w:rFonts w:ascii="宋体" w:hAnsi="宋体" w:hint="eastAsia"/>
          <w:lang w:eastAsia="zh-CN"/>
        </w:rPr>
        <w:t>8.6 样品</w:t>
      </w:r>
    </w:p>
    <w:p w14:paraId="6CD79E3A">
      <w:pPr>
        <w:spacing w:line="360" w:lineRule="auto"/>
        <w:rPr>
          <w:rFonts w:ascii="宋体" w:hAnsi="宋体"/>
          <w:lang w:eastAsia="zh-CN"/>
        </w:rPr>
      </w:pPr>
      <w:r>
        <w:rPr>
          <w:rFonts w:ascii="宋体" w:hAnsi="宋体" w:hint="eastAsia"/>
          <w:lang w:eastAsia="zh-CN"/>
        </w:rPr>
        <w:t>8.6.1</w:t>
      </w:r>
      <w:r>
        <w:rPr>
          <w:rFonts w:ascii="宋体" w:hAnsi="宋体" w:hint="eastAsia"/>
          <w:lang w:eastAsia="zh-CN"/>
        </w:rPr>
        <w:tab/>
      </w:r>
      <w:r>
        <w:rPr>
          <w:rFonts w:ascii="宋体" w:hAnsi="宋体" w:hint="eastAsia"/>
          <w:lang w:eastAsia="zh-CN"/>
        </w:rPr>
        <w:t>样品的报送与封存</w:t>
      </w:r>
    </w:p>
    <w:p w14:paraId="55E58E36">
      <w:pPr>
        <w:spacing w:line="360" w:lineRule="auto"/>
        <w:rPr>
          <w:rFonts w:ascii="宋体" w:hAnsi="宋体"/>
          <w:lang w:eastAsia="zh-CN"/>
        </w:rPr>
      </w:pPr>
      <w:r>
        <w:rPr>
          <w:rFonts w:ascii="宋体" w:hAnsi="宋体" w:hint="eastAsia"/>
          <w:lang w:eastAsia="zh-CN"/>
        </w:rPr>
        <w:t>需要承包人报送样品的材料或工程设备，样品的种类、名称、规格、数量要求：</w:t>
      </w:r>
      <w:r>
        <w:rPr>
          <w:rFonts w:ascii="宋体" w:hAnsi="宋体" w:hint="eastAsia"/>
          <w:color w:val="00B0F0"/>
          <w:u w:val="single"/>
          <w:lang w:eastAsia="zh-CN"/>
        </w:rPr>
        <w:t xml:space="preserve"> 由承包人按照招标文件中所规定的相当于的品牌标准报送材料或工程设备样品的种类、名称、规格和品牌、型号报发包人审定并封存后，承包人再采购 </w:t>
      </w:r>
      <w:r>
        <w:rPr>
          <w:rFonts w:ascii="宋体" w:hAnsi="宋体" w:hint="eastAsia"/>
          <w:lang w:eastAsia="zh-CN"/>
        </w:rPr>
        <w:t>。</w:t>
      </w:r>
    </w:p>
    <w:p w14:paraId="7C5F1EC4">
      <w:pPr>
        <w:spacing w:line="360" w:lineRule="auto"/>
        <w:rPr>
          <w:rFonts w:ascii="宋体" w:hAnsi="宋体"/>
          <w:lang w:eastAsia="zh-CN"/>
        </w:rPr>
      </w:pPr>
      <w:r>
        <w:rPr>
          <w:rFonts w:ascii="宋体" w:hAnsi="宋体" w:hint="eastAsia"/>
          <w:lang w:eastAsia="zh-CN"/>
        </w:rPr>
        <w:t>8.8 施工设备和临时设施</w:t>
      </w:r>
    </w:p>
    <w:p w14:paraId="3A59F470">
      <w:pPr>
        <w:spacing w:line="360" w:lineRule="auto"/>
        <w:rPr>
          <w:rFonts w:ascii="宋体" w:hAnsi="宋体"/>
          <w:lang w:eastAsia="zh-CN"/>
        </w:rPr>
      </w:pPr>
      <w:r>
        <w:rPr>
          <w:rFonts w:ascii="宋体" w:hAnsi="宋体" w:hint="eastAsia"/>
          <w:lang w:eastAsia="zh-CN"/>
        </w:rPr>
        <w:t>8.8.1 承包人提供的施工设备和临时设施</w:t>
      </w:r>
    </w:p>
    <w:p w14:paraId="2F430DB2">
      <w:pPr>
        <w:spacing w:line="360" w:lineRule="auto"/>
        <w:rPr>
          <w:rFonts w:ascii="宋体" w:hAnsi="宋体"/>
          <w:lang w:eastAsia="zh-CN"/>
        </w:rPr>
      </w:pPr>
      <w:r>
        <w:rPr>
          <w:rFonts w:ascii="宋体" w:hAnsi="宋体" w:hint="eastAsia"/>
          <w:lang w:eastAsia="zh-CN"/>
        </w:rPr>
        <w:t>关于修建临时设施费用承担的约定：</w:t>
      </w:r>
      <w:r>
        <w:rPr>
          <w:rFonts w:ascii="宋体" w:hAnsi="宋体" w:hint="eastAsia"/>
          <w:color w:val="00B0F0"/>
          <w:u w:val="single"/>
          <w:lang w:eastAsia="zh-CN"/>
        </w:rPr>
        <w:t xml:space="preserve"> 承包人承担      </w:t>
      </w:r>
      <w:r>
        <w:rPr>
          <w:rFonts w:ascii="宋体" w:hAnsi="宋体" w:hint="eastAsia"/>
          <w:lang w:eastAsia="zh-CN"/>
        </w:rPr>
        <w:t>。</w:t>
      </w:r>
    </w:p>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14:paraId="0688293A">
      <w:pPr>
        <w:spacing w:line="360" w:lineRule="auto"/>
        <w:rPr>
          <w:rFonts w:ascii="宋体" w:hAnsi="宋体"/>
          <w:bCs/>
          <w:lang w:eastAsia="zh-CN"/>
        </w:rPr>
      </w:pPr>
      <w:bookmarkStart w:id="748" w:name="_Toc351203641"/>
      <w:r>
        <w:rPr>
          <w:rFonts w:ascii="宋体" w:hAnsi="宋体" w:hint="eastAsia"/>
          <w:bCs/>
          <w:lang w:eastAsia="zh-CN"/>
        </w:rPr>
        <w:t>9</w:t>
      </w:r>
      <w:bookmarkEnd w:id="727"/>
      <w:bookmarkEnd w:id="728"/>
      <w:bookmarkEnd w:id="729"/>
      <w:bookmarkStart w:id="749" w:name="_Toc304295559"/>
      <w:bookmarkStart w:id="750" w:name="_Toc300934982"/>
      <w:bookmarkStart w:id="751" w:name="_Toc297123533"/>
      <w:bookmarkStart w:id="752" w:name="_Toc303539139"/>
      <w:bookmarkStart w:id="753" w:name="_Toc312677495"/>
      <w:bookmarkStart w:id="754" w:name="_Toc297216192"/>
      <w:bookmarkStart w:id="755" w:name="_Toc312678021"/>
      <w:bookmarkStart w:id="756" w:name="_Toc296346674"/>
      <w:bookmarkStart w:id="757" w:name="_Toc296944512"/>
      <w:bookmarkStart w:id="758" w:name="_Toc296347172"/>
      <w:bookmarkStart w:id="759" w:name="_Toc297120473"/>
      <w:bookmarkStart w:id="760" w:name="_Toc267251427"/>
      <w:bookmarkStart w:id="761" w:name="_Toc292559378"/>
      <w:bookmarkStart w:id="762" w:name="_Toc297048359"/>
      <w:bookmarkStart w:id="763" w:name="_Toc296503173"/>
      <w:bookmarkStart w:id="764" w:name="_Toc267251428"/>
      <w:bookmarkStart w:id="765" w:name="_Toc296891213"/>
      <w:bookmarkStart w:id="766" w:name="_Toc292559883"/>
      <w:bookmarkStart w:id="767" w:name="_Toc296891001"/>
      <w:r>
        <w:rPr>
          <w:rFonts w:ascii="宋体" w:hAnsi="宋体" w:hint="eastAsia"/>
          <w:bCs/>
          <w:lang w:eastAsia="zh-CN"/>
        </w:rPr>
        <w:t>. 试验与检验</w:t>
      </w:r>
      <w:bookmarkEnd w:id="748"/>
    </w:p>
    <w:bookmarkEnd w:id="749"/>
    <w:bookmarkEnd w:id="750"/>
    <w:bookmarkEnd w:id="751"/>
    <w:bookmarkEnd w:id="752"/>
    <w:bookmarkEnd w:id="753"/>
    <w:bookmarkEnd w:id="754"/>
    <w:bookmarkEnd w:id="755"/>
    <w:p w14:paraId="12303DE7">
      <w:pPr>
        <w:spacing w:line="360" w:lineRule="auto"/>
        <w:rPr>
          <w:rFonts w:ascii="宋体" w:hAnsi="宋体"/>
          <w:lang w:eastAsia="zh-CN"/>
        </w:rPr>
      </w:pPr>
      <w:r>
        <w:rPr>
          <w:rFonts w:ascii="宋体" w:hAnsi="宋体" w:hint="eastAsia"/>
          <w:lang w:eastAsia="zh-CN"/>
        </w:rPr>
        <w:t>9</w:t>
      </w:r>
      <w:bookmarkStart w:id="768" w:name="_Toc312677496"/>
      <w:bookmarkStart w:id="769" w:name="_Toc312678022"/>
      <w:bookmarkStart w:id="770" w:name="_Toc303539140"/>
      <w:bookmarkStart w:id="771" w:name="_Toc297216193"/>
      <w:bookmarkStart w:id="772" w:name="_Toc300934983"/>
      <w:bookmarkStart w:id="773" w:name="_Toc297123534"/>
      <w:bookmarkStart w:id="774" w:name="_Toc304295560"/>
      <w:r>
        <w:rPr>
          <w:rFonts w:ascii="宋体" w:hAnsi="宋体" w:hint="eastAsia"/>
          <w:lang w:eastAsia="zh-CN"/>
        </w:rPr>
        <w:t>.1试验设备与试验人员</w:t>
      </w:r>
    </w:p>
    <w:bookmarkEnd w:id="768"/>
    <w:bookmarkEnd w:id="769"/>
    <w:bookmarkEnd w:id="770"/>
    <w:bookmarkEnd w:id="771"/>
    <w:bookmarkEnd w:id="772"/>
    <w:bookmarkEnd w:id="773"/>
    <w:bookmarkEnd w:id="774"/>
    <w:p w14:paraId="32275934">
      <w:pPr>
        <w:spacing w:line="360" w:lineRule="auto"/>
        <w:rPr>
          <w:rFonts w:ascii="宋体" w:hAnsi="宋体"/>
          <w:lang w:eastAsia="zh-CN"/>
        </w:rPr>
      </w:pPr>
      <w:r>
        <w:rPr>
          <w:rFonts w:ascii="宋体" w:hAnsi="宋体" w:hint="eastAsia"/>
          <w:lang w:eastAsia="zh-CN"/>
        </w:rPr>
        <w:t>9</w:t>
      </w:r>
      <w:bookmarkStart w:id="775" w:name="_Toc300934984"/>
      <w:bookmarkStart w:id="776" w:name="_Toc303539141"/>
      <w:bookmarkStart w:id="777" w:name="_Toc297216194"/>
      <w:bookmarkStart w:id="778" w:name="_Toc312678023"/>
      <w:bookmarkStart w:id="779" w:name="_Toc304295561"/>
      <w:bookmarkStart w:id="780" w:name="_Toc312677497"/>
      <w:bookmarkStart w:id="781" w:name="_Toc297123535"/>
      <w:bookmarkStart w:id="782" w:name="_Toc318581174"/>
      <w:r>
        <w:rPr>
          <w:rFonts w:ascii="宋体" w:hAnsi="宋体" w:hint="eastAsia"/>
          <w:lang w:eastAsia="zh-CN"/>
        </w:rPr>
        <w:t>.1.2 试验设备</w:t>
      </w:r>
    </w:p>
    <w:p w14:paraId="221EB9D0">
      <w:pPr>
        <w:spacing w:line="360" w:lineRule="auto"/>
        <w:rPr>
          <w:rFonts w:ascii="宋体" w:hAnsi="宋体"/>
          <w:lang w:eastAsia="zh-CN"/>
        </w:rPr>
      </w:pPr>
      <w:r>
        <w:rPr>
          <w:rFonts w:ascii="宋体" w:hAnsi="宋体" w:hint="eastAsia"/>
          <w:lang w:eastAsia="zh-CN"/>
        </w:rPr>
        <w:t>施工现场需要配置的试验场所：</w:t>
      </w:r>
      <w:bookmarkEnd w:id="775"/>
      <w:bookmarkEnd w:id="776"/>
      <w:bookmarkEnd w:id="777"/>
      <w:bookmarkEnd w:id="778"/>
      <w:bookmarkEnd w:id="779"/>
      <w:bookmarkEnd w:id="780"/>
      <w:bookmarkEnd w:id="781"/>
      <w:bookmarkStart w:id="783" w:name="_Toc303539142"/>
      <w:bookmarkStart w:id="784" w:name="_Toc297216195"/>
      <w:bookmarkStart w:id="785" w:name="_Toc312678024"/>
      <w:bookmarkStart w:id="786" w:name="_Toc312677498"/>
      <w:bookmarkStart w:id="787" w:name="_Toc297123536"/>
      <w:bookmarkStart w:id="788" w:name="_Toc304295562"/>
      <w:bookmarkStart w:id="789" w:name="_Toc300934985"/>
      <w:r>
        <w:rPr>
          <w:rFonts w:ascii="宋体" w:hAnsi="宋体" w:hint="eastAsia"/>
          <w:color w:val="00B0F0"/>
          <w:u w:val="single"/>
          <w:lang w:eastAsia="zh-CN"/>
        </w:rPr>
        <w:t xml:space="preserve">  由承包人自行考虑   </w:t>
      </w:r>
      <w:r>
        <w:rPr>
          <w:rFonts w:ascii="宋体" w:hAnsi="宋体" w:hint="eastAsia"/>
          <w:lang w:eastAsia="zh-CN"/>
        </w:rPr>
        <w:t xml:space="preserve">。 </w:t>
      </w:r>
    </w:p>
    <w:p w14:paraId="50BD2A01">
      <w:pPr>
        <w:spacing w:line="360" w:lineRule="auto"/>
        <w:rPr>
          <w:rFonts w:ascii="宋体" w:hAnsi="宋体"/>
          <w:lang w:eastAsia="zh-CN"/>
        </w:rPr>
      </w:pPr>
      <w:r>
        <w:rPr>
          <w:rFonts w:ascii="宋体" w:hAnsi="宋体" w:hint="eastAsia"/>
          <w:lang w:eastAsia="zh-CN"/>
        </w:rPr>
        <w:t>施工现场需要配备的试验设备：</w:t>
      </w:r>
      <w:r>
        <w:rPr>
          <w:rFonts w:ascii="宋体" w:hAnsi="宋体" w:hint="eastAsia"/>
          <w:color w:val="00B0F0"/>
          <w:u w:val="single"/>
          <w:lang w:eastAsia="zh-CN"/>
        </w:rPr>
        <w:t xml:space="preserve">  由承包人自行考虑     </w:t>
      </w:r>
      <w:r>
        <w:rPr>
          <w:rFonts w:ascii="宋体" w:hAnsi="宋体" w:hint="eastAsia"/>
          <w:lang w:eastAsia="zh-CN"/>
        </w:rPr>
        <w:t>。</w:t>
      </w:r>
    </w:p>
    <w:p w14:paraId="53A081D0">
      <w:pPr>
        <w:spacing w:line="360" w:lineRule="auto"/>
        <w:rPr>
          <w:rFonts w:ascii="宋体" w:hAnsi="宋体"/>
          <w:lang w:eastAsia="zh-CN"/>
        </w:rPr>
      </w:pPr>
      <w:r>
        <w:rPr>
          <w:rFonts w:ascii="宋体" w:hAnsi="宋体" w:hint="eastAsia"/>
          <w:lang w:eastAsia="zh-CN"/>
        </w:rPr>
        <w:t>施工现场需要具备的其他试验条件：</w:t>
      </w:r>
      <w:r>
        <w:rPr>
          <w:rFonts w:ascii="宋体" w:hAnsi="宋体" w:hint="eastAsia"/>
          <w:color w:val="00B0F0"/>
          <w:u w:val="single"/>
          <w:lang w:eastAsia="zh-CN"/>
        </w:rPr>
        <w:t xml:space="preserve">  由承包人自行考虑    </w:t>
      </w:r>
      <w:r>
        <w:rPr>
          <w:rFonts w:ascii="宋体" w:hAnsi="宋体" w:hint="eastAsia"/>
          <w:lang w:eastAsia="zh-CN"/>
        </w:rPr>
        <w:t>。</w:t>
      </w:r>
    </w:p>
    <w:p w14:paraId="5CF0E74A">
      <w:pPr>
        <w:spacing w:line="360" w:lineRule="auto"/>
        <w:rPr>
          <w:rFonts w:ascii="宋体" w:hAnsi="宋体"/>
          <w:lang w:eastAsia="zh-CN"/>
        </w:rPr>
      </w:pPr>
      <w:r>
        <w:rPr>
          <w:rFonts w:ascii="宋体" w:hAnsi="宋体" w:hint="eastAsia"/>
          <w:lang w:eastAsia="zh-CN"/>
        </w:rPr>
        <w:t xml:space="preserve">9.4 现场工艺试验 </w:t>
      </w:r>
    </w:p>
    <w:p w14:paraId="0C81BA43">
      <w:pPr>
        <w:spacing w:line="360" w:lineRule="auto"/>
        <w:rPr>
          <w:rFonts w:ascii="宋体" w:hAnsi="宋体"/>
          <w:lang w:eastAsia="zh-CN"/>
        </w:rPr>
      </w:pPr>
      <w:r>
        <w:rPr>
          <w:rFonts w:ascii="宋体" w:hAnsi="宋体" w:hint="eastAsia"/>
          <w:lang w:eastAsia="zh-CN"/>
        </w:rPr>
        <w:t>现场工艺试验的有关约定：</w:t>
      </w:r>
      <w:r>
        <w:rPr>
          <w:rFonts w:ascii="宋体" w:hAnsi="宋体" w:hint="eastAsia"/>
          <w:color w:val="00B0F0"/>
          <w:u w:val="single"/>
          <w:lang w:eastAsia="zh-CN"/>
        </w:rPr>
        <w:t xml:space="preserve">  由承包人自行考虑    </w:t>
      </w:r>
      <w:r>
        <w:rPr>
          <w:rFonts w:ascii="宋体" w:hAnsi="宋体" w:hint="eastAsia"/>
          <w:lang w:eastAsia="zh-CN"/>
        </w:rPr>
        <w:t>。</w:t>
      </w:r>
    </w:p>
    <w:bookmarkEnd w:id="782"/>
    <w:bookmarkEnd w:id="783"/>
    <w:bookmarkEnd w:id="784"/>
    <w:bookmarkEnd w:id="785"/>
    <w:bookmarkEnd w:id="786"/>
    <w:bookmarkEnd w:id="787"/>
    <w:bookmarkEnd w:id="788"/>
    <w:bookmarkEnd w:id="789"/>
    <w:p w14:paraId="7BDD40F8">
      <w:pPr>
        <w:spacing w:line="360" w:lineRule="auto"/>
        <w:rPr>
          <w:rFonts w:ascii="宋体" w:hAnsi="宋体"/>
          <w:bCs/>
          <w:lang w:eastAsia="zh-CN"/>
        </w:rPr>
      </w:pPr>
      <w:bookmarkStart w:id="790" w:name="_Toc351203642"/>
      <w:r>
        <w:rPr>
          <w:rFonts w:ascii="宋体" w:hAnsi="宋体" w:hint="eastAsia"/>
          <w:bCs/>
          <w:lang w:eastAsia="zh-CN"/>
        </w:rPr>
        <w:t>1</w:t>
      </w:r>
      <w:bookmarkEnd w:id="756"/>
      <w:bookmarkEnd w:id="757"/>
      <w:bookmarkEnd w:id="758"/>
      <w:bookmarkEnd w:id="759"/>
      <w:bookmarkEnd w:id="760"/>
      <w:bookmarkEnd w:id="761"/>
      <w:bookmarkEnd w:id="762"/>
      <w:bookmarkEnd w:id="763"/>
      <w:bookmarkEnd w:id="764"/>
      <w:bookmarkEnd w:id="765"/>
      <w:bookmarkEnd w:id="766"/>
      <w:bookmarkEnd w:id="767"/>
      <w:bookmarkStart w:id="791" w:name="_Toc297120493"/>
      <w:bookmarkStart w:id="792" w:name="_Toc296347192"/>
      <w:bookmarkStart w:id="793" w:name="_Toc303539146"/>
      <w:bookmarkStart w:id="794" w:name="_Toc297216199"/>
      <w:bookmarkStart w:id="795" w:name="_Toc296944532"/>
      <w:bookmarkStart w:id="796" w:name="_Toc296503193"/>
      <w:bookmarkStart w:id="797" w:name="_Toc304295566"/>
      <w:bookmarkStart w:id="798" w:name="_Toc296891021"/>
      <w:bookmarkStart w:id="799" w:name="_Toc297123540"/>
      <w:bookmarkStart w:id="800" w:name="_Toc292559903"/>
      <w:bookmarkStart w:id="801" w:name="_Toc297048379"/>
      <w:bookmarkStart w:id="802" w:name="_Toc292559398"/>
      <w:bookmarkStart w:id="803" w:name="_Toc300934989"/>
      <w:bookmarkStart w:id="804" w:name="_Toc296346694"/>
      <w:bookmarkStart w:id="805" w:name="_Toc296891233"/>
      <w:bookmarkStart w:id="806" w:name="_Toc312678025"/>
      <w:bookmarkStart w:id="807" w:name="_Toc312677499"/>
      <w:bookmarkStart w:id="808" w:name="_Toc267251440"/>
      <w:bookmarkStart w:id="809" w:name="_Toc267251439"/>
      <w:bookmarkStart w:id="810" w:name="_Toc267251433"/>
      <w:bookmarkStart w:id="811" w:name="_Toc267251437"/>
      <w:bookmarkStart w:id="812" w:name="_Toc267251435"/>
      <w:bookmarkStart w:id="813" w:name="_Toc267251441"/>
      <w:bookmarkStart w:id="814" w:name="_Toc267251442"/>
      <w:r>
        <w:rPr>
          <w:rFonts w:ascii="宋体" w:hAnsi="宋体" w:hint="eastAsia"/>
          <w:bCs/>
          <w:lang w:eastAsia="zh-CN"/>
        </w:rPr>
        <w:t>0. 变更</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bookmarkEnd w:id="806"/>
    <w:bookmarkEnd w:id="807"/>
    <w:p w14:paraId="75162402">
      <w:pPr>
        <w:spacing w:line="360" w:lineRule="auto"/>
        <w:rPr>
          <w:rFonts w:ascii="宋体" w:hAnsi="宋体"/>
          <w:lang w:eastAsia="zh-CN"/>
        </w:rPr>
      </w:pPr>
      <w:r>
        <w:rPr>
          <w:rFonts w:ascii="宋体" w:hAnsi="宋体" w:hint="eastAsia"/>
          <w:lang w:eastAsia="zh-CN"/>
        </w:rPr>
        <w:t>1</w:t>
      </w:r>
      <w:bookmarkStart w:id="815" w:name="_Toc304295567"/>
      <w:bookmarkStart w:id="816" w:name="_Toc297123541"/>
      <w:bookmarkStart w:id="817" w:name="_Toc296891234"/>
      <w:bookmarkStart w:id="818" w:name="_Toc297048380"/>
      <w:bookmarkStart w:id="819" w:name="_Toc312678026"/>
      <w:bookmarkStart w:id="820" w:name="_Toc296347193"/>
      <w:bookmarkStart w:id="821" w:name="_Toc312677500"/>
      <w:bookmarkStart w:id="822" w:name="_Toc296944533"/>
      <w:bookmarkStart w:id="823" w:name="_Toc303539147"/>
      <w:bookmarkStart w:id="824" w:name="_Toc292559904"/>
      <w:bookmarkStart w:id="825" w:name="_Toc297120494"/>
      <w:bookmarkStart w:id="826" w:name="_Toc292559399"/>
      <w:bookmarkStart w:id="827" w:name="_Toc296346695"/>
      <w:bookmarkStart w:id="828" w:name="_Toc296503194"/>
      <w:bookmarkStart w:id="829" w:name="_Toc297216200"/>
      <w:bookmarkStart w:id="830" w:name="_Toc296891022"/>
      <w:bookmarkStart w:id="831" w:name="_Toc300934990"/>
      <w:r>
        <w:rPr>
          <w:rFonts w:ascii="宋体" w:hAnsi="宋体" w:hint="eastAsia"/>
          <w:lang w:eastAsia="zh-CN"/>
        </w:rPr>
        <w:t>0.1变更的范围</w:t>
      </w:r>
    </w:p>
    <w:p w14:paraId="3B7FF643">
      <w:pPr>
        <w:spacing w:line="360" w:lineRule="auto"/>
        <w:rPr>
          <w:rFonts w:ascii="宋体" w:hAnsi="宋体" w:hint="eastAsia"/>
          <w:color w:val="00B0F0"/>
          <w:u w:val="single"/>
          <w:lang w:eastAsia="zh-CN"/>
        </w:rPr>
      </w:pPr>
      <w:r>
        <w:rPr>
          <w:rFonts w:ascii="宋体" w:hAnsi="宋体" w:hint="eastAsia"/>
          <w:lang w:eastAsia="zh-CN"/>
        </w:rPr>
        <w:t>关于变更的范围的约定：</w:t>
      </w:r>
      <w:r>
        <w:rPr>
          <w:rFonts w:ascii="宋体" w:hAnsi="宋体" w:hint="eastAsia"/>
          <w:color w:val="00B0F0"/>
          <w:u w:val="single"/>
          <w:lang w:eastAsia="zh-CN"/>
        </w:rPr>
        <w:t xml:space="preserve">  (1)增加或减少本合同中的任何工程的数量；</w:t>
      </w:r>
    </w:p>
    <w:p w14:paraId="42FB0A4B">
      <w:pPr>
        <w:spacing w:line="360" w:lineRule="auto"/>
        <w:rPr>
          <w:rFonts w:ascii="宋体" w:hAnsi="宋体" w:hint="eastAsia"/>
          <w:color w:val="00B0F0"/>
          <w:u w:val="single"/>
          <w:lang w:eastAsia="zh-CN"/>
        </w:rPr>
      </w:pPr>
      <w:r>
        <w:rPr>
          <w:rFonts w:ascii="宋体" w:hAnsi="宋体" w:hint="eastAsia"/>
          <w:color w:val="00B0F0"/>
          <w:u w:val="single"/>
          <w:lang w:eastAsia="zh-CN"/>
        </w:rPr>
        <w:t>(2)取消合同中的任何单项工程；</w:t>
      </w:r>
    </w:p>
    <w:p w14:paraId="72A8A16C">
      <w:pPr>
        <w:spacing w:line="360" w:lineRule="auto"/>
        <w:rPr>
          <w:rFonts w:ascii="宋体" w:hAnsi="宋体" w:hint="eastAsia"/>
          <w:color w:val="00B0F0"/>
          <w:u w:val="single"/>
          <w:lang w:eastAsia="zh-CN"/>
        </w:rPr>
      </w:pPr>
      <w:r>
        <w:rPr>
          <w:rFonts w:ascii="宋体" w:hAnsi="宋体" w:hint="eastAsia"/>
          <w:color w:val="00B0F0"/>
          <w:u w:val="single"/>
          <w:lang w:eastAsia="zh-CN"/>
        </w:rPr>
        <w:t>(3)改变合同中的任何工作的性质、质量或种类；</w:t>
      </w:r>
    </w:p>
    <w:p w14:paraId="4A14F7EA">
      <w:pPr>
        <w:spacing w:line="360" w:lineRule="auto"/>
        <w:rPr>
          <w:rFonts w:ascii="宋体" w:hAnsi="宋体" w:hint="eastAsia"/>
          <w:color w:val="00B0F0"/>
          <w:u w:val="single"/>
          <w:lang w:eastAsia="zh-CN"/>
        </w:rPr>
      </w:pPr>
      <w:r>
        <w:rPr>
          <w:rFonts w:ascii="宋体" w:hAnsi="宋体" w:hint="eastAsia"/>
          <w:color w:val="00B0F0"/>
          <w:u w:val="single"/>
          <w:lang w:eastAsia="zh-CN"/>
        </w:rPr>
        <w:t>(4)改变本工程任何部分的标高、线形、位置和尺寸；</w:t>
      </w:r>
    </w:p>
    <w:p w14:paraId="1F721329">
      <w:pPr>
        <w:spacing w:line="360" w:lineRule="auto"/>
        <w:rPr>
          <w:rFonts w:ascii="宋体" w:hAnsi="宋体" w:hint="eastAsia"/>
          <w:color w:val="00B0F0"/>
          <w:u w:val="single"/>
          <w:lang w:eastAsia="zh-CN"/>
        </w:rPr>
      </w:pPr>
      <w:r>
        <w:rPr>
          <w:rFonts w:ascii="宋体" w:hAnsi="宋体" w:hint="eastAsia"/>
          <w:color w:val="00B0F0"/>
          <w:u w:val="single"/>
          <w:lang w:eastAsia="zh-CN"/>
        </w:rPr>
        <w:t>(5)完成本工程所需的任何种类的附加工作；</w:t>
      </w:r>
    </w:p>
    <w:p w14:paraId="131230A3">
      <w:pPr>
        <w:spacing w:line="360" w:lineRule="auto"/>
        <w:rPr>
          <w:rFonts w:ascii="宋体" w:hAnsi="宋体"/>
          <w:lang w:eastAsia="zh-CN"/>
        </w:rPr>
      </w:pPr>
      <w:r>
        <w:rPr>
          <w:rFonts w:ascii="宋体" w:hAnsi="宋体" w:hint="eastAsia"/>
          <w:color w:val="00B0F0"/>
          <w:u w:val="single"/>
          <w:lang w:eastAsia="zh-CN"/>
        </w:rPr>
        <w:t xml:space="preserve">(6)改变本工程任何分项工程规定的施工顺序或时间安排    </w:t>
      </w:r>
      <w:r>
        <w:rPr>
          <w:rFonts w:ascii="宋体" w:hAnsi="宋体" w:hint="eastAsia"/>
          <w:lang w:eastAsia="zh-CN"/>
        </w:rPr>
        <w:t>。</w:t>
      </w:r>
    </w:p>
    <w:p w14:paraId="62E19A59">
      <w:pPr>
        <w:spacing w:line="360" w:lineRule="auto"/>
        <w:rPr>
          <w:rFonts w:ascii="宋体" w:hAnsi="宋体"/>
          <w:lang w:eastAsia="zh-CN"/>
        </w:rPr>
      </w:pPr>
      <w:r>
        <w:rPr>
          <w:rFonts w:ascii="宋体" w:hAnsi="宋体" w:hint="eastAsia"/>
          <w:lang w:eastAsia="zh-CN"/>
        </w:rPr>
        <w:t>10.4 变更估价</w:t>
      </w:r>
    </w:p>
    <w:p w14:paraId="4417F10B">
      <w:pPr>
        <w:spacing w:line="360" w:lineRule="auto"/>
        <w:rPr>
          <w:rFonts w:ascii="宋体" w:hAnsi="宋体"/>
          <w:lang w:eastAsia="zh-CN"/>
        </w:rPr>
      </w:pPr>
      <w:r>
        <w:rPr>
          <w:rFonts w:ascii="宋体" w:hAnsi="宋体" w:hint="eastAsia"/>
          <w:lang w:eastAsia="zh-CN"/>
        </w:rPr>
        <w:t>10.4.1 变更估价原则</w:t>
      </w:r>
    </w:p>
    <w:p w14:paraId="75ECDD9F">
      <w:pPr>
        <w:spacing w:line="360" w:lineRule="auto"/>
        <w:rPr>
          <w:rFonts w:ascii="宋体" w:hAnsi="宋体" w:hint="eastAsia"/>
          <w:color w:val="00B0F0"/>
          <w:u w:val="single"/>
          <w:lang w:eastAsia="zh-CN"/>
        </w:rPr>
      </w:pPr>
      <w:r>
        <w:rPr>
          <w:rFonts w:ascii="宋体" w:hAnsi="宋体" w:hint="eastAsia"/>
          <w:lang w:eastAsia="zh-CN"/>
        </w:rPr>
        <w:t xml:space="preserve">关于变更估价的约定: </w:t>
      </w:r>
      <w:r>
        <w:rPr>
          <w:rFonts w:ascii="宋体" w:hAnsi="宋体" w:hint="eastAsia"/>
          <w:color w:val="00B0F0"/>
          <w:u w:val="single"/>
          <w:lang w:eastAsia="zh-CN"/>
        </w:rPr>
        <w:t xml:space="preserve">  (1)工程量清单报价中已有适用于变更工程的价格，按工程量清单中已有的价格确定。</w:t>
      </w:r>
    </w:p>
    <w:p w14:paraId="131C2A4B">
      <w:pPr>
        <w:spacing w:line="360" w:lineRule="auto"/>
        <w:rPr>
          <w:rFonts w:ascii="宋体" w:hAnsi="宋体" w:hint="eastAsia"/>
          <w:color w:val="00B0F0"/>
          <w:u w:val="single"/>
          <w:lang w:eastAsia="zh-CN"/>
        </w:rPr>
      </w:pPr>
      <w:r>
        <w:rPr>
          <w:rFonts w:ascii="宋体" w:hAnsi="宋体" w:hint="eastAsia"/>
          <w:color w:val="00B0F0"/>
          <w:u w:val="single"/>
          <w:lang w:eastAsia="zh-CN"/>
        </w:rPr>
        <w:t>(2)工程量清单报价中只有类似于变更工程的价格，可参照类似价格确定。(施</w:t>
      </w:r>
    </w:p>
    <w:p w14:paraId="15439014">
      <w:pPr>
        <w:spacing w:line="360" w:lineRule="auto"/>
        <w:rPr>
          <w:rFonts w:ascii="宋体" w:hAnsi="宋体" w:hint="eastAsia"/>
          <w:color w:val="00B0F0"/>
          <w:u w:val="single"/>
          <w:lang w:eastAsia="zh-CN"/>
        </w:rPr>
      </w:pPr>
      <w:r>
        <w:rPr>
          <w:rFonts w:ascii="宋体" w:hAnsi="宋体" w:hint="eastAsia"/>
          <w:color w:val="00B0F0"/>
          <w:u w:val="single"/>
          <w:lang w:eastAsia="zh-CN"/>
        </w:rPr>
        <w:t>工工艺相关或定额号相同的执行类似价格)。</w:t>
      </w:r>
    </w:p>
    <w:p w14:paraId="1F2951A4">
      <w:pPr>
        <w:spacing w:line="360" w:lineRule="auto"/>
        <w:rPr>
          <w:rFonts w:ascii="宋体" w:hAnsi="宋体" w:hint="eastAsia"/>
          <w:color w:val="00B0F0"/>
          <w:u w:val="single"/>
          <w:lang w:eastAsia="zh-CN"/>
        </w:rPr>
      </w:pPr>
      <w:r>
        <w:rPr>
          <w:rFonts w:ascii="宋体" w:hAnsi="宋体" w:hint="eastAsia"/>
          <w:color w:val="00B0F0"/>
          <w:u w:val="single"/>
          <w:lang w:eastAsia="zh-CN"/>
        </w:rPr>
        <w:t>(3)工程量清单报价中没有适用或类似于变更工程的价格，按照2020年《四川省建设工程工程量清单计价定额》及相关文件规定进行组价，再按投标价与招标控制价的下浮比例进行下浮(暂定部分除外)。</w:t>
      </w:r>
    </w:p>
    <w:p w14:paraId="71705D4F">
      <w:pPr>
        <w:spacing w:line="360" w:lineRule="auto"/>
        <w:rPr>
          <w:rFonts w:ascii="宋体" w:hAnsi="宋体" w:hint="eastAsia"/>
          <w:color w:val="00B0F0"/>
          <w:u w:val="single"/>
          <w:lang w:eastAsia="zh-CN"/>
        </w:rPr>
      </w:pPr>
      <w:r>
        <w:rPr>
          <w:rFonts w:ascii="宋体" w:hAnsi="宋体" w:hint="eastAsia"/>
          <w:color w:val="00B0F0"/>
          <w:u w:val="single"/>
          <w:lang w:eastAsia="zh-CN"/>
        </w:rPr>
        <w:t>(4)新增的相应材料若投标文件中有相同的按照投标文件中相同材料的价格执行;投标报价上没有的材料价格，按施工同期《遂宁工程造价信息》的材料价格执行，若信息价也没有的材料则由承包人、监理人、发包人共同询价认可的价格执行。</w:t>
      </w:r>
    </w:p>
    <w:p w14:paraId="4A832A50">
      <w:pPr>
        <w:spacing w:line="360" w:lineRule="auto"/>
        <w:rPr>
          <w:rFonts w:ascii="宋体" w:hAnsi="宋体"/>
          <w:u w:val="single"/>
          <w:lang w:eastAsia="zh-CN"/>
        </w:rPr>
      </w:pPr>
      <w:r>
        <w:rPr>
          <w:rFonts w:ascii="宋体" w:hAnsi="宋体" w:hint="eastAsia"/>
          <w:color w:val="00B0F0"/>
          <w:u w:val="single"/>
          <w:lang w:eastAsia="zh-CN"/>
        </w:rPr>
        <w:t xml:space="preserve">(5)工程施工过程中发生重大设计(指:因设计变更增加工程造价超合同金额10%以上或工程造价在100万元及以上的)变更所增加的费用，在工程实施阶段可按甲方审核后预算价的65%根据工程进度款支付方式进行支付;其他变更引起增加的工程价款以审计结果作为拨付依据，施工过程中不予拨付;减少工程引起合同价款调整，在工程进度款支付过程中相应扣减  </w:t>
      </w:r>
      <w:r>
        <w:rPr>
          <w:rFonts w:ascii="宋体" w:hAnsi="宋体" w:hint="eastAsia"/>
          <w:lang w:eastAsia="zh-CN"/>
        </w:rPr>
        <w:t>。</w:t>
      </w:r>
    </w:p>
    <w:p w14:paraId="5C3DA31C">
      <w:pPr>
        <w:spacing w:line="360" w:lineRule="auto"/>
        <w:rPr>
          <w:rFonts w:ascii="宋体" w:hAnsi="宋体"/>
          <w:lang w:eastAsia="zh-CN"/>
        </w:rPr>
      </w:pPr>
      <w:r>
        <w:rPr>
          <w:rFonts w:ascii="宋体" w:hAnsi="宋体" w:hint="eastAsia"/>
          <w:lang w:eastAsia="zh-CN"/>
        </w:rPr>
        <w:t>1</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Start w:id="832" w:name="_Toc296891237"/>
      <w:bookmarkStart w:id="833" w:name="_Toc292559402"/>
      <w:bookmarkStart w:id="834" w:name="_Toc303539150"/>
      <w:bookmarkStart w:id="835" w:name="_Toc296944536"/>
      <w:bookmarkStart w:id="836" w:name="_Toc292559907"/>
      <w:bookmarkStart w:id="837" w:name="_Toc296347196"/>
      <w:bookmarkStart w:id="838" w:name="_Toc297120497"/>
      <w:bookmarkStart w:id="839" w:name="_Toc297123544"/>
      <w:bookmarkStart w:id="840" w:name="_Toc296346698"/>
      <w:bookmarkStart w:id="841" w:name="_Toc300934993"/>
      <w:bookmarkStart w:id="842" w:name="_Toc296891025"/>
      <w:bookmarkStart w:id="843" w:name="_Toc296503197"/>
      <w:bookmarkStart w:id="844" w:name="_Toc297216203"/>
      <w:bookmarkStart w:id="845" w:name="_Toc297048383"/>
      <w:bookmarkStart w:id="846" w:name="_Toc312677503"/>
      <w:bookmarkStart w:id="847" w:name="_Toc304295570"/>
      <w:bookmarkStart w:id="848" w:name="_Toc312678029"/>
      <w:r>
        <w:rPr>
          <w:rFonts w:ascii="宋体" w:hAnsi="宋体" w:hint="eastAsia"/>
          <w:lang w:eastAsia="zh-CN"/>
        </w:rPr>
        <w:t>0.5承</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Start w:id="849" w:name="_Toc297123545"/>
      <w:bookmarkStart w:id="850" w:name="_Toc297216204"/>
      <w:bookmarkStart w:id="851" w:name="_Toc297048389"/>
      <w:bookmarkStart w:id="852" w:name="_Toc296944542"/>
      <w:bookmarkStart w:id="853" w:name="_Toc292559408"/>
      <w:bookmarkStart w:id="854" w:name="_Toc292559913"/>
      <w:bookmarkStart w:id="855" w:name="_Toc296346704"/>
      <w:bookmarkStart w:id="856" w:name="_Toc303539151"/>
      <w:bookmarkStart w:id="857" w:name="_Toc296891243"/>
      <w:bookmarkStart w:id="858" w:name="_Toc300934994"/>
      <w:bookmarkStart w:id="859" w:name="_Toc296347202"/>
      <w:bookmarkStart w:id="860" w:name="_Toc296891031"/>
      <w:bookmarkStart w:id="861" w:name="_Toc297120503"/>
      <w:bookmarkStart w:id="862" w:name="_Toc296503203"/>
      <w:r>
        <w:rPr>
          <w:rFonts w:ascii="宋体" w:hAnsi="宋体" w:hint="eastAsia"/>
          <w:lang w:eastAsia="zh-CN"/>
        </w:rPr>
        <w:t>包人的合理化建议</w:t>
      </w:r>
    </w:p>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14:paraId="7684CC37">
      <w:pPr>
        <w:spacing w:line="360" w:lineRule="auto"/>
        <w:rPr>
          <w:rFonts w:ascii="宋体" w:hAnsi="宋体"/>
          <w:lang w:eastAsia="zh-CN"/>
        </w:rPr>
      </w:pPr>
      <w:r>
        <w:rPr>
          <w:rFonts w:ascii="宋体" w:hAnsi="宋体" w:hint="eastAsia"/>
          <w:lang w:eastAsia="zh-CN"/>
        </w:rPr>
        <w:t>监理人审查承包人合理化建议的期限：</w:t>
      </w:r>
      <w:r>
        <w:rPr>
          <w:rFonts w:ascii="宋体" w:hAnsi="宋体" w:hint="eastAsia"/>
          <w:color w:val="00B0F0"/>
          <w:u w:val="single"/>
          <w:lang w:eastAsia="zh-CN"/>
        </w:rPr>
        <w:t xml:space="preserve"> 收到建议后7日内审查完毕  </w:t>
      </w:r>
      <w:r>
        <w:rPr>
          <w:rFonts w:ascii="宋体" w:hAnsi="宋体" w:hint="eastAsia"/>
          <w:lang w:eastAsia="zh-CN"/>
        </w:rPr>
        <w:t>。</w:t>
      </w:r>
    </w:p>
    <w:p w14:paraId="360FFD20">
      <w:pPr>
        <w:spacing w:line="360" w:lineRule="auto"/>
        <w:rPr>
          <w:rFonts w:ascii="宋体" w:hAnsi="宋体"/>
          <w:lang w:eastAsia="zh-CN"/>
        </w:rPr>
      </w:pPr>
      <w:r>
        <w:rPr>
          <w:rFonts w:ascii="宋体" w:hAnsi="宋体" w:hint="eastAsia"/>
          <w:lang w:eastAsia="zh-CN"/>
        </w:rPr>
        <w:t>发包人审批承包人合理化建议的期限：</w:t>
      </w:r>
      <w:r>
        <w:rPr>
          <w:rFonts w:ascii="宋体" w:hAnsi="宋体" w:hint="eastAsia"/>
          <w:color w:val="00B0F0"/>
          <w:u w:val="single"/>
          <w:lang w:eastAsia="zh-CN"/>
        </w:rPr>
        <w:t xml:space="preserve"> 收到建议后7日内审查完毕  </w:t>
      </w:r>
      <w:r>
        <w:rPr>
          <w:rFonts w:ascii="宋体" w:hAnsi="宋体" w:hint="eastAsia"/>
          <w:lang w:eastAsia="zh-CN"/>
        </w:rPr>
        <w:t>。</w:t>
      </w:r>
    </w:p>
    <w:p w14:paraId="3E4A0FC3">
      <w:pPr>
        <w:spacing w:line="360" w:lineRule="auto"/>
        <w:rPr>
          <w:rFonts w:ascii="宋体" w:hAnsi="宋体"/>
          <w:u w:val="single"/>
          <w:lang w:eastAsia="zh-CN"/>
        </w:rPr>
      </w:pPr>
      <w:r>
        <w:rPr>
          <w:rFonts w:ascii="宋体" w:hAnsi="宋体" w:hint="eastAsia"/>
          <w:lang w:eastAsia="zh-CN"/>
        </w:rPr>
        <w:t>承</w:t>
      </w:r>
      <w:bookmarkStart w:id="863" w:name="_Toc297216205"/>
      <w:bookmarkStart w:id="864" w:name="_Toc296891244"/>
      <w:bookmarkStart w:id="865" w:name="_Toc312678030"/>
      <w:bookmarkStart w:id="866" w:name="_Toc292559409"/>
      <w:bookmarkStart w:id="867" w:name="_Toc296503204"/>
      <w:bookmarkStart w:id="868" w:name="_Toc300934995"/>
      <w:bookmarkStart w:id="869" w:name="_Toc304295571"/>
      <w:bookmarkStart w:id="870" w:name="_Toc296891032"/>
      <w:bookmarkStart w:id="871" w:name="_Toc296347203"/>
      <w:bookmarkStart w:id="872" w:name="_Toc292559914"/>
      <w:bookmarkStart w:id="873" w:name="_Toc303539152"/>
      <w:bookmarkStart w:id="874" w:name="_Toc297123546"/>
      <w:bookmarkStart w:id="875" w:name="_Toc312677504"/>
      <w:bookmarkStart w:id="876" w:name="_Toc296346705"/>
      <w:bookmarkStart w:id="877" w:name="_Toc297048390"/>
      <w:bookmarkStart w:id="878" w:name="_Toc296944543"/>
      <w:bookmarkStart w:id="879" w:name="_Toc297120504"/>
      <w:bookmarkStart w:id="880" w:name="_Toc318581175"/>
      <w:r>
        <w:rPr>
          <w:rFonts w:ascii="宋体" w:hAnsi="宋体" w:hint="eastAsia"/>
          <w:lang w:eastAsia="zh-CN"/>
        </w:rPr>
        <w:t>包人提出的合理化建议降低了合同价格或者提高了工程经济效益的奖励的方法和金额为：</w:t>
      </w:r>
      <w:r>
        <w:rPr>
          <w:rFonts w:ascii="宋体" w:hAnsi="宋体" w:hint="eastAsia"/>
          <w:color w:val="00B0F0"/>
          <w:u w:val="single"/>
          <w:lang w:eastAsia="zh-CN"/>
        </w:rPr>
        <w:t xml:space="preserve">   /                         </w:t>
      </w:r>
      <w:r>
        <w:rPr>
          <w:rFonts w:ascii="宋体" w:hAnsi="宋体" w:hint="eastAsia"/>
          <w:lang w:eastAsia="zh-CN"/>
        </w:rPr>
        <w:t>。</w:t>
      </w:r>
    </w:p>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14:paraId="5B29CBD8">
      <w:pPr>
        <w:spacing w:line="360" w:lineRule="auto"/>
        <w:rPr>
          <w:rFonts w:ascii="宋体" w:hAnsi="宋体"/>
          <w:lang w:eastAsia="zh-CN"/>
        </w:rPr>
      </w:pPr>
      <w:r>
        <w:rPr>
          <w:rFonts w:ascii="宋体" w:hAnsi="宋体" w:hint="eastAsia"/>
          <w:lang w:eastAsia="zh-CN"/>
        </w:rPr>
        <w:t>1</w:t>
      </w:r>
      <w:bookmarkStart w:id="881" w:name="_Toc304295574"/>
      <w:bookmarkStart w:id="882" w:name="_Toc300934997"/>
      <w:bookmarkStart w:id="883" w:name="_Toc296503199"/>
      <w:bookmarkStart w:id="884" w:name="_Toc297048385"/>
      <w:bookmarkStart w:id="885" w:name="_Toc292559404"/>
      <w:bookmarkStart w:id="886" w:name="_Toc297120499"/>
      <w:bookmarkStart w:id="887" w:name="_Toc296891027"/>
      <w:bookmarkStart w:id="888" w:name="_Toc296891239"/>
      <w:bookmarkStart w:id="889" w:name="_Toc296944538"/>
      <w:bookmarkStart w:id="890" w:name="_Toc312678033"/>
      <w:bookmarkStart w:id="891" w:name="_Toc297216207"/>
      <w:bookmarkStart w:id="892" w:name="_Toc296347198"/>
      <w:bookmarkStart w:id="893" w:name="_Toc312677507"/>
      <w:bookmarkStart w:id="894" w:name="_Toc296346700"/>
      <w:bookmarkStart w:id="895" w:name="_Toc292559909"/>
      <w:bookmarkStart w:id="896" w:name="_Toc297123548"/>
      <w:bookmarkStart w:id="897" w:name="_Toc303539154"/>
      <w:r>
        <w:rPr>
          <w:rFonts w:ascii="宋体" w:hAnsi="宋体" w:hint="eastAsia"/>
          <w:lang w:eastAsia="zh-CN"/>
        </w:rPr>
        <w:t>0.7 暂估价</w:t>
      </w:r>
    </w:p>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14:paraId="5EC637AF">
      <w:pPr>
        <w:spacing w:line="360" w:lineRule="auto"/>
        <w:rPr>
          <w:rFonts w:ascii="宋体" w:hAnsi="宋体"/>
          <w:lang w:eastAsia="zh-CN"/>
        </w:rPr>
      </w:pPr>
      <w:r>
        <w:rPr>
          <w:rFonts w:ascii="宋体" w:hAnsi="宋体" w:hint="eastAsia"/>
          <w:lang w:eastAsia="zh-CN"/>
        </w:rPr>
        <w:t>暂</w:t>
      </w:r>
      <w:bookmarkStart w:id="898" w:name="_Toc312678034"/>
      <w:bookmarkStart w:id="899" w:name="_Toc318581176"/>
      <w:bookmarkStart w:id="900" w:name="_Toc312677508"/>
      <w:r>
        <w:rPr>
          <w:rFonts w:ascii="宋体" w:hAnsi="宋体" w:hint="eastAsia"/>
          <w:lang w:eastAsia="zh-CN"/>
        </w:rPr>
        <w:t>估价材料和工程设备的明细详见附件11：《暂估价一览表》。</w:t>
      </w:r>
    </w:p>
    <w:bookmarkEnd w:id="898"/>
    <w:bookmarkEnd w:id="899"/>
    <w:bookmarkEnd w:id="900"/>
    <w:p w14:paraId="40E0B7BC">
      <w:pPr>
        <w:spacing w:line="360" w:lineRule="auto"/>
        <w:rPr>
          <w:rFonts w:ascii="宋体" w:hAnsi="宋体"/>
          <w:lang w:eastAsia="zh-CN"/>
        </w:rPr>
      </w:pPr>
      <w:r>
        <w:rPr>
          <w:rFonts w:ascii="宋体" w:hAnsi="宋体" w:hint="eastAsia"/>
          <w:lang w:eastAsia="zh-CN"/>
        </w:rPr>
        <w:t>1</w:t>
      </w:r>
      <w:bookmarkStart w:id="901" w:name="_Toc318581177"/>
      <w:bookmarkStart w:id="902" w:name="_Toc312677509"/>
      <w:bookmarkStart w:id="903" w:name="_Toc312678035"/>
      <w:r>
        <w:rPr>
          <w:rFonts w:ascii="宋体" w:hAnsi="宋体" w:hint="eastAsia"/>
          <w:lang w:eastAsia="zh-CN"/>
        </w:rPr>
        <w:t>0.7.1 依法必须招标的暂估价项目</w:t>
      </w:r>
    </w:p>
    <w:bookmarkEnd w:id="901"/>
    <w:bookmarkEnd w:id="902"/>
    <w:bookmarkEnd w:id="903"/>
    <w:p w14:paraId="39AAA356">
      <w:pPr>
        <w:spacing w:line="360" w:lineRule="auto"/>
        <w:rPr>
          <w:rFonts w:ascii="宋体" w:hAnsi="宋体"/>
          <w:lang w:eastAsia="zh-CN"/>
        </w:rPr>
      </w:pPr>
      <w:r>
        <w:rPr>
          <w:rFonts w:ascii="宋体" w:hAnsi="宋体" w:hint="eastAsia"/>
          <w:lang w:eastAsia="zh-CN"/>
        </w:rPr>
        <w:t>对于依法必须招标的暂估价项目的确认和批准采取第</w:t>
      </w:r>
      <w:r>
        <w:rPr>
          <w:rFonts w:ascii="宋体" w:hAnsi="宋体" w:hint="eastAsia"/>
          <w:color w:val="00B0F0"/>
          <w:u w:val="single"/>
          <w:lang w:eastAsia="zh-CN"/>
        </w:rPr>
        <w:t xml:space="preserve">  1  </w:t>
      </w:r>
      <w:r>
        <w:rPr>
          <w:rFonts w:ascii="宋体" w:hAnsi="宋体" w:hint="eastAsia"/>
          <w:lang w:eastAsia="zh-CN"/>
        </w:rPr>
        <w:t>种方式确定。</w:t>
      </w:r>
    </w:p>
    <w:p w14:paraId="6C5D1043">
      <w:pPr>
        <w:spacing w:line="360" w:lineRule="auto"/>
        <w:rPr>
          <w:rFonts w:ascii="宋体" w:hAnsi="宋体"/>
          <w:lang w:eastAsia="zh-CN"/>
        </w:rPr>
      </w:pPr>
      <w:r>
        <w:rPr>
          <w:rFonts w:ascii="宋体" w:hAnsi="宋体" w:hint="eastAsia"/>
          <w:lang w:eastAsia="zh-CN"/>
        </w:rPr>
        <w:t>10.7.2 不属于依法必须招标的暂估价项目</w:t>
      </w:r>
    </w:p>
    <w:p w14:paraId="0CFB0DC5">
      <w:pPr>
        <w:spacing w:line="360" w:lineRule="auto"/>
        <w:rPr>
          <w:rFonts w:ascii="宋体" w:hAnsi="宋体"/>
          <w:lang w:eastAsia="zh-CN"/>
        </w:rPr>
      </w:pPr>
      <w:r>
        <w:rPr>
          <w:rFonts w:ascii="宋体" w:hAnsi="宋体" w:hint="eastAsia"/>
          <w:lang w:eastAsia="zh-CN"/>
        </w:rPr>
        <w:t>对于不属于依法必须招标的暂估价项目的确认和批准采取第</w:t>
      </w:r>
      <w:r>
        <w:rPr>
          <w:rFonts w:ascii="宋体" w:hAnsi="宋体" w:hint="eastAsia"/>
          <w:color w:val="00B0F0"/>
          <w:u w:val="single"/>
          <w:lang w:eastAsia="zh-CN"/>
        </w:rPr>
        <w:t xml:space="preserve">  1 </w:t>
      </w:r>
      <w:r>
        <w:rPr>
          <w:rFonts w:ascii="宋体" w:hAnsi="宋体" w:hint="eastAsia"/>
          <w:lang w:eastAsia="zh-CN"/>
        </w:rPr>
        <w:t xml:space="preserve"> 种方式确定。</w:t>
      </w:r>
    </w:p>
    <w:p w14:paraId="3DDDABCC">
      <w:pPr>
        <w:spacing w:line="360" w:lineRule="auto"/>
        <w:rPr>
          <w:rFonts w:ascii="宋体" w:hAnsi="宋体"/>
          <w:lang w:eastAsia="zh-CN"/>
        </w:rPr>
      </w:pPr>
      <w:r>
        <w:rPr>
          <w:rFonts w:ascii="宋体" w:hAnsi="宋体" w:hint="eastAsia"/>
          <w:lang w:eastAsia="zh-CN"/>
        </w:rPr>
        <w:t>第3种方式：承包人直接实施的暂估价项目</w:t>
      </w:r>
    </w:p>
    <w:p w14:paraId="045BE92E">
      <w:pPr>
        <w:spacing w:line="360" w:lineRule="auto"/>
        <w:rPr>
          <w:rFonts w:ascii="宋体" w:hAnsi="宋体"/>
          <w:lang w:eastAsia="zh-CN"/>
        </w:rPr>
      </w:pPr>
      <w:r>
        <w:rPr>
          <w:rFonts w:ascii="宋体" w:hAnsi="宋体" w:hint="eastAsia"/>
          <w:lang w:eastAsia="zh-CN"/>
        </w:rPr>
        <w:t>承包人直接实施的暂估价项目的约定：</w:t>
      </w:r>
      <w:r>
        <w:rPr>
          <w:rFonts w:ascii="宋体" w:hAnsi="宋体" w:hint="eastAsia"/>
          <w:color w:val="00B0F0"/>
          <w:u w:val="single"/>
          <w:lang w:eastAsia="zh-CN"/>
        </w:rPr>
        <w:t xml:space="preserve">  /         </w:t>
      </w:r>
      <w:r>
        <w:rPr>
          <w:rFonts w:ascii="宋体" w:hAnsi="宋体" w:hint="eastAsia"/>
          <w:lang w:eastAsia="zh-CN"/>
        </w:rPr>
        <w:t>。</w:t>
      </w:r>
    </w:p>
    <w:p w14:paraId="58F200E4">
      <w:pPr>
        <w:spacing w:line="360" w:lineRule="auto"/>
        <w:rPr>
          <w:rFonts w:ascii="宋体" w:hAnsi="宋体"/>
          <w:lang w:eastAsia="zh-CN"/>
        </w:rPr>
      </w:pPr>
      <w:r>
        <w:rPr>
          <w:rFonts w:ascii="宋体" w:hAnsi="宋体" w:hint="eastAsia"/>
          <w:lang w:eastAsia="zh-CN"/>
        </w:rPr>
        <w:t>10.8 暂列金额</w:t>
      </w:r>
    </w:p>
    <w:p w14:paraId="1FA6E122">
      <w:pPr>
        <w:spacing w:line="360" w:lineRule="auto"/>
        <w:rPr>
          <w:rFonts w:ascii="宋体" w:hAnsi="宋体"/>
          <w:lang w:eastAsia="zh-CN"/>
        </w:rPr>
      </w:pPr>
      <w:r>
        <w:rPr>
          <w:rFonts w:ascii="宋体" w:hAnsi="宋体" w:hint="eastAsia"/>
          <w:lang w:eastAsia="zh-CN"/>
        </w:rPr>
        <w:t>合同当事人关于暂列金额使用的约定：</w:t>
      </w:r>
      <w:r>
        <w:rPr>
          <w:rFonts w:ascii="宋体" w:hAnsi="宋体" w:hint="eastAsia"/>
          <w:color w:val="00B0F0"/>
          <w:u w:val="single"/>
          <w:lang w:eastAsia="zh-CN"/>
        </w:rPr>
        <w:t xml:space="preserve">  按通用合同条款执行   </w:t>
      </w:r>
      <w:r>
        <w:rPr>
          <w:rFonts w:ascii="宋体" w:hAnsi="宋体" w:hint="eastAsia"/>
          <w:lang w:eastAsia="zh-CN"/>
        </w:rPr>
        <w:t>。</w:t>
      </w:r>
    </w:p>
    <w:p w14:paraId="340FFC7E">
      <w:pPr>
        <w:spacing w:line="360" w:lineRule="auto"/>
        <w:rPr>
          <w:rFonts w:ascii="宋体" w:hAnsi="宋体"/>
          <w:bCs/>
          <w:lang w:eastAsia="zh-CN"/>
        </w:rPr>
      </w:pPr>
      <w:bookmarkStart w:id="904" w:name="_Toc351203643"/>
      <w:r>
        <w:rPr>
          <w:rFonts w:ascii="宋体" w:hAnsi="宋体" w:hint="eastAsia"/>
          <w:bCs/>
          <w:lang w:eastAsia="zh-CN"/>
        </w:rPr>
        <w:t>11. 价格调整</w:t>
      </w:r>
      <w:bookmarkEnd w:id="904"/>
    </w:p>
    <w:p w14:paraId="48BC9DB7">
      <w:pPr>
        <w:spacing w:line="360" w:lineRule="auto"/>
        <w:rPr>
          <w:rFonts w:ascii="宋体" w:hAnsi="宋体"/>
          <w:lang w:eastAsia="zh-CN"/>
        </w:rPr>
      </w:pPr>
      <w:bookmarkStart w:id="905" w:name="_Toc296891241"/>
      <w:bookmarkStart w:id="906" w:name="_Toc297120501"/>
      <w:bookmarkStart w:id="907" w:name="_Toc297048387"/>
      <w:bookmarkStart w:id="908" w:name="_Toc296944540"/>
      <w:bookmarkStart w:id="909" w:name="_Toc292559911"/>
      <w:bookmarkStart w:id="910" w:name="_Toc296503201"/>
      <w:bookmarkStart w:id="911" w:name="_Toc300935000"/>
      <w:bookmarkStart w:id="912" w:name="_Toc292559406"/>
      <w:bookmarkStart w:id="913" w:name="_Toc303539157"/>
      <w:bookmarkStart w:id="914" w:name="_Toc297123550"/>
      <w:bookmarkStart w:id="915" w:name="_Toc304295577"/>
      <w:bookmarkStart w:id="916" w:name="_Toc296347200"/>
      <w:bookmarkStart w:id="917" w:name="_Toc296891029"/>
      <w:bookmarkStart w:id="918" w:name="_Toc312678039"/>
      <w:bookmarkStart w:id="919" w:name="_Toc297216209"/>
      <w:bookmarkStart w:id="920" w:name="_Toc296346702"/>
      <w:r>
        <w:rPr>
          <w:rFonts w:ascii="宋体" w:hAnsi="宋体" w:hint="eastAsia"/>
          <w:lang w:eastAsia="zh-CN"/>
        </w:rPr>
        <w:t>11.1 市场价格波动引起的调整</w:t>
      </w:r>
    </w:p>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14:paraId="018F4FE5">
      <w:pPr>
        <w:spacing w:line="360" w:lineRule="auto"/>
        <w:rPr>
          <w:rFonts w:ascii="宋体" w:hAnsi="宋体"/>
          <w:lang w:eastAsia="zh-CN"/>
        </w:rPr>
      </w:pPr>
      <w:r>
        <w:rPr>
          <w:rFonts w:ascii="宋体" w:hAnsi="宋体" w:hint="eastAsia"/>
          <w:lang w:eastAsia="zh-CN"/>
        </w:rPr>
        <w:t>市场价格波动是否调整合同价格的约定：</w:t>
      </w:r>
      <w:r>
        <w:rPr>
          <w:rFonts w:ascii="宋体" w:hAnsi="宋体" w:hint="eastAsia"/>
          <w:color w:val="00B0F0"/>
          <w:u w:val="single"/>
          <w:lang w:eastAsia="zh-CN"/>
        </w:rPr>
        <w:t xml:space="preserve">  是  </w:t>
      </w:r>
      <w:r>
        <w:rPr>
          <w:rFonts w:ascii="宋体" w:hAnsi="宋体" w:hint="eastAsia"/>
          <w:lang w:eastAsia="zh-CN"/>
        </w:rPr>
        <w:t>。</w:t>
      </w:r>
    </w:p>
    <w:p w14:paraId="61252E4D">
      <w:pPr>
        <w:spacing w:line="360" w:lineRule="auto"/>
        <w:rPr>
          <w:rFonts w:ascii="宋体" w:hAnsi="宋体"/>
          <w:lang w:eastAsia="zh-CN"/>
        </w:rPr>
      </w:pPr>
      <w:r>
        <w:rPr>
          <w:rFonts w:ascii="宋体" w:hAnsi="宋体" w:hint="eastAsia"/>
          <w:lang w:eastAsia="zh-CN"/>
        </w:rPr>
        <w:t>因市场价格波动调整合同价格，采用以下第</w:t>
      </w:r>
      <w:r>
        <w:rPr>
          <w:rFonts w:ascii="宋体" w:hAnsi="宋体" w:hint="eastAsia"/>
          <w:color w:val="00B0F0"/>
          <w:u w:val="single"/>
          <w:lang w:eastAsia="zh-CN"/>
        </w:rPr>
        <w:t xml:space="preserve"> （2）   </w:t>
      </w:r>
      <w:r>
        <w:rPr>
          <w:rFonts w:ascii="宋体" w:hAnsi="宋体" w:hint="eastAsia"/>
          <w:lang w:eastAsia="zh-CN"/>
        </w:rPr>
        <w:t>种方式对合同价格进行调整：</w:t>
      </w:r>
    </w:p>
    <w:p w14:paraId="4F03751A">
      <w:pPr>
        <w:spacing w:line="360" w:lineRule="auto"/>
        <w:rPr>
          <w:rFonts w:ascii="宋体" w:hAnsi="宋体"/>
          <w:lang w:eastAsia="zh-CN"/>
        </w:rPr>
      </w:pPr>
      <w:r>
        <w:rPr>
          <w:rFonts w:ascii="宋体" w:hAnsi="宋体" w:hint="eastAsia"/>
          <w:lang w:eastAsia="zh-CN"/>
        </w:rPr>
        <w:t>第1种方式：采用价格指数进行价格调整。</w:t>
      </w:r>
    </w:p>
    <w:p w14:paraId="7CE95204">
      <w:pPr>
        <w:spacing w:line="360" w:lineRule="auto"/>
        <w:rPr>
          <w:rFonts w:ascii="宋体" w:hAnsi="宋体"/>
          <w:u w:val="single"/>
          <w:lang w:eastAsia="zh-CN"/>
        </w:rPr>
      </w:pPr>
      <w:r>
        <w:rPr>
          <w:rFonts w:ascii="宋体" w:hAnsi="宋体" w:hint="eastAsia"/>
          <w:lang w:eastAsia="zh-CN"/>
        </w:rPr>
        <w:t>关于各可调因子、定值和变值权重，以及基本价格指数及其来源的约定：</w:t>
      </w:r>
      <w:r>
        <w:rPr>
          <w:rFonts w:ascii="宋体" w:hAnsi="宋体" w:hint="eastAsia"/>
          <w:color w:val="00B0F0"/>
          <w:u w:val="single"/>
          <w:lang w:eastAsia="zh-CN"/>
        </w:rPr>
        <w:t xml:space="preserve">   /     </w:t>
      </w:r>
      <w:r>
        <w:rPr>
          <w:rFonts w:ascii="宋体" w:hAnsi="宋体" w:hint="eastAsia"/>
          <w:lang w:eastAsia="zh-CN"/>
        </w:rPr>
        <w:t xml:space="preserve">；  </w:t>
      </w:r>
    </w:p>
    <w:p w14:paraId="5AA8AD8B">
      <w:pPr>
        <w:spacing w:line="360" w:lineRule="auto"/>
        <w:rPr>
          <w:rFonts w:ascii="宋体" w:hAnsi="宋体"/>
          <w:lang w:eastAsia="zh-CN"/>
        </w:rPr>
      </w:pPr>
      <w:r>
        <w:rPr>
          <w:rFonts w:ascii="宋体" w:hAnsi="宋体" w:hint="eastAsia"/>
          <w:lang w:eastAsia="zh-CN"/>
        </w:rPr>
        <w:t>第2种方式：采用造价信息进行价格调整。</w:t>
      </w:r>
    </w:p>
    <w:p w14:paraId="65E668DA">
      <w:pPr>
        <w:spacing w:line="360" w:lineRule="auto"/>
        <w:rPr>
          <w:rFonts w:ascii="宋体" w:hAnsi="宋体"/>
          <w:lang w:eastAsia="zh-CN"/>
        </w:rPr>
      </w:pPr>
      <w:r>
        <w:rPr>
          <w:rFonts w:ascii="宋体" w:hAnsi="宋体" w:hint="eastAsia"/>
          <w:lang w:eastAsia="zh-CN"/>
        </w:rPr>
        <w:t>（2）关于基准价格的约定：</w:t>
      </w:r>
      <w:r>
        <w:rPr>
          <w:rFonts w:ascii="宋体" w:hAnsi="宋体" w:hint="eastAsia"/>
          <w:color w:val="00B0F0"/>
          <w:u w:val="single"/>
          <w:lang w:eastAsia="zh-CN"/>
        </w:rPr>
        <w:t xml:space="preserve">  以《遂宁市工程造价信息》2026年第4期信息价为基准，可调材料为:钢材、水泥、砂浆、砖、混凝土、管材  </w:t>
      </w:r>
      <w:r>
        <w:rPr>
          <w:rFonts w:ascii="宋体" w:hAnsi="宋体" w:hint="eastAsia"/>
          <w:lang w:eastAsia="zh-CN"/>
        </w:rPr>
        <w:t>。</w:t>
      </w:r>
    </w:p>
    <w:p w14:paraId="35581D3E">
      <w:pPr>
        <w:spacing w:line="360" w:lineRule="auto"/>
        <w:rPr>
          <w:rFonts w:ascii="宋体" w:hAnsi="宋体" w:hint="eastAsia"/>
          <w:color w:val="00B0F0"/>
          <w:u w:val="single"/>
          <w:lang w:eastAsia="zh-CN"/>
        </w:rPr>
      </w:pPr>
      <w:r>
        <w:rPr>
          <w:rFonts w:ascii="宋体" w:hAnsi="宋体" w:hint="eastAsia"/>
          <w:lang w:eastAsia="zh-CN"/>
        </w:rPr>
        <w:t>专用合同条款①承包人在已标价工程量清单或预算书中载明的材料单价低于基准价格的：专用合同条款合同履行期间材料单价涨幅以基准价格为基础超过</w:t>
      </w:r>
      <w:r>
        <w:rPr>
          <w:rFonts w:ascii="宋体" w:hAnsi="宋体" w:hint="eastAsia"/>
          <w:color w:val="00B0F0"/>
          <w:u w:val="single"/>
          <w:lang w:eastAsia="zh-CN"/>
        </w:rPr>
        <w:t xml:space="preserve"> 钢材、水泥</w:t>
      </w:r>
    </w:p>
    <w:p w14:paraId="2ADE129B">
      <w:pPr>
        <w:spacing w:line="360" w:lineRule="auto"/>
        <w:rPr>
          <w:rFonts w:ascii="宋体" w:hAnsi="宋体"/>
          <w:lang w:eastAsia="zh-CN"/>
        </w:rPr>
      </w:pPr>
      <w:r>
        <w:rPr>
          <w:rFonts w:ascii="宋体" w:hAnsi="宋体" w:hint="eastAsia"/>
          <w:color w:val="00B0F0"/>
          <w:u w:val="single"/>
          <w:lang w:eastAsia="zh-CN"/>
        </w:rPr>
        <w:t xml:space="preserve">3%，其他材料5  </w:t>
      </w:r>
      <w:r>
        <w:rPr>
          <w:rFonts w:ascii="宋体" w:hAnsi="宋体" w:hint="eastAsia"/>
          <w:lang w:eastAsia="zh-CN"/>
        </w:rPr>
        <w:t>%时，或材料单价跌幅以已标价工程量清单或预算书中载明材料单价为基础超过</w:t>
      </w:r>
      <w:r>
        <w:rPr>
          <w:rFonts w:ascii="宋体" w:hAnsi="宋体" w:hint="eastAsia"/>
          <w:color w:val="00B0F0"/>
          <w:u w:val="single"/>
          <w:lang w:eastAsia="zh-CN"/>
        </w:rPr>
        <w:t xml:space="preserve"> 钢材、水泥3%，其他材料5  </w:t>
      </w:r>
      <w:r>
        <w:rPr>
          <w:rFonts w:ascii="宋体" w:hAnsi="宋体" w:hint="eastAsia"/>
          <w:lang w:eastAsia="zh-CN"/>
        </w:rPr>
        <w:t>%时，其超过部分据实调整。</w:t>
      </w:r>
    </w:p>
    <w:p w14:paraId="29D86CB8">
      <w:pPr>
        <w:spacing w:line="360" w:lineRule="auto"/>
        <w:rPr>
          <w:rFonts w:ascii="宋体" w:hAnsi="宋体"/>
          <w:lang w:eastAsia="zh-CN"/>
        </w:rPr>
      </w:pPr>
      <w:r>
        <w:rPr>
          <w:rFonts w:ascii="宋体" w:hAnsi="宋体" w:hint="eastAsia"/>
          <w:lang w:eastAsia="zh-CN"/>
        </w:rPr>
        <w:t>②承包人在已标价工程量清单或预算书中载明的材料单价高于基准价格的：专用合同条款合同履行期间材料单价跌幅以基准价格为基础超过</w:t>
      </w:r>
      <w:r>
        <w:rPr>
          <w:rFonts w:ascii="宋体" w:hAnsi="宋体" w:hint="eastAsia"/>
          <w:color w:val="00B0F0"/>
          <w:u w:val="single"/>
          <w:lang w:eastAsia="zh-CN"/>
        </w:rPr>
        <w:t xml:space="preserve"> 钢材、水泥3%，其他材料5  </w:t>
      </w:r>
      <w:r>
        <w:rPr>
          <w:rFonts w:ascii="宋体" w:hAnsi="宋体" w:hint="eastAsia"/>
          <w:lang w:eastAsia="zh-CN"/>
        </w:rPr>
        <w:t>%时，材料单价涨幅以已标价工程量清单或预算书中载明材料单价为基础超过</w:t>
      </w:r>
      <w:r>
        <w:rPr>
          <w:rFonts w:ascii="宋体" w:hAnsi="宋体" w:hint="eastAsia"/>
          <w:color w:val="00B0F0"/>
          <w:u w:val="single"/>
          <w:lang w:eastAsia="zh-CN"/>
        </w:rPr>
        <w:t xml:space="preserve"> 钢材、水泥3%，其他材料5  </w:t>
      </w:r>
      <w:r>
        <w:rPr>
          <w:rFonts w:ascii="宋体" w:hAnsi="宋体" w:hint="eastAsia"/>
          <w:lang w:eastAsia="zh-CN"/>
        </w:rPr>
        <w:t>%时，其超过部分据实调整。</w:t>
      </w:r>
    </w:p>
    <w:p w14:paraId="1917FE27">
      <w:pPr>
        <w:spacing w:line="360" w:lineRule="auto"/>
        <w:rPr>
          <w:rFonts w:ascii="宋体" w:hAnsi="宋体"/>
          <w:lang w:eastAsia="zh-CN"/>
        </w:rPr>
      </w:pPr>
      <w:r>
        <w:rPr>
          <w:rFonts w:ascii="宋体" w:hAnsi="宋体" w:hint="eastAsia"/>
          <w:lang w:eastAsia="zh-CN"/>
        </w:rPr>
        <w:t>③承包人在已标价工程量清单或预算书中载明的材料单价等于基准单价的：专用合同条款合同履行期间材料单价涨跌幅以基准单价为基础超过±</w:t>
      </w:r>
      <w:r>
        <w:rPr>
          <w:rFonts w:ascii="宋体" w:hAnsi="宋体" w:hint="eastAsia"/>
          <w:color w:val="00B0F0"/>
          <w:u w:val="single"/>
          <w:lang w:eastAsia="zh-CN"/>
        </w:rPr>
        <w:t xml:space="preserve">   </w:t>
      </w:r>
      <w:r>
        <w:rPr>
          <w:rFonts w:ascii="宋体" w:hAnsi="宋体" w:hint="eastAsia"/>
          <w:lang w:eastAsia="zh-CN"/>
        </w:rPr>
        <w:t>%时，其超过部分据实调整。</w:t>
      </w:r>
    </w:p>
    <w:p w14:paraId="677DA555">
      <w:pPr>
        <w:spacing w:line="360" w:lineRule="auto"/>
        <w:rPr>
          <w:rFonts w:ascii="宋体" w:hAnsi="宋体"/>
          <w:lang w:eastAsia="zh-CN"/>
        </w:rPr>
      </w:pPr>
      <w:r>
        <w:rPr>
          <w:rFonts w:ascii="宋体" w:hAnsi="宋体" w:hint="eastAsia"/>
          <w:lang w:eastAsia="zh-CN"/>
        </w:rPr>
        <w:t>第3种方式：其他价格调整方式：</w:t>
      </w:r>
      <w:r>
        <w:rPr>
          <w:rFonts w:ascii="宋体" w:hAnsi="宋体" w:hint="eastAsia"/>
          <w:color w:val="00B0F0"/>
          <w:u w:val="single"/>
          <w:lang w:eastAsia="zh-CN"/>
        </w:rPr>
        <w:t xml:space="preserve">    </w:t>
      </w:r>
      <w:r>
        <w:rPr>
          <w:rFonts w:ascii="宋体" w:hAnsi="宋体" w:hint="eastAsia"/>
          <w:color w:val="00B0F0"/>
          <w:u w:val="single"/>
          <w:lang w:val="en-US" w:eastAsia="zh-CN"/>
        </w:rPr>
        <w:t>/</w:t>
      </w:r>
      <w:r>
        <w:rPr>
          <w:rFonts w:ascii="宋体" w:hAnsi="宋体" w:hint="eastAsia"/>
          <w:color w:val="00B0F0"/>
          <w:u w:val="single"/>
          <w:lang w:eastAsia="zh-CN"/>
        </w:rPr>
        <w:t xml:space="preserve">        </w:t>
      </w:r>
      <w:r>
        <w:rPr>
          <w:rFonts w:ascii="宋体" w:hAnsi="宋体" w:hint="eastAsia"/>
          <w:lang w:eastAsia="zh-CN"/>
        </w:rPr>
        <w:t>。</w:t>
      </w:r>
    </w:p>
    <w:bookmarkEnd w:id="808"/>
    <w:bookmarkEnd w:id="809"/>
    <w:bookmarkEnd w:id="810"/>
    <w:bookmarkEnd w:id="811"/>
    <w:bookmarkEnd w:id="812"/>
    <w:bookmarkEnd w:id="813"/>
    <w:p w14:paraId="6709DB22">
      <w:pPr>
        <w:spacing w:line="360" w:lineRule="auto"/>
        <w:rPr>
          <w:rFonts w:ascii="宋体" w:hAnsi="宋体"/>
          <w:bCs/>
          <w:lang w:eastAsia="zh-CN"/>
        </w:rPr>
      </w:pPr>
      <w:bookmarkStart w:id="921" w:name="_Toc297120505"/>
      <w:bookmarkStart w:id="922" w:name="_Toc296944544"/>
      <w:bookmarkStart w:id="923" w:name="_Toc292559915"/>
      <w:bookmarkStart w:id="924" w:name="_Toc296503205"/>
      <w:bookmarkStart w:id="925" w:name="_Toc296891245"/>
      <w:bookmarkStart w:id="926" w:name="_Toc296346706"/>
      <w:bookmarkStart w:id="927" w:name="_Toc297048391"/>
      <w:bookmarkStart w:id="928" w:name="_Toc296891033"/>
      <w:bookmarkStart w:id="929" w:name="_Toc292559410"/>
      <w:bookmarkStart w:id="930" w:name="_Toc296347204"/>
      <w:bookmarkStart w:id="931" w:name="_Toc351203644"/>
      <w:bookmarkStart w:id="932" w:name="_Toc312678040"/>
      <w:bookmarkStart w:id="933" w:name="_Toc303539159"/>
      <w:bookmarkStart w:id="934" w:name="_Toc297216211"/>
      <w:bookmarkStart w:id="935" w:name="_Toc304295579"/>
      <w:bookmarkStart w:id="936" w:name="_Toc297123552"/>
      <w:bookmarkStart w:id="937" w:name="_Toc300935002"/>
      <w:r>
        <w:rPr>
          <w:rFonts w:ascii="宋体" w:hAnsi="宋体" w:hint="eastAsia"/>
          <w:bCs/>
          <w:lang w:eastAsia="zh-CN"/>
        </w:rPr>
        <w:t xml:space="preserve">12. </w:t>
      </w:r>
      <w:bookmarkEnd w:id="921"/>
      <w:bookmarkEnd w:id="922"/>
      <w:bookmarkEnd w:id="923"/>
      <w:bookmarkEnd w:id="924"/>
      <w:bookmarkEnd w:id="925"/>
      <w:bookmarkEnd w:id="926"/>
      <w:bookmarkEnd w:id="927"/>
      <w:bookmarkEnd w:id="928"/>
      <w:bookmarkEnd w:id="929"/>
      <w:bookmarkEnd w:id="930"/>
      <w:r>
        <w:rPr>
          <w:rFonts w:ascii="宋体" w:hAnsi="宋体" w:hint="eastAsia"/>
          <w:bCs/>
          <w:lang w:eastAsia="zh-CN"/>
        </w:rPr>
        <w:t>合同价格、计量与支付</w:t>
      </w:r>
      <w:bookmarkEnd w:id="931"/>
    </w:p>
    <w:bookmarkEnd w:id="932"/>
    <w:bookmarkEnd w:id="933"/>
    <w:bookmarkEnd w:id="934"/>
    <w:bookmarkEnd w:id="935"/>
    <w:bookmarkEnd w:id="936"/>
    <w:bookmarkEnd w:id="937"/>
    <w:p w14:paraId="5B76C1EF">
      <w:pPr>
        <w:spacing w:line="360" w:lineRule="auto"/>
        <w:rPr>
          <w:rFonts w:ascii="宋体" w:hAnsi="宋体"/>
          <w:lang w:eastAsia="zh-CN"/>
        </w:rPr>
      </w:pPr>
      <w:bookmarkStart w:id="938" w:name="_Toc292559411"/>
      <w:bookmarkStart w:id="939" w:name="_Toc267251461"/>
      <w:bookmarkStart w:id="940" w:name="_Toc292559916"/>
      <w:bookmarkStart w:id="941" w:name="_Toc297048392"/>
      <w:bookmarkStart w:id="942" w:name="_Toc297120506"/>
      <w:bookmarkStart w:id="943" w:name="_Toc296944545"/>
      <w:bookmarkStart w:id="944" w:name="_Toc296891246"/>
      <w:bookmarkStart w:id="945" w:name="_Toc296503206"/>
      <w:bookmarkStart w:id="946" w:name="_Toc296891034"/>
      <w:bookmarkStart w:id="947" w:name="_Toc296347205"/>
      <w:bookmarkStart w:id="948" w:name="_Toc296346707"/>
      <w:bookmarkStart w:id="949" w:name="_Toc297216212"/>
      <w:bookmarkStart w:id="950" w:name="_Toc297123553"/>
      <w:bookmarkStart w:id="951" w:name="_Toc303539160"/>
      <w:bookmarkStart w:id="952" w:name="_Toc304295580"/>
      <w:bookmarkStart w:id="953" w:name="_Toc300935003"/>
      <w:bookmarkStart w:id="954" w:name="_Toc312678041"/>
      <w:r>
        <w:rPr>
          <w:rFonts w:ascii="宋体" w:hAnsi="宋体" w:hint="eastAsia"/>
          <w:lang w:eastAsia="zh-CN"/>
        </w:rPr>
        <w:t>12.1 合</w:t>
      </w:r>
      <w:bookmarkEnd w:id="938"/>
      <w:bookmarkEnd w:id="939"/>
      <w:bookmarkEnd w:id="940"/>
      <w:r>
        <w:rPr>
          <w:rFonts w:ascii="宋体" w:hAnsi="宋体" w:hint="eastAsia"/>
          <w:lang w:eastAsia="zh-CN"/>
        </w:rPr>
        <w:t>同价</w:t>
      </w:r>
      <w:bookmarkEnd w:id="941"/>
      <w:bookmarkEnd w:id="942"/>
      <w:bookmarkEnd w:id="943"/>
      <w:bookmarkEnd w:id="944"/>
      <w:bookmarkEnd w:id="945"/>
      <w:bookmarkEnd w:id="946"/>
      <w:bookmarkEnd w:id="947"/>
      <w:bookmarkEnd w:id="948"/>
      <w:r>
        <w:rPr>
          <w:rFonts w:ascii="宋体" w:hAnsi="宋体" w:hint="eastAsia"/>
          <w:lang w:eastAsia="zh-CN"/>
        </w:rPr>
        <w:t>格形式</w:t>
      </w:r>
    </w:p>
    <w:bookmarkEnd w:id="949"/>
    <w:bookmarkEnd w:id="950"/>
    <w:bookmarkEnd w:id="951"/>
    <w:bookmarkEnd w:id="952"/>
    <w:bookmarkEnd w:id="953"/>
    <w:bookmarkEnd w:id="954"/>
    <w:p w14:paraId="792AF3DE">
      <w:pPr>
        <w:spacing w:line="360" w:lineRule="auto"/>
        <w:rPr>
          <w:rFonts w:ascii="宋体" w:hAnsi="宋体"/>
          <w:lang w:eastAsia="zh-CN"/>
        </w:rPr>
      </w:pPr>
      <w:r>
        <w:rPr>
          <w:rFonts w:ascii="宋体" w:hAnsi="宋体" w:hint="eastAsia"/>
          <w:lang w:eastAsia="zh-CN"/>
        </w:rPr>
        <w:t>1、单价合同。</w:t>
      </w:r>
    </w:p>
    <w:p w14:paraId="5AB8DB2A">
      <w:pPr>
        <w:spacing w:line="360" w:lineRule="auto"/>
        <w:rPr>
          <w:rFonts w:ascii="宋体" w:hAnsi="宋体"/>
          <w:lang w:eastAsia="zh-CN"/>
        </w:rPr>
      </w:pPr>
      <w:r>
        <w:rPr>
          <w:rFonts w:ascii="宋体" w:hAnsi="宋体" w:hint="eastAsia"/>
          <w:lang w:eastAsia="zh-CN"/>
        </w:rPr>
        <w:t>综合单价包含的风险范围：</w:t>
      </w:r>
      <w:r>
        <w:rPr>
          <w:rFonts w:ascii="宋体" w:hAnsi="宋体" w:hint="eastAsia"/>
          <w:color w:val="00B0F0"/>
          <w:u w:val="single"/>
          <w:lang w:eastAsia="zh-CN"/>
        </w:rPr>
        <w:t xml:space="preserve">  工程量清单及图纸包含的全部内容  </w:t>
      </w:r>
      <w:r>
        <w:rPr>
          <w:rFonts w:ascii="宋体" w:hAnsi="宋体" w:hint="eastAsia"/>
          <w:lang w:eastAsia="zh-CN"/>
        </w:rPr>
        <w:t>。</w:t>
      </w:r>
    </w:p>
    <w:p w14:paraId="35521559">
      <w:pPr>
        <w:spacing w:line="360" w:lineRule="auto"/>
        <w:rPr>
          <w:rFonts w:ascii="宋体" w:hAnsi="宋体"/>
          <w:lang w:eastAsia="zh-CN"/>
        </w:rPr>
      </w:pPr>
      <w:r>
        <w:rPr>
          <w:rFonts w:ascii="宋体" w:hAnsi="宋体" w:hint="eastAsia"/>
          <w:lang w:eastAsia="zh-CN"/>
        </w:rPr>
        <w:t>风险费用的计算方法：</w:t>
      </w:r>
      <w:r>
        <w:rPr>
          <w:rFonts w:ascii="宋体" w:hAnsi="宋体" w:hint="eastAsia"/>
          <w:color w:val="00B0F0"/>
          <w:u w:val="single"/>
          <w:lang w:eastAsia="zh-CN"/>
        </w:rPr>
        <w:t xml:space="preserve">    /    </w:t>
      </w:r>
      <w:r>
        <w:rPr>
          <w:rFonts w:ascii="宋体" w:hAnsi="宋体" w:hint="eastAsia"/>
          <w:lang w:eastAsia="zh-CN"/>
        </w:rPr>
        <w:t>。</w:t>
      </w:r>
    </w:p>
    <w:p w14:paraId="3B04A4C3">
      <w:pPr>
        <w:spacing w:line="360" w:lineRule="auto"/>
        <w:rPr>
          <w:rFonts w:ascii="宋体" w:hAnsi="宋体" w:hint="eastAsia"/>
          <w:color w:val="00B0F0"/>
          <w:u w:val="single"/>
          <w:lang w:eastAsia="zh-CN"/>
        </w:rPr>
      </w:pPr>
      <w:r>
        <w:rPr>
          <w:rFonts w:ascii="宋体" w:hAnsi="宋体" w:hint="eastAsia"/>
          <w:lang w:eastAsia="zh-CN"/>
        </w:rPr>
        <w:t>风险范围以外合同价格的调整方法：</w:t>
      </w:r>
      <w:r>
        <w:rPr>
          <w:rFonts w:ascii="宋体" w:hAnsi="宋体" w:hint="eastAsia"/>
          <w:color w:val="00B0F0"/>
          <w:u w:val="single"/>
          <w:lang w:eastAsia="zh-CN"/>
        </w:rPr>
        <w:t xml:space="preserve">  一、合同价款中不包括的风险范围:</w:t>
      </w:r>
    </w:p>
    <w:p w14:paraId="2F682A54">
      <w:pPr>
        <w:spacing w:line="360" w:lineRule="auto"/>
        <w:rPr>
          <w:rFonts w:ascii="宋体" w:hAnsi="宋体" w:hint="eastAsia"/>
          <w:color w:val="00B0F0"/>
          <w:u w:val="single"/>
          <w:lang w:eastAsia="zh-CN"/>
        </w:rPr>
      </w:pPr>
      <w:r>
        <w:rPr>
          <w:rFonts w:ascii="宋体" w:hAnsi="宋体" w:hint="eastAsia"/>
          <w:color w:val="00B0F0"/>
          <w:u w:val="single"/>
          <w:lang w:eastAsia="zh-CN"/>
        </w:rPr>
        <w:t>(1)新增项目综合单价。乙方应在实施前三天报送甲方新增项目的报告及组价等相关资料，待甲方核实并回复后方可施工;新增项目综合单价按2020《四川省建设工程工程量清单计价定额》计价后，再按投标价与招标控制价的下浮比例进行下浮(暂定部分除外)。</w:t>
      </w:r>
    </w:p>
    <w:p w14:paraId="51297798">
      <w:pPr>
        <w:spacing w:line="360" w:lineRule="auto"/>
        <w:rPr>
          <w:rFonts w:ascii="宋体" w:hAnsi="宋体" w:hint="eastAsia"/>
          <w:color w:val="00B0F0"/>
          <w:u w:val="single"/>
          <w:lang w:eastAsia="zh-CN"/>
        </w:rPr>
      </w:pPr>
      <w:r>
        <w:rPr>
          <w:rFonts w:ascii="宋体" w:hAnsi="宋体" w:hint="eastAsia"/>
          <w:color w:val="00B0F0"/>
          <w:u w:val="single"/>
          <w:lang w:eastAsia="zh-CN"/>
        </w:rPr>
        <w:t>(2)新增材料单价。按施工同期信息价执行，信息上没有的应由甲、乙双方考察核实后方可实施。</w:t>
      </w:r>
    </w:p>
    <w:p w14:paraId="73FC216F">
      <w:pPr>
        <w:spacing w:line="360" w:lineRule="auto"/>
        <w:rPr>
          <w:rFonts w:ascii="宋体" w:hAnsi="宋体" w:hint="eastAsia"/>
          <w:color w:val="00B0F0"/>
          <w:u w:val="single"/>
          <w:lang w:eastAsia="zh-CN"/>
        </w:rPr>
      </w:pPr>
      <w:r>
        <w:rPr>
          <w:rFonts w:ascii="宋体" w:hAnsi="宋体" w:hint="eastAsia"/>
          <w:color w:val="00B0F0"/>
          <w:u w:val="single"/>
          <w:lang w:eastAsia="zh-CN"/>
        </w:rPr>
        <w:t>(3)设计变更及工程量增加应在发生7日前由承包方书面报送报告、方案、计价等相关资料，发包方同意后才实施，否则不予认可。</w:t>
      </w:r>
    </w:p>
    <w:p w14:paraId="4A3E571A">
      <w:pPr>
        <w:spacing w:line="360" w:lineRule="auto"/>
        <w:rPr>
          <w:rFonts w:ascii="宋体" w:hAnsi="宋体" w:hint="eastAsia"/>
          <w:color w:val="00B0F0"/>
          <w:u w:val="single"/>
          <w:lang w:eastAsia="zh-CN"/>
        </w:rPr>
      </w:pPr>
      <w:r>
        <w:rPr>
          <w:rFonts w:ascii="宋体" w:hAnsi="宋体" w:hint="eastAsia"/>
          <w:color w:val="00B0F0"/>
          <w:u w:val="single"/>
          <w:lang w:eastAsia="zh-CN"/>
        </w:rPr>
        <w:t>(4)甲方在收到完善的签证等资料后，7个工作日内予以回复。</w:t>
      </w:r>
    </w:p>
    <w:p w14:paraId="2475B6DC">
      <w:pPr>
        <w:spacing w:line="360" w:lineRule="auto"/>
        <w:rPr>
          <w:rFonts w:ascii="宋体" w:hAnsi="宋体" w:hint="eastAsia"/>
          <w:color w:val="00B0F0"/>
          <w:u w:val="single"/>
          <w:lang w:eastAsia="zh-CN"/>
        </w:rPr>
      </w:pPr>
      <w:r>
        <w:rPr>
          <w:rFonts w:ascii="宋体" w:hAnsi="宋体" w:hint="eastAsia"/>
          <w:color w:val="00B0F0"/>
          <w:u w:val="single"/>
          <w:lang w:eastAsia="zh-CN"/>
        </w:rPr>
        <w:t>(5)所有相关工程质量、安全、变更、方案、工程签证等乙方呈报资料应与工程进度同步。</w:t>
      </w:r>
    </w:p>
    <w:p w14:paraId="4057F0ED">
      <w:pPr>
        <w:spacing w:line="360" w:lineRule="auto"/>
        <w:rPr>
          <w:rFonts w:ascii="宋体" w:hAnsi="宋体" w:hint="eastAsia"/>
          <w:color w:val="00B0F0"/>
          <w:u w:val="single"/>
          <w:lang w:eastAsia="zh-CN"/>
        </w:rPr>
      </w:pPr>
      <w:r>
        <w:rPr>
          <w:rFonts w:ascii="宋体" w:hAnsi="宋体" w:hint="eastAsia"/>
          <w:color w:val="00B0F0"/>
          <w:u w:val="single"/>
          <w:lang w:eastAsia="zh-CN"/>
        </w:rPr>
        <w:t>(6)工程量清单中的工程量变动幅度在15%以上(含15%)，超过或减少后剩余部分工程量的综合单价调整。</w:t>
      </w:r>
    </w:p>
    <w:p w14:paraId="63F956BD">
      <w:pPr>
        <w:spacing w:line="360" w:lineRule="auto"/>
        <w:rPr>
          <w:rFonts w:ascii="宋体" w:hAnsi="宋体" w:hint="eastAsia"/>
          <w:color w:val="00B0F0"/>
          <w:u w:val="single"/>
          <w:lang w:eastAsia="zh-CN"/>
        </w:rPr>
      </w:pPr>
      <w:r>
        <w:rPr>
          <w:rFonts w:ascii="宋体" w:hAnsi="宋体" w:hint="eastAsia"/>
          <w:color w:val="00B0F0"/>
          <w:u w:val="single"/>
          <w:lang w:eastAsia="zh-CN"/>
        </w:rPr>
        <w:t>二、经业主和监理确认的重大设计产生的新增项目或工程量清单漏项项目变更的合同价款调整，工程量以实际为准，其综合单价确定方法如下:(1)工程量清单报价中已有适用于变更工程的价格，按工程量清单中己有的价格确定。</w:t>
      </w:r>
    </w:p>
    <w:p w14:paraId="64C3FC48">
      <w:pPr>
        <w:spacing w:line="360" w:lineRule="auto"/>
        <w:rPr>
          <w:rFonts w:ascii="宋体" w:hAnsi="宋体" w:hint="eastAsia"/>
          <w:color w:val="00B0F0"/>
          <w:u w:val="single"/>
          <w:lang w:eastAsia="zh-CN"/>
        </w:rPr>
      </w:pPr>
      <w:r>
        <w:rPr>
          <w:rFonts w:ascii="宋体" w:hAnsi="宋体" w:hint="eastAsia"/>
          <w:color w:val="00B0F0"/>
          <w:u w:val="single"/>
          <w:lang w:eastAsia="zh-CN"/>
        </w:rPr>
        <w:t>(2)工程量清单报价中只有类似于变更工程的价格，可参照类似价格确定。(施</w:t>
      </w:r>
    </w:p>
    <w:p w14:paraId="21479FB7">
      <w:pPr>
        <w:spacing w:line="360" w:lineRule="auto"/>
        <w:rPr>
          <w:rFonts w:ascii="宋体" w:hAnsi="宋体" w:hint="eastAsia"/>
          <w:color w:val="00B0F0"/>
          <w:u w:val="single"/>
          <w:lang w:eastAsia="zh-CN"/>
        </w:rPr>
      </w:pPr>
      <w:r>
        <w:rPr>
          <w:rFonts w:ascii="宋体" w:hAnsi="宋体" w:hint="eastAsia"/>
          <w:color w:val="00B0F0"/>
          <w:u w:val="single"/>
          <w:lang w:eastAsia="zh-CN"/>
        </w:rPr>
        <w:t>工工艺相关或定额号相同的执行类似价格)。</w:t>
      </w:r>
    </w:p>
    <w:p w14:paraId="06EF2156">
      <w:pPr>
        <w:spacing w:line="360" w:lineRule="auto"/>
        <w:rPr>
          <w:rFonts w:ascii="宋体" w:hAnsi="宋体" w:hint="eastAsia"/>
          <w:color w:val="00B0F0"/>
          <w:u w:val="single"/>
          <w:lang w:eastAsia="zh-CN"/>
        </w:rPr>
      </w:pPr>
      <w:r>
        <w:rPr>
          <w:rFonts w:ascii="宋体" w:hAnsi="宋体" w:hint="eastAsia"/>
          <w:color w:val="00B0F0"/>
          <w:u w:val="single"/>
          <w:lang w:eastAsia="zh-CN"/>
        </w:rPr>
        <w:t>(3)工程量清单报价中没有适用或类似于变更工程的价格，按照2020年《四川省建设工程工程量清单计价定额》及相关文件规定进行组价，再按投标价与招标控制</w:t>
      </w:r>
    </w:p>
    <w:p w14:paraId="4644E2E9">
      <w:pPr>
        <w:spacing w:line="360" w:lineRule="auto"/>
        <w:rPr>
          <w:rFonts w:ascii="宋体" w:hAnsi="宋体" w:hint="eastAsia"/>
          <w:color w:val="00B0F0"/>
          <w:u w:val="single"/>
          <w:lang w:eastAsia="zh-CN"/>
        </w:rPr>
      </w:pPr>
      <w:r>
        <w:rPr>
          <w:rFonts w:ascii="宋体" w:hAnsi="宋体" w:hint="eastAsia"/>
          <w:color w:val="00B0F0"/>
          <w:u w:val="single"/>
          <w:lang w:eastAsia="zh-CN"/>
        </w:rPr>
        <w:t>价的下浮比例进行下浮(暂定部分除外)。</w:t>
      </w:r>
    </w:p>
    <w:p w14:paraId="00257414">
      <w:pPr>
        <w:spacing w:line="360" w:lineRule="auto"/>
        <w:rPr>
          <w:rFonts w:ascii="宋体" w:hAnsi="宋体" w:hint="eastAsia"/>
          <w:color w:val="00B0F0"/>
          <w:u w:val="single"/>
          <w:lang w:eastAsia="zh-CN"/>
        </w:rPr>
      </w:pPr>
      <w:r>
        <w:rPr>
          <w:rFonts w:ascii="宋体" w:hAnsi="宋体" w:hint="eastAsia"/>
          <w:color w:val="00B0F0"/>
          <w:u w:val="single"/>
          <w:lang w:eastAsia="zh-CN"/>
        </w:rPr>
        <w:t>(4)新增的相应材料若投标文件中有相同的按照投标文件中相同材料的价格执行;投标报价上没有的材料价格，按施工同期《遂宁工程造价信息》的材料价格执行，若信息价也没有的材料则由承包人、监理人、发包人共同询价认可的价格执行。</w:t>
      </w:r>
    </w:p>
    <w:p w14:paraId="524C1D13">
      <w:pPr>
        <w:spacing w:line="360" w:lineRule="auto"/>
        <w:rPr>
          <w:rFonts w:ascii="宋体" w:hAnsi="宋体" w:hint="eastAsia"/>
          <w:color w:val="00B0F0"/>
          <w:u w:val="single"/>
          <w:lang w:eastAsia="zh-CN"/>
        </w:rPr>
      </w:pPr>
      <w:r>
        <w:rPr>
          <w:rFonts w:ascii="宋体" w:hAnsi="宋体" w:hint="eastAsia"/>
          <w:color w:val="00B0F0"/>
          <w:u w:val="single"/>
          <w:lang w:eastAsia="zh-CN"/>
        </w:rPr>
        <w:t>(5)发包人有权取消或增加工程内容和范围的权利，承包人必须无条件服从，对取消的工程内容按投标报价清单的单价和实际取消的工程量扣减合同价款，增加的工程内容按照新增或变更项目处理。承包人应充分考虑此风险，不得因此提出索赔。</w:t>
      </w:r>
    </w:p>
    <w:p w14:paraId="59B92365">
      <w:pPr>
        <w:spacing w:line="360" w:lineRule="auto"/>
        <w:rPr>
          <w:rFonts w:ascii="宋体" w:hAnsi="宋体"/>
          <w:lang w:eastAsia="zh-CN"/>
        </w:rPr>
      </w:pPr>
      <w:r>
        <w:rPr>
          <w:rFonts w:ascii="宋体" w:hAnsi="宋体" w:hint="eastAsia"/>
          <w:color w:val="00B0F0"/>
          <w:u w:val="single"/>
          <w:lang w:eastAsia="zh-CN"/>
        </w:rPr>
        <w:t xml:space="preserve">三、措施费用调整范围及计算方法:无论实际完成工程量与清单量相比增加或减少，措施项目(除模板和脚手架费用按实际完成量调整及安全文明施工费按规定计取外)包干使用均不作调整    </w:t>
      </w:r>
      <w:r>
        <w:rPr>
          <w:rFonts w:ascii="宋体" w:hAnsi="宋体" w:hint="eastAsia"/>
          <w:lang w:eastAsia="zh-CN"/>
        </w:rPr>
        <w:t>。</w:t>
      </w:r>
    </w:p>
    <w:p w14:paraId="4835349A">
      <w:pPr>
        <w:spacing w:line="360" w:lineRule="auto"/>
        <w:rPr>
          <w:rFonts w:ascii="宋体" w:hAnsi="宋体"/>
          <w:lang w:eastAsia="zh-CN"/>
        </w:rPr>
      </w:pPr>
      <w:r>
        <w:rPr>
          <w:rFonts w:ascii="宋体" w:hAnsi="宋体" w:hint="eastAsia"/>
          <w:lang w:eastAsia="zh-CN"/>
        </w:rPr>
        <w:t>2、总价合同。</w:t>
      </w:r>
    </w:p>
    <w:p w14:paraId="0387F318">
      <w:pPr>
        <w:spacing w:line="360" w:lineRule="auto"/>
        <w:rPr>
          <w:rFonts w:ascii="宋体" w:hAnsi="宋体"/>
          <w:lang w:eastAsia="zh-CN"/>
        </w:rPr>
      </w:pPr>
      <w:r>
        <w:rPr>
          <w:rFonts w:ascii="宋体" w:hAnsi="宋体" w:hint="eastAsia"/>
          <w:lang w:eastAsia="zh-CN"/>
        </w:rPr>
        <w:t>总价包含的风险范围：</w:t>
      </w:r>
      <w:r>
        <w:rPr>
          <w:rFonts w:ascii="宋体" w:hAnsi="宋体" w:hint="eastAsia"/>
          <w:color w:val="00B0F0"/>
          <w:u w:val="single"/>
          <w:lang w:eastAsia="zh-CN"/>
        </w:rPr>
        <w:t xml:space="preserve">   /       </w:t>
      </w:r>
      <w:r>
        <w:rPr>
          <w:rFonts w:ascii="宋体" w:hAnsi="宋体" w:hint="eastAsia"/>
          <w:lang w:eastAsia="zh-CN"/>
        </w:rPr>
        <w:t>。</w:t>
      </w:r>
    </w:p>
    <w:p w14:paraId="1D3C279D">
      <w:pPr>
        <w:spacing w:line="360" w:lineRule="auto"/>
        <w:rPr>
          <w:rFonts w:ascii="宋体" w:hAnsi="宋体"/>
          <w:lang w:eastAsia="zh-CN"/>
        </w:rPr>
      </w:pPr>
      <w:r>
        <w:rPr>
          <w:rFonts w:ascii="宋体" w:hAnsi="宋体" w:hint="eastAsia"/>
          <w:lang w:eastAsia="zh-CN"/>
        </w:rPr>
        <w:t>风险费用的计算方法：</w:t>
      </w:r>
      <w:r>
        <w:rPr>
          <w:rFonts w:ascii="宋体" w:hAnsi="宋体" w:hint="eastAsia"/>
          <w:color w:val="00B0F0"/>
          <w:u w:val="single"/>
          <w:lang w:eastAsia="zh-CN"/>
        </w:rPr>
        <w:t xml:space="preserve">  /           </w:t>
      </w:r>
      <w:r>
        <w:rPr>
          <w:rFonts w:ascii="宋体" w:hAnsi="宋体" w:hint="eastAsia"/>
          <w:lang w:eastAsia="zh-CN"/>
        </w:rPr>
        <w:t>。</w:t>
      </w:r>
    </w:p>
    <w:p w14:paraId="589E8339">
      <w:pPr>
        <w:spacing w:line="360" w:lineRule="auto"/>
        <w:rPr>
          <w:rFonts w:ascii="宋体" w:hAnsi="宋体"/>
          <w:lang w:eastAsia="zh-CN"/>
        </w:rPr>
      </w:pPr>
      <w:r>
        <w:rPr>
          <w:rFonts w:ascii="宋体" w:hAnsi="宋体" w:hint="eastAsia"/>
          <w:lang w:eastAsia="zh-CN"/>
        </w:rPr>
        <w:t>风险范围以外合同价格的调整方法：</w:t>
      </w:r>
      <w:r>
        <w:rPr>
          <w:rFonts w:ascii="宋体" w:hAnsi="宋体" w:hint="eastAsia"/>
          <w:color w:val="00B0F0"/>
          <w:u w:val="single"/>
          <w:lang w:eastAsia="zh-CN"/>
        </w:rPr>
        <w:t xml:space="preserve">   /    </w:t>
      </w:r>
      <w:r>
        <w:rPr>
          <w:rFonts w:ascii="宋体" w:hAnsi="宋体" w:hint="eastAsia"/>
          <w:lang w:eastAsia="zh-CN"/>
        </w:rPr>
        <w:t>。</w:t>
      </w:r>
    </w:p>
    <w:p w14:paraId="3C57DEFA">
      <w:pPr>
        <w:spacing w:line="360" w:lineRule="auto"/>
        <w:rPr>
          <w:rFonts w:ascii="宋体" w:hAnsi="宋体"/>
          <w:lang w:eastAsia="zh-CN"/>
        </w:rPr>
      </w:pPr>
      <w:r>
        <w:rPr>
          <w:rFonts w:ascii="宋体" w:hAnsi="宋体" w:hint="eastAsia"/>
          <w:lang w:eastAsia="zh-CN"/>
        </w:rPr>
        <w:t>3、其他价格方式：</w:t>
      </w:r>
      <w:r>
        <w:rPr>
          <w:rFonts w:ascii="宋体" w:hAnsi="宋体" w:hint="eastAsia"/>
          <w:color w:val="00B0F0"/>
          <w:u w:val="single"/>
          <w:lang w:eastAsia="zh-CN"/>
        </w:rPr>
        <w:t xml:space="preserve">    /     </w:t>
      </w:r>
      <w:r>
        <w:rPr>
          <w:rFonts w:ascii="宋体" w:hAnsi="宋体" w:hint="eastAsia"/>
          <w:lang w:eastAsia="zh-CN"/>
        </w:rPr>
        <w:t>。</w:t>
      </w:r>
    </w:p>
    <w:p w14:paraId="7B62278E">
      <w:pPr>
        <w:spacing w:line="360" w:lineRule="auto"/>
        <w:rPr>
          <w:rFonts w:ascii="宋体" w:hAnsi="宋体"/>
          <w:lang w:eastAsia="zh-CN"/>
        </w:rPr>
      </w:pPr>
      <w:bookmarkStart w:id="955" w:name="_Toc297216213"/>
      <w:bookmarkStart w:id="956" w:name="_Toc304295581"/>
      <w:bookmarkStart w:id="957" w:name="_Toc300935004"/>
      <w:bookmarkStart w:id="958" w:name="_Toc303539161"/>
      <w:bookmarkStart w:id="959" w:name="_Toc297123554"/>
      <w:bookmarkStart w:id="960" w:name="_Toc312678042"/>
      <w:bookmarkStart w:id="961" w:name="_Toc296944546"/>
      <w:bookmarkStart w:id="962" w:name="_Toc292559412"/>
      <w:bookmarkStart w:id="963" w:name="_Toc297048393"/>
      <w:bookmarkStart w:id="964" w:name="_Toc297120507"/>
      <w:bookmarkStart w:id="965" w:name="_Toc296347206"/>
      <w:bookmarkStart w:id="966" w:name="_Toc296891035"/>
      <w:bookmarkStart w:id="967" w:name="_Toc296346708"/>
      <w:bookmarkStart w:id="968" w:name="_Toc296503207"/>
      <w:bookmarkStart w:id="969" w:name="_Toc292559917"/>
      <w:bookmarkStart w:id="970" w:name="_Toc296891247"/>
      <w:r>
        <w:rPr>
          <w:rFonts w:ascii="宋体" w:hAnsi="宋体" w:hint="eastAsia"/>
          <w:lang w:eastAsia="zh-CN"/>
        </w:rPr>
        <w:t>12.2 预付款</w:t>
      </w:r>
    </w:p>
    <w:bookmarkEnd w:id="955"/>
    <w:bookmarkEnd w:id="956"/>
    <w:bookmarkEnd w:id="957"/>
    <w:bookmarkEnd w:id="958"/>
    <w:bookmarkEnd w:id="959"/>
    <w:bookmarkEnd w:id="960"/>
    <w:p w14:paraId="079385C9">
      <w:pPr>
        <w:spacing w:line="360" w:lineRule="auto"/>
        <w:rPr>
          <w:rFonts w:ascii="宋体" w:hAnsi="宋体"/>
          <w:lang w:eastAsia="zh-CN"/>
        </w:rPr>
      </w:pPr>
      <w:r>
        <w:rPr>
          <w:rFonts w:ascii="宋体" w:hAnsi="宋体" w:hint="eastAsia"/>
          <w:lang w:eastAsia="zh-CN"/>
        </w:rPr>
        <w:t>12.2.1 预付款的支付</w:t>
      </w:r>
    </w:p>
    <w:p w14:paraId="7AED4C5B">
      <w:pPr>
        <w:spacing w:line="360" w:lineRule="auto"/>
        <w:rPr>
          <w:rFonts w:ascii="宋体" w:hAnsi="宋体" w:hint="eastAsia"/>
          <w:color w:val="00B0F0"/>
          <w:u w:val="single"/>
          <w:lang w:eastAsia="zh-CN"/>
        </w:rPr>
      </w:pPr>
      <w:r>
        <w:rPr>
          <w:rFonts w:ascii="宋体" w:hAnsi="宋体" w:hint="eastAsia"/>
          <w:lang w:eastAsia="zh-CN"/>
        </w:rPr>
        <w:t>预付款支付比例或金额：</w:t>
      </w:r>
      <w:r>
        <w:rPr>
          <w:rFonts w:ascii="宋体" w:hAnsi="宋体" w:hint="eastAsia"/>
          <w:color w:val="00B0F0"/>
          <w:u w:val="single"/>
          <w:lang w:eastAsia="zh-CN"/>
        </w:rPr>
        <w:t xml:space="preserve">   10%(扣除暂估价和暂列金额部分后)(其中预付款的28%</w:t>
      </w:r>
    </w:p>
    <w:p w14:paraId="5CEEFAB0">
      <w:pPr>
        <w:spacing w:line="360" w:lineRule="auto"/>
        <w:rPr>
          <w:rFonts w:ascii="宋体" w:hAnsi="宋体"/>
          <w:lang w:eastAsia="zh-CN"/>
        </w:rPr>
      </w:pPr>
      <w:r>
        <w:rPr>
          <w:rFonts w:ascii="宋体" w:hAnsi="宋体" w:hint="eastAsia"/>
          <w:color w:val="00B0F0"/>
          <w:u w:val="single"/>
          <w:lang w:eastAsia="zh-CN"/>
        </w:rPr>
        <w:t xml:space="preserve">支付至农民工工资专用账户)    </w:t>
      </w:r>
      <w:r>
        <w:rPr>
          <w:rFonts w:ascii="宋体" w:hAnsi="宋体" w:hint="eastAsia"/>
          <w:lang w:eastAsia="zh-CN"/>
        </w:rPr>
        <w:t>。</w:t>
      </w:r>
    </w:p>
    <w:p w14:paraId="2B462068">
      <w:pPr>
        <w:spacing w:line="360" w:lineRule="auto"/>
        <w:rPr>
          <w:rFonts w:ascii="宋体" w:hAnsi="宋体"/>
          <w:lang w:eastAsia="zh-CN"/>
        </w:rPr>
      </w:pPr>
      <w:r>
        <w:rPr>
          <w:rFonts w:ascii="宋体" w:hAnsi="宋体" w:hint="eastAsia"/>
          <w:lang w:eastAsia="zh-CN"/>
        </w:rPr>
        <w:t>预付款支付期限：</w:t>
      </w:r>
      <w:r>
        <w:rPr>
          <w:rFonts w:ascii="宋体" w:hAnsi="宋体" w:hint="eastAsia"/>
          <w:color w:val="00B0F0"/>
          <w:u w:val="single"/>
          <w:lang w:eastAsia="zh-CN"/>
        </w:rPr>
        <w:t xml:space="preserve">   合同签订后30日内     </w:t>
      </w:r>
      <w:r>
        <w:rPr>
          <w:rFonts w:ascii="宋体" w:hAnsi="宋体" w:hint="eastAsia"/>
          <w:lang w:eastAsia="zh-CN"/>
        </w:rPr>
        <w:t>。</w:t>
      </w:r>
    </w:p>
    <w:p w14:paraId="002A0E3C">
      <w:pPr>
        <w:spacing w:line="360" w:lineRule="auto"/>
        <w:rPr>
          <w:rFonts w:ascii="宋体" w:hAnsi="宋体"/>
          <w:lang w:eastAsia="zh-CN"/>
        </w:rPr>
      </w:pPr>
      <w:r>
        <w:rPr>
          <w:rFonts w:ascii="宋体" w:hAnsi="宋体" w:hint="eastAsia"/>
          <w:lang w:eastAsia="zh-CN"/>
        </w:rPr>
        <w:t>预付款扣回的方式：</w:t>
      </w:r>
      <w:r>
        <w:rPr>
          <w:rFonts w:ascii="宋体" w:hAnsi="宋体" w:hint="eastAsia"/>
          <w:color w:val="00B0F0"/>
          <w:u w:val="single"/>
          <w:lang w:eastAsia="zh-CN"/>
        </w:rPr>
        <w:t xml:space="preserve">   前三次等额扣回     </w:t>
      </w:r>
      <w:r>
        <w:rPr>
          <w:rFonts w:ascii="宋体" w:hAnsi="宋体" w:hint="eastAsia"/>
          <w:lang w:eastAsia="zh-CN"/>
        </w:rPr>
        <w:t>。</w:t>
      </w:r>
    </w:p>
    <w:p w14:paraId="4819114F">
      <w:pPr>
        <w:spacing w:line="360" w:lineRule="auto"/>
        <w:rPr>
          <w:rFonts w:ascii="宋体" w:hAnsi="宋体"/>
          <w:lang w:eastAsia="zh-CN"/>
        </w:rPr>
      </w:pPr>
      <w:r>
        <w:rPr>
          <w:rFonts w:ascii="宋体" w:hAnsi="宋体" w:hint="eastAsia"/>
          <w:lang w:eastAsia="zh-CN"/>
        </w:rPr>
        <w:t>12.2.2 预付款担保</w:t>
      </w:r>
    </w:p>
    <w:p w14:paraId="50F08F7D">
      <w:pPr>
        <w:spacing w:line="360" w:lineRule="auto"/>
        <w:rPr>
          <w:rFonts w:ascii="宋体" w:hAnsi="宋体"/>
          <w:lang w:eastAsia="zh-CN"/>
        </w:rPr>
      </w:pPr>
      <w:r>
        <w:rPr>
          <w:rFonts w:ascii="宋体" w:hAnsi="宋体" w:hint="eastAsia"/>
          <w:lang w:eastAsia="zh-CN"/>
        </w:rPr>
        <w:t>承包人提交预付款担保的期限：</w:t>
      </w:r>
      <w:r>
        <w:rPr>
          <w:rFonts w:ascii="宋体" w:hAnsi="宋体" w:hint="eastAsia"/>
          <w:color w:val="00B0F0"/>
          <w:u w:val="single"/>
          <w:lang w:eastAsia="zh-CN"/>
        </w:rPr>
        <w:t xml:space="preserve">  /   </w:t>
      </w:r>
      <w:r>
        <w:rPr>
          <w:rFonts w:ascii="宋体" w:hAnsi="宋体" w:hint="eastAsia"/>
          <w:lang w:eastAsia="zh-CN"/>
        </w:rPr>
        <w:t>。</w:t>
      </w:r>
    </w:p>
    <w:p w14:paraId="125971D9">
      <w:pPr>
        <w:spacing w:line="360" w:lineRule="auto"/>
        <w:rPr>
          <w:rFonts w:ascii="宋体" w:hAnsi="宋体"/>
          <w:lang w:eastAsia="zh-CN"/>
        </w:rPr>
      </w:pPr>
      <w:r>
        <w:rPr>
          <w:rFonts w:ascii="宋体" w:hAnsi="宋体" w:hint="eastAsia"/>
          <w:lang w:eastAsia="zh-CN"/>
        </w:rPr>
        <w:t>预付款担保的形式为：</w:t>
      </w:r>
      <w:r>
        <w:rPr>
          <w:rFonts w:ascii="宋体" w:hAnsi="宋体" w:hint="eastAsia"/>
          <w:color w:val="00B0F0"/>
          <w:u w:val="single"/>
          <w:lang w:eastAsia="zh-CN"/>
        </w:rPr>
        <w:t xml:space="preserve">   /   </w:t>
      </w:r>
      <w:r>
        <w:rPr>
          <w:rFonts w:ascii="宋体" w:hAnsi="宋体" w:hint="eastAsia"/>
          <w:lang w:eastAsia="zh-CN"/>
        </w:rPr>
        <w:t>。</w:t>
      </w:r>
    </w:p>
    <w:bookmarkEnd w:id="961"/>
    <w:bookmarkEnd w:id="962"/>
    <w:bookmarkEnd w:id="963"/>
    <w:bookmarkEnd w:id="964"/>
    <w:bookmarkEnd w:id="965"/>
    <w:bookmarkEnd w:id="966"/>
    <w:bookmarkEnd w:id="967"/>
    <w:bookmarkEnd w:id="968"/>
    <w:bookmarkEnd w:id="969"/>
    <w:bookmarkEnd w:id="970"/>
    <w:p w14:paraId="185E5065">
      <w:pPr>
        <w:spacing w:line="360" w:lineRule="auto"/>
        <w:rPr>
          <w:rFonts w:ascii="宋体" w:hAnsi="宋体"/>
          <w:lang w:eastAsia="zh-CN"/>
        </w:rPr>
      </w:pPr>
      <w:r>
        <w:rPr>
          <w:rFonts w:ascii="宋体" w:hAnsi="宋体" w:hint="eastAsia"/>
          <w:lang w:eastAsia="zh-CN"/>
        </w:rPr>
        <w:t>12.3 计量</w:t>
      </w:r>
    </w:p>
    <w:p w14:paraId="1ACFFF5A">
      <w:pPr>
        <w:spacing w:line="360" w:lineRule="auto"/>
        <w:rPr>
          <w:rFonts w:ascii="宋体" w:hAnsi="宋体"/>
          <w:lang w:eastAsia="zh-CN"/>
        </w:rPr>
      </w:pPr>
      <w:r>
        <w:rPr>
          <w:rFonts w:ascii="宋体" w:hAnsi="宋体" w:hint="eastAsia"/>
          <w:lang w:eastAsia="zh-CN"/>
        </w:rPr>
        <w:t>12.3.1 计量原则</w:t>
      </w:r>
    </w:p>
    <w:p w14:paraId="28B709E0">
      <w:pPr>
        <w:spacing w:line="360" w:lineRule="auto"/>
        <w:rPr>
          <w:rFonts w:ascii="宋体" w:hAnsi="宋体"/>
          <w:lang w:eastAsia="zh-CN"/>
        </w:rPr>
      </w:pPr>
      <w:r>
        <w:rPr>
          <w:rFonts w:ascii="宋体" w:hAnsi="宋体" w:hint="eastAsia"/>
          <w:lang w:eastAsia="zh-CN"/>
        </w:rPr>
        <w:t>工程量计算规则：</w:t>
      </w:r>
      <w:r>
        <w:rPr>
          <w:rFonts w:ascii="宋体" w:hAnsi="宋体" w:hint="eastAsia"/>
          <w:color w:val="00B0F0"/>
          <w:u w:val="single"/>
          <w:lang w:eastAsia="zh-CN"/>
        </w:rPr>
        <w:t xml:space="preserve">  承包人实际完成的工程量按《建设工程工程量清单计价规范》(GB50500-2013)中规定的工程量计算规则和有合同约束力的图纸进行计量 </w:t>
      </w:r>
      <w:r>
        <w:rPr>
          <w:rFonts w:ascii="宋体" w:hAnsi="宋体" w:hint="eastAsia"/>
          <w:lang w:eastAsia="zh-CN"/>
        </w:rPr>
        <w:t>。</w:t>
      </w:r>
    </w:p>
    <w:p w14:paraId="6060DF61">
      <w:pPr>
        <w:spacing w:line="360" w:lineRule="auto"/>
        <w:rPr>
          <w:rFonts w:ascii="宋体" w:hAnsi="宋体"/>
          <w:lang w:eastAsia="zh-CN"/>
        </w:rPr>
      </w:pPr>
      <w:r>
        <w:rPr>
          <w:rFonts w:ascii="宋体" w:hAnsi="宋体" w:hint="eastAsia"/>
          <w:lang w:eastAsia="zh-CN"/>
        </w:rPr>
        <w:t>12.3.2 计量周期</w:t>
      </w:r>
    </w:p>
    <w:p w14:paraId="30F93725">
      <w:pPr>
        <w:spacing w:line="360" w:lineRule="auto"/>
        <w:rPr>
          <w:rFonts w:ascii="宋体" w:hAnsi="宋体"/>
          <w:lang w:eastAsia="zh-CN"/>
        </w:rPr>
      </w:pPr>
      <w:r>
        <w:rPr>
          <w:rFonts w:ascii="宋体" w:hAnsi="宋体" w:hint="eastAsia"/>
          <w:lang w:eastAsia="zh-CN"/>
        </w:rPr>
        <w:t>关于计量周期的约定：</w:t>
      </w:r>
      <w:r>
        <w:rPr>
          <w:rFonts w:ascii="宋体" w:hAnsi="宋体" w:hint="eastAsia"/>
          <w:color w:val="00B0F0"/>
          <w:u w:val="single"/>
          <w:lang w:eastAsia="zh-CN"/>
        </w:rPr>
        <w:t xml:space="preserve"> 按月计量     </w:t>
      </w:r>
      <w:r>
        <w:rPr>
          <w:rFonts w:ascii="宋体" w:hAnsi="宋体" w:hint="eastAsia"/>
          <w:lang w:eastAsia="zh-CN"/>
        </w:rPr>
        <w:t>。</w:t>
      </w:r>
    </w:p>
    <w:p w14:paraId="6EB7D63D">
      <w:pPr>
        <w:spacing w:line="360" w:lineRule="auto"/>
        <w:rPr>
          <w:rFonts w:ascii="宋体" w:hAnsi="宋体"/>
          <w:lang w:eastAsia="zh-CN"/>
        </w:rPr>
      </w:pPr>
      <w:r>
        <w:rPr>
          <w:rFonts w:ascii="宋体" w:hAnsi="宋体" w:hint="eastAsia"/>
          <w:lang w:eastAsia="zh-CN"/>
        </w:rPr>
        <w:t>12.3.3 单价合同的计量</w:t>
      </w:r>
    </w:p>
    <w:p w14:paraId="15D46F4C">
      <w:pPr>
        <w:spacing w:line="360" w:lineRule="auto"/>
        <w:rPr>
          <w:rFonts w:ascii="宋体" w:hAnsi="宋体"/>
          <w:lang w:eastAsia="zh-CN"/>
        </w:rPr>
      </w:pPr>
      <w:r>
        <w:rPr>
          <w:rFonts w:ascii="宋体" w:hAnsi="宋体" w:hint="eastAsia"/>
          <w:lang w:eastAsia="zh-CN"/>
        </w:rPr>
        <w:t>关于单价合同计量的约定：</w:t>
      </w:r>
      <w:r>
        <w:rPr>
          <w:rFonts w:ascii="宋体" w:hAnsi="宋体" w:hint="eastAsia"/>
          <w:color w:val="00B0F0"/>
          <w:u w:val="single"/>
          <w:lang w:eastAsia="zh-CN"/>
        </w:rPr>
        <w:t xml:space="preserve"> 按通用合同条款执行  </w:t>
      </w:r>
      <w:r>
        <w:rPr>
          <w:rFonts w:ascii="宋体" w:hAnsi="宋体" w:hint="eastAsia"/>
          <w:lang w:eastAsia="zh-CN"/>
        </w:rPr>
        <w:t>。</w:t>
      </w:r>
    </w:p>
    <w:p w14:paraId="0DE3D3E5">
      <w:pPr>
        <w:spacing w:line="360" w:lineRule="auto"/>
        <w:rPr>
          <w:rFonts w:ascii="宋体" w:hAnsi="宋体"/>
          <w:lang w:eastAsia="zh-CN"/>
        </w:rPr>
      </w:pPr>
      <w:r>
        <w:rPr>
          <w:rFonts w:ascii="宋体" w:hAnsi="宋体" w:hint="eastAsia"/>
          <w:lang w:eastAsia="zh-CN"/>
        </w:rPr>
        <w:t>12.3.4 总价合同的计量</w:t>
      </w:r>
    </w:p>
    <w:p w14:paraId="24F79A6C">
      <w:pPr>
        <w:spacing w:line="360" w:lineRule="auto"/>
        <w:rPr>
          <w:rFonts w:ascii="宋体" w:hAnsi="宋体"/>
          <w:lang w:eastAsia="zh-CN"/>
        </w:rPr>
      </w:pPr>
      <w:r>
        <w:rPr>
          <w:rFonts w:ascii="宋体" w:hAnsi="宋体" w:hint="eastAsia"/>
          <w:lang w:eastAsia="zh-CN"/>
        </w:rPr>
        <w:t>关于总价合同计量的约定：</w:t>
      </w:r>
      <w:r>
        <w:rPr>
          <w:rFonts w:ascii="宋体" w:hAnsi="宋体" w:hint="eastAsia"/>
          <w:color w:val="00B0F0"/>
          <w:u w:val="single"/>
          <w:lang w:eastAsia="zh-CN"/>
        </w:rPr>
        <w:t xml:space="preserve">   /     </w:t>
      </w:r>
      <w:r>
        <w:rPr>
          <w:rFonts w:ascii="宋体" w:hAnsi="宋体" w:hint="eastAsia"/>
          <w:lang w:eastAsia="zh-CN"/>
        </w:rPr>
        <w:t>。</w:t>
      </w:r>
    </w:p>
    <w:p w14:paraId="244C8A69">
      <w:pPr>
        <w:spacing w:line="360" w:lineRule="auto"/>
        <w:rPr>
          <w:rFonts w:ascii="宋体" w:hAnsi="宋体"/>
          <w:lang w:eastAsia="zh-CN"/>
        </w:rPr>
      </w:pPr>
      <w:r>
        <w:rPr>
          <w:rFonts w:ascii="宋体" w:hAnsi="宋体" w:hint="eastAsia"/>
          <w:lang w:eastAsia="zh-CN"/>
        </w:rPr>
        <w:t>12.3.5总价合同采用支付分解表计量支付的，是否适用第12.3.4 项〔总价合同的计量〕约定进行计量：</w:t>
      </w:r>
      <w:r>
        <w:rPr>
          <w:rFonts w:ascii="宋体" w:hAnsi="宋体" w:hint="eastAsia"/>
          <w:color w:val="00B0F0"/>
          <w:u w:val="single"/>
          <w:lang w:eastAsia="zh-CN"/>
        </w:rPr>
        <w:t xml:space="preserve">     /       </w:t>
      </w:r>
      <w:r>
        <w:rPr>
          <w:rFonts w:ascii="宋体" w:hAnsi="宋体" w:hint="eastAsia"/>
          <w:lang w:eastAsia="zh-CN"/>
        </w:rPr>
        <w:t>。</w:t>
      </w:r>
    </w:p>
    <w:p w14:paraId="7DAA10D7">
      <w:pPr>
        <w:spacing w:line="360" w:lineRule="auto"/>
        <w:rPr>
          <w:rFonts w:ascii="宋体" w:hAnsi="宋体"/>
          <w:lang w:eastAsia="zh-CN"/>
        </w:rPr>
      </w:pPr>
      <w:r>
        <w:rPr>
          <w:rFonts w:ascii="宋体" w:hAnsi="宋体" w:hint="eastAsia"/>
          <w:lang w:eastAsia="zh-CN"/>
        </w:rPr>
        <w:t>12.3.6 其他价格形式合同的计量</w:t>
      </w:r>
    </w:p>
    <w:p w14:paraId="622FC5CF">
      <w:pPr>
        <w:spacing w:line="360" w:lineRule="auto"/>
        <w:rPr>
          <w:rFonts w:ascii="宋体" w:hAnsi="宋体"/>
          <w:lang w:eastAsia="zh-CN"/>
        </w:rPr>
      </w:pPr>
      <w:r>
        <w:rPr>
          <w:rFonts w:ascii="宋体" w:hAnsi="宋体" w:hint="eastAsia"/>
          <w:lang w:eastAsia="zh-CN"/>
        </w:rPr>
        <w:t>其他价格形式的计量方式和程序：</w:t>
      </w:r>
      <w:r>
        <w:rPr>
          <w:rFonts w:ascii="宋体" w:hAnsi="宋体" w:hint="eastAsia"/>
          <w:color w:val="00B0F0"/>
          <w:u w:val="single"/>
          <w:lang w:eastAsia="zh-CN"/>
        </w:rPr>
        <w:t xml:space="preserve">   /           </w:t>
      </w:r>
      <w:r>
        <w:rPr>
          <w:rFonts w:ascii="宋体" w:hAnsi="宋体" w:hint="eastAsia"/>
          <w:lang w:eastAsia="zh-CN"/>
        </w:rPr>
        <w:t>。</w:t>
      </w:r>
    </w:p>
    <w:p w14:paraId="34BC35BA">
      <w:pPr>
        <w:spacing w:line="360" w:lineRule="auto"/>
        <w:rPr>
          <w:rFonts w:ascii="宋体" w:hAnsi="宋体"/>
          <w:lang w:eastAsia="zh-CN"/>
        </w:rPr>
      </w:pPr>
      <w:r>
        <w:rPr>
          <w:rFonts w:ascii="宋体" w:hAnsi="宋体" w:hint="eastAsia"/>
          <w:lang w:eastAsia="zh-CN"/>
        </w:rPr>
        <w:t>12.4 工程进度款支付</w:t>
      </w:r>
    </w:p>
    <w:p w14:paraId="150AB4CF">
      <w:pPr>
        <w:spacing w:line="360" w:lineRule="auto"/>
        <w:rPr>
          <w:rFonts w:ascii="宋体" w:hAnsi="宋体"/>
          <w:lang w:eastAsia="zh-CN"/>
        </w:rPr>
      </w:pPr>
      <w:bookmarkStart w:id="971" w:name="_Toc297120511"/>
      <w:bookmarkStart w:id="972" w:name="_Toc297216215"/>
      <w:bookmarkStart w:id="973" w:name="_Toc296944550"/>
      <w:bookmarkStart w:id="974" w:name="_Toc297123556"/>
      <w:bookmarkStart w:id="975" w:name="_Toc296503211"/>
      <w:bookmarkStart w:id="976" w:name="_Toc296891039"/>
      <w:bookmarkStart w:id="977" w:name="_Toc300935006"/>
      <w:bookmarkStart w:id="978" w:name="_Toc297048397"/>
      <w:bookmarkStart w:id="979" w:name="_Toc303539163"/>
      <w:bookmarkStart w:id="980" w:name="_Toc296891251"/>
      <w:bookmarkStart w:id="981" w:name="_Toc296346712"/>
      <w:bookmarkStart w:id="982" w:name="_Toc292559416"/>
      <w:bookmarkStart w:id="983" w:name="_Toc296347210"/>
      <w:bookmarkStart w:id="984" w:name="_Toc292559921"/>
      <w:r>
        <w:rPr>
          <w:rFonts w:ascii="宋体" w:hAnsi="宋体" w:hint="eastAsia"/>
          <w:lang w:eastAsia="zh-CN"/>
        </w:rPr>
        <w:t>12.4.1 付款周期</w:t>
      </w:r>
    </w:p>
    <w:p w14:paraId="25C912BE">
      <w:pPr>
        <w:spacing w:line="360" w:lineRule="auto"/>
        <w:rPr>
          <w:rFonts w:ascii="宋体" w:hAnsi="宋体" w:hint="eastAsia"/>
          <w:color w:val="00B0F0"/>
          <w:u w:val="single"/>
          <w:lang w:eastAsia="zh-CN"/>
        </w:rPr>
      </w:pPr>
      <w:r>
        <w:rPr>
          <w:rFonts w:ascii="宋体" w:hAnsi="宋体" w:hint="eastAsia"/>
          <w:lang w:eastAsia="zh-CN"/>
        </w:rPr>
        <w:t>关于付款周期的约定：</w:t>
      </w:r>
      <w:r>
        <w:rPr>
          <w:rFonts w:ascii="宋体" w:hAnsi="宋体" w:hint="eastAsia"/>
          <w:color w:val="00B0F0"/>
          <w:u w:val="single"/>
          <w:lang w:eastAsia="zh-CN"/>
        </w:rPr>
        <w:t xml:space="preserve">  合同签订后30日内支付预付款，工程完成总工程量的30%，</w:t>
      </w:r>
    </w:p>
    <w:p w14:paraId="1ACDF031">
      <w:pPr>
        <w:spacing w:line="360" w:lineRule="auto"/>
        <w:rPr>
          <w:rFonts w:ascii="宋体" w:hAnsi="宋体" w:hint="eastAsia"/>
          <w:color w:val="00B0F0"/>
          <w:u w:val="single"/>
          <w:lang w:eastAsia="zh-CN"/>
        </w:rPr>
      </w:pPr>
      <w:r>
        <w:rPr>
          <w:rFonts w:ascii="宋体" w:hAnsi="宋体" w:hint="eastAsia"/>
          <w:color w:val="00B0F0"/>
          <w:u w:val="single"/>
          <w:lang w:eastAsia="zh-CN"/>
        </w:rPr>
        <w:t>支付至已完工程量的80%;工程完成总工程量的50%，支付至已完工程量的80%;工程完成总工程量的80%，支付至已完工程量的80%;全部工程竣工验收合格后支付至已完工程量的80%，政府部门复审结束且向发包人移交符合要求的完整竣工资料后三个月内付余款(3%的质保金除外)。(未支付部分不计息)。承包人工程资料必须与工程进度同步，如承包人按进度未完善资料(法律法规及相关规范和业主要求的资料)，视为未完成工程进度，发包人有权不予拨付工程进度款。</w:t>
      </w:r>
    </w:p>
    <w:p w14:paraId="4CE2E733">
      <w:pPr>
        <w:spacing w:line="360" w:lineRule="auto"/>
        <w:rPr>
          <w:rFonts w:ascii="宋体" w:hAnsi="宋体"/>
          <w:lang w:eastAsia="zh-CN"/>
        </w:rPr>
      </w:pPr>
      <w:r>
        <w:rPr>
          <w:rFonts w:ascii="宋体" w:hAnsi="宋体" w:hint="eastAsia"/>
          <w:color w:val="00B0F0"/>
          <w:u w:val="single"/>
          <w:lang w:eastAsia="zh-CN"/>
        </w:rPr>
        <w:t xml:space="preserve">民工管理及工资支付参照遂人社发【2022】20号文及相应法律法规执行，人工费用拨付比列为28%   </w:t>
      </w:r>
      <w:r>
        <w:rPr>
          <w:rFonts w:ascii="宋体" w:hAnsi="宋体" w:hint="eastAsia"/>
          <w:lang w:eastAsia="zh-CN"/>
        </w:rPr>
        <w:t>。</w:t>
      </w:r>
    </w:p>
    <w:p w14:paraId="22D43E1B">
      <w:pPr>
        <w:spacing w:line="360" w:lineRule="auto"/>
        <w:rPr>
          <w:rFonts w:ascii="宋体" w:hAnsi="宋体"/>
          <w:lang w:eastAsia="zh-CN"/>
        </w:rPr>
      </w:pPr>
      <w:r>
        <w:rPr>
          <w:rFonts w:ascii="宋体" w:hAnsi="宋体" w:hint="eastAsia"/>
          <w:lang w:eastAsia="zh-CN"/>
        </w:rPr>
        <w:t>12.4.2 进度付款申请单的编制</w:t>
      </w:r>
    </w:p>
    <w:p w14:paraId="4946C501">
      <w:pPr>
        <w:spacing w:line="360" w:lineRule="auto"/>
        <w:rPr>
          <w:rFonts w:ascii="宋体" w:hAnsi="宋体"/>
          <w:lang w:eastAsia="zh-CN"/>
        </w:rPr>
      </w:pPr>
      <w:r>
        <w:rPr>
          <w:rFonts w:ascii="宋体" w:hAnsi="宋体" w:hint="eastAsia"/>
          <w:lang w:eastAsia="zh-CN"/>
        </w:rPr>
        <w:t>关于进度付款申请单编制的约定：</w:t>
      </w:r>
      <w:r>
        <w:rPr>
          <w:rFonts w:ascii="宋体" w:hAnsi="宋体" w:hint="eastAsia"/>
          <w:color w:val="00B0F0"/>
          <w:u w:val="single"/>
          <w:lang w:eastAsia="zh-CN"/>
        </w:rPr>
        <w:t xml:space="preserve">  按通用合同条款执行     </w:t>
      </w:r>
      <w:r>
        <w:rPr>
          <w:rFonts w:ascii="宋体" w:hAnsi="宋体" w:hint="eastAsia"/>
          <w:lang w:eastAsia="zh-CN"/>
        </w:rPr>
        <w:t>。</w:t>
      </w:r>
    </w:p>
    <w:p w14:paraId="1428900E">
      <w:pPr>
        <w:spacing w:line="360" w:lineRule="auto"/>
        <w:rPr>
          <w:rFonts w:ascii="宋体" w:hAnsi="宋体"/>
          <w:lang w:eastAsia="zh-CN"/>
        </w:rPr>
      </w:pPr>
      <w:r>
        <w:rPr>
          <w:rFonts w:ascii="宋体" w:hAnsi="宋体" w:hint="eastAsia"/>
          <w:lang w:eastAsia="zh-CN"/>
        </w:rPr>
        <w:t>1</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Pr>
          <w:rFonts w:ascii="宋体" w:hAnsi="宋体" w:hint="eastAsia"/>
          <w:lang w:eastAsia="zh-CN"/>
        </w:rPr>
        <w:t>2.4.3 进度付款申请单的提交</w:t>
      </w:r>
    </w:p>
    <w:p w14:paraId="5315D728">
      <w:pPr>
        <w:spacing w:line="360" w:lineRule="auto"/>
        <w:rPr>
          <w:rFonts w:ascii="宋体" w:hAnsi="宋体" w:hint="eastAsia"/>
          <w:color w:val="00B0F0"/>
          <w:u w:val="single"/>
          <w:lang w:eastAsia="zh-CN"/>
        </w:rPr>
      </w:pPr>
      <w:r>
        <w:rPr>
          <w:rFonts w:ascii="宋体" w:hAnsi="宋体" w:hint="eastAsia"/>
          <w:lang w:eastAsia="zh-CN"/>
        </w:rPr>
        <w:t>（1）单价合同进度付款申请单提交的约定：</w:t>
      </w:r>
      <w:r>
        <w:rPr>
          <w:rFonts w:ascii="宋体" w:hAnsi="宋体" w:hint="eastAsia"/>
          <w:color w:val="00B0F0"/>
          <w:u w:val="single"/>
          <w:lang w:eastAsia="zh-CN"/>
        </w:rPr>
        <w:t xml:space="preserve"> 按12.4.1条付款周期约定的进度款支</w:t>
      </w:r>
    </w:p>
    <w:p w14:paraId="77693704">
      <w:pPr>
        <w:spacing w:line="360" w:lineRule="auto"/>
        <w:rPr>
          <w:rFonts w:ascii="宋体" w:hAnsi="宋体"/>
          <w:lang w:eastAsia="zh-CN"/>
        </w:rPr>
      </w:pPr>
      <w:r>
        <w:rPr>
          <w:rFonts w:ascii="宋体" w:hAnsi="宋体" w:hint="eastAsia"/>
          <w:color w:val="00B0F0"/>
          <w:u w:val="single"/>
          <w:lang w:eastAsia="zh-CN"/>
        </w:rPr>
        <w:t xml:space="preserve">付周期提交   </w:t>
      </w:r>
      <w:r>
        <w:rPr>
          <w:rFonts w:ascii="宋体" w:hAnsi="宋体" w:hint="eastAsia"/>
          <w:lang w:eastAsia="zh-CN"/>
        </w:rPr>
        <w:t>。</w:t>
      </w:r>
    </w:p>
    <w:p w14:paraId="51AD6AC4">
      <w:pPr>
        <w:spacing w:line="360" w:lineRule="auto"/>
        <w:rPr>
          <w:rFonts w:ascii="宋体" w:hAnsi="宋体"/>
          <w:lang w:eastAsia="zh-CN"/>
        </w:rPr>
      </w:pPr>
      <w:r>
        <w:rPr>
          <w:rFonts w:ascii="宋体" w:hAnsi="宋体" w:hint="eastAsia"/>
          <w:lang w:eastAsia="zh-CN"/>
        </w:rPr>
        <w:t>（2）总价合同进度付款申请单提交的约定：</w:t>
      </w:r>
      <w:r>
        <w:rPr>
          <w:rFonts w:ascii="宋体" w:hAnsi="宋体" w:hint="eastAsia"/>
          <w:color w:val="00B0F0"/>
          <w:u w:val="single"/>
          <w:lang w:eastAsia="zh-CN"/>
        </w:rPr>
        <w:t xml:space="preserve">  /    </w:t>
      </w:r>
      <w:r>
        <w:rPr>
          <w:rFonts w:ascii="宋体" w:hAnsi="宋体" w:hint="eastAsia"/>
          <w:lang w:eastAsia="zh-CN"/>
        </w:rPr>
        <w:t>。</w:t>
      </w:r>
    </w:p>
    <w:p w14:paraId="452CA14F">
      <w:pPr>
        <w:spacing w:line="360" w:lineRule="auto"/>
        <w:rPr>
          <w:rFonts w:ascii="宋体" w:hAnsi="宋体"/>
          <w:lang w:eastAsia="zh-CN"/>
        </w:rPr>
      </w:pPr>
      <w:r>
        <w:rPr>
          <w:rFonts w:ascii="宋体" w:hAnsi="宋体" w:hint="eastAsia"/>
          <w:lang w:eastAsia="zh-CN"/>
        </w:rPr>
        <w:t>（3）其他价格形式合同进度付款申请单提交的约定：</w:t>
      </w:r>
      <w:r>
        <w:rPr>
          <w:rFonts w:ascii="宋体" w:hAnsi="宋体" w:hint="eastAsia"/>
          <w:color w:val="00B0F0"/>
          <w:u w:val="single"/>
          <w:lang w:eastAsia="zh-CN"/>
        </w:rPr>
        <w:t xml:space="preserve">   /     </w:t>
      </w:r>
      <w:r>
        <w:rPr>
          <w:rFonts w:ascii="宋体" w:hAnsi="宋体" w:hint="eastAsia"/>
          <w:lang w:eastAsia="zh-CN"/>
        </w:rPr>
        <w:t>。</w:t>
      </w:r>
    </w:p>
    <w:p w14:paraId="4251D0B1">
      <w:pPr>
        <w:spacing w:line="360" w:lineRule="auto"/>
        <w:rPr>
          <w:rFonts w:ascii="宋体" w:hAnsi="宋体"/>
          <w:lang w:eastAsia="zh-CN"/>
        </w:rPr>
      </w:pPr>
      <w:r>
        <w:rPr>
          <w:rFonts w:ascii="宋体" w:hAnsi="宋体" w:hint="eastAsia"/>
          <w:lang w:eastAsia="zh-CN"/>
        </w:rPr>
        <w:t>12.4.4 进度款审核和支付</w:t>
      </w:r>
    </w:p>
    <w:p w14:paraId="0BA4D574">
      <w:pPr>
        <w:spacing w:line="360" w:lineRule="auto"/>
        <w:rPr>
          <w:rFonts w:ascii="宋体" w:hAnsi="宋体"/>
          <w:u w:val="single"/>
          <w:lang w:eastAsia="zh-CN"/>
        </w:rPr>
      </w:pPr>
      <w:r>
        <w:rPr>
          <w:rFonts w:ascii="宋体" w:hAnsi="宋体" w:hint="eastAsia"/>
          <w:lang w:eastAsia="zh-CN"/>
        </w:rPr>
        <w:t>（1）监理人审查并报送发包人的期限：</w:t>
      </w:r>
      <w:r>
        <w:rPr>
          <w:rFonts w:ascii="宋体" w:hAnsi="宋体" w:hint="eastAsia"/>
          <w:color w:val="00B0F0"/>
          <w:u w:val="single"/>
          <w:lang w:eastAsia="zh-CN"/>
        </w:rPr>
        <w:t xml:space="preserve">  按通用合同条款执行  </w:t>
      </w:r>
      <w:r>
        <w:rPr>
          <w:rFonts w:ascii="宋体" w:hAnsi="宋体" w:hint="eastAsia"/>
          <w:lang w:eastAsia="zh-CN"/>
        </w:rPr>
        <w:t>。</w:t>
      </w:r>
    </w:p>
    <w:p w14:paraId="28A856E7">
      <w:pPr>
        <w:spacing w:line="360" w:lineRule="auto"/>
        <w:rPr>
          <w:rFonts w:ascii="宋体" w:hAnsi="宋体"/>
          <w:lang w:eastAsia="zh-CN"/>
        </w:rPr>
      </w:pPr>
      <w:r>
        <w:rPr>
          <w:rFonts w:ascii="宋体" w:hAnsi="宋体" w:hint="eastAsia"/>
          <w:lang w:eastAsia="zh-CN"/>
        </w:rPr>
        <w:t>发包人完成审批并签发进度款支付证书的期限：</w:t>
      </w:r>
      <w:r>
        <w:rPr>
          <w:rFonts w:ascii="宋体" w:hAnsi="宋体" w:hint="eastAsia"/>
          <w:color w:val="00B0F0"/>
          <w:u w:val="single"/>
          <w:lang w:eastAsia="zh-CN"/>
        </w:rPr>
        <w:t xml:space="preserve">  按通用合同条款执行       </w:t>
      </w:r>
      <w:r>
        <w:rPr>
          <w:rFonts w:ascii="宋体" w:hAnsi="宋体" w:hint="eastAsia"/>
          <w:lang w:eastAsia="zh-CN"/>
        </w:rPr>
        <w:t>。</w:t>
      </w:r>
    </w:p>
    <w:p w14:paraId="704567BE">
      <w:pPr>
        <w:spacing w:line="360" w:lineRule="auto"/>
        <w:rPr>
          <w:rFonts w:ascii="宋体" w:hAnsi="宋体"/>
          <w:lang w:eastAsia="zh-CN"/>
        </w:rPr>
      </w:pPr>
      <w:r>
        <w:rPr>
          <w:rFonts w:ascii="宋体" w:hAnsi="宋体" w:hint="eastAsia"/>
          <w:lang w:eastAsia="zh-CN"/>
        </w:rPr>
        <w:t>（2）发包人支付进度款的期限：</w:t>
      </w:r>
      <w:r>
        <w:rPr>
          <w:rFonts w:ascii="宋体" w:hAnsi="宋体" w:hint="eastAsia"/>
          <w:color w:val="00B0F0"/>
          <w:u w:val="single"/>
          <w:lang w:eastAsia="zh-CN"/>
        </w:rPr>
        <w:t xml:space="preserve">   按通用合同条款执行     </w:t>
      </w:r>
      <w:r>
        <w:rPr>
          <w:rFonts w:ascii="宋体" w:hAnsi="宋体" w:hint="eastAsia"/>
          <w:lang w:eastAsia="zh-CN"/>
        </w:rPr>
        <w:t>。</w:t>
      </w:r>
    </w:p>
    <w:p w14:paraId="58957198">
      <w:pPr>
        <w:spacing w:line="360" w:lineRule="auto"/>
        <w:rPr>
          <w:rFonts w:ascii="宋体" w:hAnsi="宋体"/>
          <w:lang w:eastAsia="zh-CN"/>
        </w:rPr>
      </w:pPr>
      <w:r>
        <w:rPr>
          <w:rFonts w:ascii="宋体" w:hAnsi="宋体" w:hint="eastAsia"/>
          <w:lang w:eastAsia="zh-CN"/>
        </w:rPr>
        <w:t>发包人逾期支付进度款的违约金的计算方式：</w:t>
      </w:r>
      <w:r>
        <w:rPr>
          <w:rFonts w:ascii="宋体" w:hAnsi="宋体" w:hint="eastAsia"/>
          <w:color w:val="00B0F0"/>
          <w:u w:val="single"/>
          <w:lang w:eastAsia="zh-CN"/>
        </w:rPr>
        <w:t xml:space="preserve">    /        </w:t>
      </w:r>
      <w:r>
        <w:rPr>
          <w:rFonts w:ascii="宋体" w:hAnsi="宋体" w:hint="eastAsia"/>
          <w:lang w:eastAsia="zh-CN"/>
        </w:rPr>
        <w:t>。</w:t>
      </w:r>
    </w:p>
    <w:p w14:paraId="349C2BEF">
      <w:pPr>
        <w:spacing w:line="360" w:lineRule="auto"/>
        <w:rPr>
          <w:rFonts w:ascii="宋体" w:hAnsi="宋体"/>
          <w:lang w:eastAsia="zh-CN"/>
        </w:rPr>
      </w:pPr>
      <w:r>
        <w:rPr>
          <w:rFonts w:ascii="宋体" w:hAnsi="宋体" w:hint="eastAsia"/>
          <w:lang w:eastAsia="zh-CN"/>
        </w:rPr>
        <w:t>12.4.6 支付分解表的编制</w:t>
      </w:r>
    </w:p>
    <w:p w14:paraId="4315FD03">
      <w:pPr>
        <w:spacing w:line="360" w:lineRule="auto"/>
        <w:rPr>
          <w:rFonts w:ascii="宋体" w:hAnsi="宋体"/>
          <w:lang w:eastAsia="zh-CN"/>
        </w:rPr>
      </w:pPr>
      <w:r>
        <w:rPr>
          <w:rFonts w:ascii="宋体" w:hAnsi="宋体" w:hint="eastAsia"/>
          <w:lang w:eastAsia="zh-CN"/>
        </w:rPr>
        <w:t>2、总价合同支付分解表的编制与审批：</w:t>
      </w:r>
      <w:r>
        <w:rPr>
          <w:rFonts w:ascii="宋体" w:hAnsi="宋体" w:hint="eastAsia"/>
          <w:color w:val="00B0F0"/>
          <w:u w:val="single"/>
          <w:lang w:eastAsia="zh-CN"/>
        </w:rPr>
        <w:t xml:space="preserve">    /         </w:t>
      </w:r>
      <w:r>
        <w:rPr>
          <w:rFonts w:ascii="宋体" w:hAnsi="宋体" w:hint="eastAsia"/>
          <w:lang w:eastAsia="zh-CN"/>
        </w:rPr>
        <w:t>。</w:t>
      </w:r>
    </w:p>
    <w:p w14:paraId="1308F4BB">
      <w:pPr>
        <w:spacing w:line="360" w:lineRule="auto"/>
        <w:rPr>
          <w:rFonts w:ascii="宋体" w:hAnsi="宋体"/>
          <w:lang w:eastAsia="zh-CN"/>
        </w:rPr>
      </w:pPr>
      <w:r>
        <w:rPr>
          <w:rFonts w:ascii="宋体" w:hAnsi="宋体" w:hint="eastAsia"/>
          <w:lang w:eastAsia="zh-CN"/>
        </w:rPr>
        <w:t>3、单价合同的总价项目支付分解表的编制与审批：</w:t>
      </w:r>
      <w:r>
        <w:rPr>
          <w:rFonts w:ascii="宋体" w:hAnsi="宋体" w:hint="eastAsia"/>
          <w:color w:val="00B0F0"/>
          <w:u w:val="single"/>
          <w:lang w:eastAsia="zh-CN"/>
        </w:rPr>
        <w:t xml:space="preserve">  /    </w:t>
      </w:r>
      <w:r>
        <w:rPr>
          <w:rFonts w:ascii="宋体" w:hAnsi="宋体" w:hint="eastAsia"/>
          <w:lang w:eastAsia="zh-CN"/>
        </w:rPr>
        <w:t>。</w:t>
      </w:r>
    </w:p>
    <w:bookmarkEnd w:id="814"/>
    <w:p w14:paraId="1D072123">
      <w:pPr>
        <w:spacing w:line="360" w:lineRule="auto"/>
        <w:rPr>
          <w:rFonts w:ascii="宋体" w:hAnsi="宋体"/>
          <w:bCs/>
          <w:lang w:eastAsia="zh-CN"/>
        </w:rPr>
      </w:pPr>
      <w:bookmarkStart w:id="985" w:name="_Toc351203645"/>
      <w:bookmarkStart w:id="986" w:name="_Toc303539172"/>
      <w:bookmarkStart w:id="987" w:name="_Toc300935015"/>
      <w:bookmarkStart w:id="988" w:name="_Toc296346720"/>
      <w:bookmarkStart w:id="989" w:name="_Toc296503219"/>
      <w:bookmarkStart w:id="990" w:name="_Toc296891047"/>
      <w:bookmarkStart w:id="991" w:name="_Toc304295593"/>
      <w:bookmarkStart w:id="992" w:name="_Toc297216223"/>
      <w:bookmarkStart w:id="993" w:name="_Toc297048405"/>
      <w:bookmarkStart w:id="994" w:name="_Toc297123564"/>
      <w:bookmarkStart w:id="995" w:name="_Toc292559424"/>
      <w:bookmarkStart w:id="996" w:name="_Toc312678053"/>
      <w:bookmarkStart w:id="997" w:name="_Toc296944558"/>
      <w:bookmarkStart w:id="998" w:name="_Toc292559929"/>
      <w:bookmarkStart w:id="999" w:name="_Toc296891259"/>
      <w:bookmarkStart w:id="1000" w:name="_Toc297120519"/>
      <w:bookmarkStart w:id="1001" w:name="_Toc296347218"/>
      <w:r>
        <w:rPr>
          <w:rFonts w:ascii="宋体" w:hAnsi="宋体" w:hint="eastAsia"/>
          <w:bCs/>
          <w:lang w:eastAsia="zh-CN"/>
        </w:rPr>
        <w:t>13. 验收和工程试车</w:t>
      </w:r>
      <w:bookmarkEnd w:id="985"/>
    </w:p>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14:paraId="4822A3AF">
      <w:pPr>
        <w:spacing w:line="360" w:lineRule="auto"/>
        <w:rPr>
          <w:rFonts w:ascii="宋体" w:hAnsi="宋体"/>
          <w:lang w:eastAsia="zh-CN"/>
        </w:rPr>
      </w:pPr>
      <w:r>
        <w:rPr>
          <w:rFonts w:ascii="宋体" w:hAnsi="宋体" w:hint="eastAsia"/>
          <w:lang w:eastAsia="zh-CN"/>
        </w:rPr>
        <w:t>13.1 分部分项工程验收</w:t>
      </w:r>
    </w:p>
    <w:p w14:paraId="15EF3266">
      <w:pPr>
        <w:spacing w:line="360" w:lineRule="auto"/>
        <w:rPr>
          <w:rFonts w:ascii="宋体" w:hAnsi="宋体"/>
          <w:lang w:eastAsia="zh-CN"/>
        </w:rPr>
      </w:pPr>
      <w:r>
        <w:rPr>
          <w:rFonts w:ascii="宋体" w:hAnsi="宋体" w:hint="eastAsia"/>
          <w:lang w:eastAsia="zh-CN"/>
        </w:rPr>
        <w:t>13.1.2监理人不能按时进行验收时，应提前</w:t>
      </w:r>
      <w:r>
        <w:rPr>
          <w:rFonts w:ascii="宋体" w:hAnsi="宋体" w:hint="eastAsia"/>
          <w:color w:val="00B0F0"/>
          <w:u w:val="single"/>
          <w:lang w:eastAsia="zh-CN"/>
        </w:rPr>
        <w:t xml:space="preserve">    24   </w:t>
      </w:r>
      <w:r>
        <w:rPr>
          <w:rFonts w:ascii="宋体" w:hAnsi="宋体" w:hint="eastAsia"/>
          <w:lang w:eastAsia="zh-CN"/>
        </w:rPr>
        <w:t>小时提交书面延期要求。</w:t>
      </w:r>
    </w:p>
    <w:p w14:paraId="4F948C1B">
      <w:pPr>
        <w:spacing w:line="360" w:lineRule="auto"/>
        <w:rPr>
          <w:rFonts w:ascii="宋体" w:hAnsi="宋体"/>
          <w:b/>
          <w:lang w:eastAsia="zh-CN"/>
        </w:rPr>
      </w:pPr>
      <w:r>
        <w:rPr>
          <w:rFonts w:ascii="宋体" w:hAnsi="宋体" w:hint="eastAsia"/>
          <w:lang w:eastAsia="zh-CN"/>
        </w:rPr>
        <w:t>关于延期最长不得超过：</w:t>
      </w:r>
      <w:r>
        <w:rPr>
          <w:rFonts w:ascii="宋体" w:hAnsi="宋体" w:hint="eastAsia"/>
          <w:color w:val="00B0F0"/>
          <w:u w:val="single"/>
          <w:lang w:eastAsia="zh-CN"/>
        </w:rPr>
        <w:t xml:space="preserve">   48       </w:t>
      </w:r>
      <w:r>
        <w:rPr>
          <w:rFonts w:ascii="宋体" w:hAnsi="宋体" w:hint="eastAsia"/>
          <w:lang w:eastAsia="zh-CN"/>
        </w:rPr>
        <w:t>小时。</w:t>
      </w:r>
    </w:p>
    <w:p w14:paraId="4E4A7110">
      <w:pPr>
        <w:spacing w:line="360" w:lineRule="auto"/>
        <w:rPr>
          <w:rFonts w:ascii="宋体" w:hAnsi="宋体"/>
          <w:lang w:eastAsia="zh-CN"/>
        </w:rPr>
      </w:pPr>
      <w:bookmarkStart w:id="1002" w:name="_Toc296346724"/>
      <w:bookmarkStart w:id="1003" w:name="_Toc297048409"/>
      <w:bookmarkStart w:id="1004" w:name="_Toc292559428"/>
      <w:bookmarkStart w:id="1005" w:name="_Toc296891051"/>
      <w:bookmarkStart w:id="1006" w:name="_Toc292559933"/>
      <w:bookmarkStart w:id="1007" w:name="_Toc296503223"/>
      <w:bookmarkStart w:id="1008" w:name="_Toc296944562"/>
      <w:bookmarkStart w:id="1009" w:name="_Toc312678056"/>
      <w:bookmarkStart w:id="1010" w:name="_Toc300935016"/>
      <w:bookmarkStart w:id="1011" w:name="_Toc296347222"/>
      <w:bookmarkStart w:id="1012" w:name="_Toc297123565"/>
      <w:bookmarkStart w:id="1013" w:name="_Toc297216224"/>
      <w:bookmarkStart w:id="1014" w:name="_Toc297120523"/>
      <w:bookmarkStart w:id="1015" w:name="_Toc296891263"/>
      <w:bookmarkStart w:id="1016" w:name="_Toc303539173"/>
      <w:bookmarkStart w:id="1017" w:name="_Toc304295596"/>
      <w:bookmarkStart w:id="1018" w:name="_Toc267251472"/>
      <w:bookmarkStart w:id="1019" w:name="_Toc267251475"/>
      <w:bookmarkStart w:id="1020" w:name="_Toc267251473"/>
      <w:bookmarkStart w:id="1021" w:name="_Toc267251471"/>
      <w:bookmarkStart w:id="1022" w:name="_Toc267251474"/>
      <w:bookmarkStart w:id="1023" w:name="_Toc267251470"/>
      <w:bookmarkStart w:id="1024" w:name="_Toc267251476"/>
      <w:r>
        <w:rPr>
          <w:rFonts w:ascii="宋体" w:hAnsi="宋体" w:hint="eastAsia"/>
          <w:lang w:eastAsia="zh-CN"/>
        </w:rPr>
        <w:t>13.2 竣工验收</w:t>
      </w:r>
    </w:p>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14:paraId="7D4C72DD">
      <w:pPr>
        <w:spacing w:line="360" w:lineRule="auto"/>
        <w:rPr>
          <w:rFonts w:ascii="宋体" w:hAnsi="宋体"/>
          <w:lang w:eastAsia="zh-CN"/>
        </w:rPr>
      </w:pPr>
      <w:bookmarkStart w:id="1025" w:name="_Toc280868704"/>
      <w:bookmarkStart w:id="1026" w:name="_Toc280868705"/>
      <w:bookmarkStart w:id="1027" w:name="_Toc280868706"/>
      <w:bookmarkStart w:id="1028" w:name="_Toc280868707"/>
      <w:bookmarkStart w:id="1029" w:name="_Toc280868708"/>
      <w:bookmarkStart w:id="1030" w:name="_Toc280868709"/>
      <w:r>
        <w:rPr>
          <w:rFonts w:ascii="宋体" w:hAnsi="宋体" w:hint="eastAsia"/>
          <w:lang w:eastAsia="zh-CN"/>
        </w:rPr>
        <w:t>13.2.2竣工验收程序</w:t>
      </w:r>
    </w:p>
    <w:bookmarkEnd w:id="1025"/>
    <w:p w14:paraId="330EC19F">
      <w:pPr>
        <w:spacing w:line="360" w:lineRule="auto"/>
        <w:rPr>
          <w:rFonts w:ascii="宋体" w:hAnsi="宋体"/>
          <w:lang w:eastAsia="zh-CN"/>
        </w:rPr>
      </w:pPr>
      <w:r>
        <w:rPr>
          <w:rFonts w:ascii="宋体" w:hAnsi="宋体" w:hint="eastAsia"/>
          <w:lang w:eastAsia="zh-CN"/>
        </w:rPr>
        <w:t>关于竣工验收程序的约定：</w:t>
      </w:r>
      <w:r>
        <w:rPr>
          <w:rFonts w:ascii="宋体" w:hAnsi="宋体" w:hint="eastAsia"/>
          <w:color w:val="00B0F0"/>
          <w:u w:val="single"/>
          <w:lang w:eastAsia="zh-CN"/>
        </w:rPr>
        <w:t xml:space="preserve">    按通用合同条款执行    </w:t>
      </w:r>
      <w:r>
        <w:rPr>
          <w:rFonts w:ascii="宋体" w:hAnsi="宋体" w:hint="eastAsia"/>
          <w:lang w:eastAsia="zh-CN"/>
        </w:rPr>
        <w:t>。</w:t>
      </w:r>
    </w:p>
    <w:p w14:paraId="1E18833F">
      <w:pPr>
        <w:spacing w:line="360" w:lineRule="auto"/>
        <w:rPr>
          <w:rFonts w:ascii="宋体" w:hAnsi="宋体"/>
        </w:rPr>
      </w:pPr>
      <w:r>
        <w:rPr>
          <w:rFonts w:ascii="宋体" w:hAnsi="宋体" w:hint="eastAsia"/>
          <w:lang w:eastAsia="zh-CN"/>
        </w:rPr>
        <w:t>发包人不按照本项约定组织竣工验收、颁发工程接收证书的违约金的计算方法：</w:t>
      </w:r>
      <w:r>
        <w:rPr>
          <w:rFonts w:ascii="宋体" w:hAnsi="宋体" w:hint="eastAsia"/>
          <w:color w:val="00B0F0"/>
          <w:u w:val="single"/>
          <w:lang w:eastAsia="zh-CN"/>
        </w:rPr>
        <w:t xml:space="preserve"> </w:t>
      </w:r>
      <w:r>
        <w:rPr>
          <w:rFonts w:ascii="宋体" w:hAnsi="宋体" w:hint="eastAsia"/>
          <w:color w:val="00B0F0"/>
          <w:u w:val="single"/>
          <w:lang w:val="en-US" w:eastAsia="zh-CN"/>
        </w:rPr>
        <w:t>/</w:t>
      </w:r>
      <w:r>
        <w:rPr>
          <w:rFonts w:ascii="宋体" w:hAnsi="宋体" w:hint="eastAsia"/>
          <w:color w:val="00B0F0"/>
          <w:u w:val="single"/>
          <w:lang w:eastAsia="zh-CN"/>
        </w:rPr>
        <w:t xml:space="preserve">  </w:t>
      </w:r>
      <w:r>
        <w:rPr>
          <w:rFonts w:ascii="宋体" w:hAnsi="宋体" w:hint="eastAsia"/>
        </w:rPr>
        <w:t>。</w:t>
      </w:r>
    </w:p>
    <w:bookmarkEnd w:id="1026"/>
    <w:p w14:paraId="177698F0">
      <w:pPr>
        <w:spacing w:line="360" w:lineRule="auto"/>
        <w:rPr>
          <w:rFonts w:ascii="宋体" w:hAnsi="宋体"/>
        </w:rPr>
      </w:pPr>
      <w:r>
        <w:rPr>
          <w:rFonts w:ascii="宋体" w:hAnsi="宋体" w:hint="eastAsia"/>
        </w:rPr>
        <w:t>13.2.5移交、接收全部与部分工程</w:t>
      </w:r>
    </w:p>
    <w:bookmarkEnd w:id="1027"/>
    <w:p w14:paraId="4D873CAD">
      <w:pPr>
        <w:spacing w:line="360" w:lineRule="auto"/>
        <w:rPr>
          <w:rFonts w:ascii="宋体" w:hAnsi="宋体"/>
          <w:lang w:eastAsia="zh-CN"/>
        </w:rPr>
      </w:pPr>
      <w:r>
        <w:rPr>
          <w:rFonts w:ascii="宋体" w:hAnsi="宋体" w:hint="eastAsia"/>
          <w:lang w:eastAsia="zh-CN"/>
        </w:rPr>
        <w:t>承包人向发包人移交工程的期限：</w:t>
      </w:r>
      <w:r>
        <w:rPr>
          <w:rFonts w:ascii="宋体" w:hAnsi="宋体" w:hint="eastAsia"/>
          <w:color w:val="00B0F0"/>
          <w:u w:val="single"/>
          <w:lang w:eastAsia="zh-CN"/>
        </w:rPr>
        <w:t xml:space="preserve">  按通用合同条款执行   </w:t>
      </w:r>
      <w:r>
        <w:rPr>
          <w:rFonts w:ascii="宋体" w:hAnsi="宋体" w:hint="eastAsia"/>
          <w:lang w:eastAsia="zh-CN"/>
        </w:rPr>
        <w:t>。</w:t>
      </w:r>
    </w:p>
    <w:p w14:paraId="05BC8168">
      <w:pPr>
        <w:spacing w:line="360" w:lineRule="auto"/>
        <w:rPr>
          <w:rFonts w:ascii="宋体" w:hAnsi="宋体"/>
          <w:u w:val="single"/>
          <w:lang w:eastAsia="zh-CN"/>
        </w:rPr>
      </w:pPr>
      <w:r>
        <w:rPr>
          <w:rFonts w:ascii="宋体" w:hAnsi="宋体" w:hint="eastAsia"/>
          <w:lang w:eastAsia="zh-CN"/>
        </w:rPr>
        <w:t>发包人未按本合同约定接收全部或部分工程的，违约金的计算方法为：</w:t>
      </w:r>
      <w:r>
        <w:rPr>
          <w:rFonts w:ascii="宋体" w:hAnsi="宋体" w:hint="eastAsia"/>
          <w:color w:val="00B0F0"/>
          <w:u w:val="single"/>
          <w:lang w:eastAsia="zh-CN"/>
        </w:rPr>
        <w:t xml:space="preserve">    /  </w:t>
      </w:r>
      <w:r>
        <w:rPr>
          <w:rFonts w:ascii="宋体" w:hAnsi="宋体" w:hint="eastAsia"/>
          <w:lang w:eastAsia="zh-CN"/>
        </w:rPr>
        <w:t>。</w:t>
      </w:r>
    </w:p>
    <w:bookmarkEnd w:id="1028"/>
    <w:p w14:paraId="23AC2EAB">
      <w:pPr>
        <w:spacing w:line="360" w:lineRule="auto"/>
        <w:rPr>
          <w:rFonts w:ascii="宋体" w:hAnsi="宋体"/>
          <w:lang w:eastAsia="zh-CN"/>
        </w:rPr>
      </w:pPr>
      <w:r>
        <w:rPr>
          <w:rFonts w:ascii="宋体" w:hAnsi="宋体" w:hint="eastAsia"/>
          <w:lang w:eastAsia="zh-CN"/>
        </w:rPr>
        <w:t>承包人未按时移交工程的，违约金的计算方法为：</w:t>
      </w:r>
      <w:r>
        <w:rPr>
          <w:rFonts w:ascii="宋体" w:hAnsi="宋体" w:hint="eastAsia"/>
          <w:color w:val="00B0F0"/>
          <w:u w:val="single"/>
          <w:lang w:eastAsia="zh-CN"/>
        </w:rPr>
        <w:t xml:space="preserve"> 延误一天，均按每天5000元向发包人支付违约金    </w:t>
      </w:r>
      <w:r>
        <w:rPr>
          <w:rFonts w:ascii="宋体" w:hAnsi="宋体" w:hint="eastAsia"/>
          <w:lang w:eastAsia="zh-CN"/>
        </w:rPr>
        <w:t>。</w:t>
      </w:r>
    </w:p>
    <w:p w14:paraId="75CA38DA">
      <w:pPr>
        <w:spacing w:line="360" w:lineRule="auto"/>
        <w:rPr>
          <w:rFonts w:ascii="宋体" w:hAnsi="宋体"/>
          <w:lang w:eastAsia="zh-CN"/>
        </w:rPr>
      </w:pPr>
      <w:r>
        <w:rPr>
          <w:rFonts w:ascii="宋体" w:hAnsi="宋体" w:hint="eastAsia"/>
          <w:lang w:eastAsia="zh-CN"/>
        </w:rPr>
        <w:t>13.3 工程试车</w:t>
      </w:r>
    </w:p>
    <w:bookmarkEnd w:id="1029"/>
    <w:p w14:paraId="1D56FB84">
      <w:pPr>
        <w:spacing w:line="360" w:lineRule="auto"/>
        <w:rPr>
          <w:rFonts w:ascii="宋体" w:hAnsi="宋体"/>
          <w:lang w:eastAsia="zh-CN"/>
        </w:rPr>
      </w:pPr>
      <w:r>
        <w:rPr>
          <w:rFonts w:ascii="宋体" w:hAnsi="宋体" w:hint="eastAsia"/>
          <w:lang w:eastAsia="zh-CN"/>
        </w:rPr>
        <w:t>13.3.1 试车程序</w:t>
      </w:r>
    </w:p>
    <w:p w14:paraId="041C864A">
      <w:pPr>
        <w:spacing w:line="360" w:lineRule="auto"/>
        <w:rPr>
          <w:rFonts w:ascii="宋体" w:hAnsi="宋体"/>
          <w:lang w:eastAsia="zh-CN"/>
        </w:rPr>
      </w:pPr>
      <w:r>
        <w:rPr>
          <w:rFonts w:ascii="宋体" w:hAnsi="宋体" w:hint="eastAsia"/>
          <w:lang w:eastAsia="zh-CN"/>
        </w:rPr>
        <w:t>工程试车内容：</w:t>
      </w:r>
      <w:r>
        <w:rPr>
          <w:rFonts w:ascii="宋体" w:hAnsi="宋体" w:hint="eastAsia"/>
          <w:color w:val="00B0F0"/>
          <w:u w:val="single"/>
          <w:lang w:eastAsia="zh-CN"/>
        </w:rPr>
        <w:t xml:space="preserve">  （1）、（2）    </w:t>
      </w:r>
      <w:r>
        <w:rPr>
          <w:rFonts w:ascii="宋体" w:hAnsi="宋体" w:hint="eastAsia"/>
          <w:lang w:eastAsia="zh-CN"/>
        </w:rPr>
        <w:t>。</w:t>
      </w:r>
    </w:p>
    <w:p w14:paraId="525A47BE">
      <w:pPr>
        <w:spacing w:line="360" w:lineRule="auto"/>
        <w:rPr>
          <w:rFonts w:ascii="宋体" w:hAnsi="宋体"/>
          <w:lang w:eastAsia="zh-CN"/>
        </w:rPr>
      </w:pPr>
      <w:r>
        <w:rPr>
          <w:rFonts w:ascii="宋体" w:hAnsi="宋体" w:hint="eastAsia"/>
          <w:lang w:eastAsia="zh-CN"/>
        </w:rPr>
        <w:t>（1）单机无负荷试车费用由</w:t>
      </w:r>
      <w:r>
        <w:rPr>
          <w:rFonts w:ascii="宋体" w:hAnsi="宋体" w:hint="eastAsia"/>
          <w:color w:val="00B0F0"/>
          <w:u w:val="single"/>
          <w:lang w:eastAsia="zh-CN"/>
        </w:rPr>
        <w:t xml:space="preserve">  承包人 </w:t>
      </w:r>
      <w:r>
        <w:rPr>
          <w:rFonts w:ascii="宋体" w:hAnsi="宋体" w:hint="eastAsia"/>
          <w:lang w:eastAsia="zh-CN"/>
        </w:rPr>
        <w:t>承担；</w:t>
      </w:r>
    </w:p>
    <w:p w14:paraId="7353830F">
      <w:pPr>
        <w:spacing w:line="360" w:lineRule="auto"/>
        <w:rPr>
          <w:rFonts w:ascii="宋体" w:hAnsi="宋体"/>
          <w:lang w:eastAsia="zh-CN"/>
        </w:rPr>
      </w:pPr>
      <w:r>
        <w:rPr>
          <w:rFonts w:ascii="宋体" w:hAnsi="宋体" w:hint="eastAsia"/>
          <w:lang w:eastAsia="zh-CN"/>
        </w:rPr>
        <w:t>（2）无负荷联动试车费用由</w:t>
      </w:r>
      <w:r>
        <w:rPr>
          <w:rFonts w:ascii="宋体" w:hAnsi="宋体" w:hint="eastAsia"/>
          <w:color w:val="00B0F0"/>
          <w:u w:val="single"/>
          <w:lang w:eastAsia="zh-CN"/>
        </w:rPr>
        <w:t xml:space="preserve">  承包人 </w:t>
      </w:r>
      <w:r>
        <w:rPr>
          <w:rFonts w:ascii="宋体" w:hAnsi="宋体" w:hint="eastAsia"/>
          <w:lang w:eastAsia="zh-CN"/>
        </w:rPr>
        <w:t>承担。</w:t>
      </w:r>
    </w:p>
    <w:p w14:paraId="46734306">
      <w:pPr>
        <w:spacing w:line="360" w:lineRule="auto"/>
        <w:rPr>
          <w:rFonts w:ascii="宋体" w:hAnsi="宋体"/>
          <w:lang w:eastAsia="zh-CN"/>
        </w:rPr>
      </w:pPr>
      <w:r>
        <w:rPr>
          <w:rFonts w:ascii="宋体" w:hAnsi="宋体" w:hint="eastAsia"/>
          <w:lang w:eastAsia="zh-CN"/>
        </w:rPr>
        <w:t>13.3.3 投料试车</w:t>
      </w:r>
    </w:p>
    <w:p w14:paraId="3442D5BA">
      <w:pPr>
        <w:spacing w:line="360" w:lineRule="auto"/>
        <w:rPr>
          <w:rFonts w:ascii="宋体" w:hAnsi="宋体"/>
          <w:lang w:eastAsia="zh-CN"/>
        </w:rPr>
      </w:pPr>
      <w:r>
        <w:rPr>
          <w:rFonts w:ascii="宋体" w:hAnsi="宋体" w:hint="eastAsia"/>
          <w:lang w:eastAsia="zh-CN"/>
        </w:rPr>
        <w:t>关于投料试车相关事项的约定：</w:t>
      </w:r>
      <w:r>
        <w:rPr>
          <w:rFonts w:ascii="宋体" w:hAnsi="宋体" w:hint="eastAsia"/>
          <w:color w:val="00B0F0"/>
          <w:u w:val="single"/>
          <w:lang w:eastAsia="zh-CN"/>
        </w:rPr>
        <w:t xml:space="preserve">    /       </w:t>
      </w:r>
      <w:r>
        <w:rPr>
          <w:rFonts w:ascii="宋体" w:hAnsi="宋体" w:hint="eastAsia"/>
          <w:lang w:eastAsia="zh-CN"/>
        </w:rPr>
        <w:t>。</w:t>
      </w:r>
    </w:p>
    <w:p w14:paraId="7D8FA0C5">
      <w:pPr>
        <w:spacing w:line="360" w:lineRule="auto"/>
        <w:rPr>
          <w:rFonts w:ascii="宋体" w:hAnsi="宋体"/>
          <w:lang w:eastAsia="zh-CN"/>
        </w:rPr>
      </w:pPr>
      <w:r>
        <w:rPr>
          <w:rFonts w:ascii="宋体" w:hAnsi="宋体" w:hint="eastAsia"/>
          <w:lang w:eastAsia="zh-CN"/>
        </w:rPr>
        <w:t>13.6 竣工退场</w:t>
      </w:r>
    </w:p>
    <w:p w14:paraId="2470C5D7">
      <w:pPr>
        <w:spacing w:line="360" w:lineRule="auto"/>
        <w:rPr>
          <w:rFonts w:ascii="宋体" w:hAnsi="宋体"/>
          <w:lang w:eastAsia="zh-CN"/>
        </w:rPr>
      </w:pPr>
      <w:r>
        <w:rPr>
          <w:rFonts w:ascii="宋体" w:hAnsi="宋体" w:hint="eastAsia"/>
          <w:lang w:eastAsia="zh-CN"/>
        </w:rPr>
        <w:t>13.6.1 竣工退场</w:t>
      </w:r>
    </w:p>
    <w:p w14:paraId="0E1CB608">
      <w:pPr>
        <w:spacing w:line="360" w:lineRule="auto"/>
        <w:rPr>
          <w:rFonts w:ascii="宋体" w:hAnsi="宋体"/>
          <w:color w:val="00B0F0"/>
          <w:u w:val="single"/>
          <w:lang w:eastAsia="zh-CN"/>
        </w:rPr>
      </w:pPr>
      <w:r>
        <w:rPr>
          <w:rFonts w:ascii="宋体" w:hAnsi="宋体" w:hint="eastAsia"/>
          <w:lang w:eastAsia="zh-CN"/>
        </w:rPr>
        <w:t>承包人完成竣工退场的期限：</w:t>
      </w:r>
      <w:r>
        <w:rPr>
          <w:rFonts w:ascii="宋体" w:hAnsi="宋体" w:hint="eastAsia"/>
          <w:color w:val="00B0F0"/>
          <w:u w:val="single"/>
          <w:lang w:eastAsia="zh-CN"/>
        </w:rPr>
        <w:t xml:space="preserve">   工程竣工验收合格交付后7天内  </w:t>
      </w:r>
    </w:p>
    <w:p w14:paraId="52D6BC18">
      <w:pPr>
        <w:spacing w:line="360" w:lineRule="auto"/>
        <w:rPr>
          <w:rFonts w:ascii="宋体" w:hAnsi="宋体"/>
          <w:lang w:eastAsia="zh-CN"/>
        </w:rPr>
      </w:pPr>
      <w:r>
        <w:rPr>
          <w:rFonts w:ascii="宋体" w:hAnsi="宋体" w:hint="eastAsia"/>
          <w:lang w:eastAsia="zh-CN"/>
        </w:rPr>
        <w:t>。</w:t>
      </w:r>
    </w:p>
    <w:p w14:paraId="0A3E8B19">
      <w:pPr>
        <w:spacing w:line="360" w:lineRule="auto"/>
        <w:rPr>
          <w:rFonts w:ascii="宋体" w:hAnsi="宋体"/>
          <w:bCs/>
          <w:lang w:eastAsia="zh-CN"/>
        </w:rPr>
      </w:pPr>
      <w:bookmarkStart w:id="1031" w:name="_Toc351203646"/>
      <w:r>
        <w:rPr>
          <w:rFonts w:ascii="宋体" w:hAnsi="宋体" w:hint="eastAsia"/>
          <w:bCs/>
          <w:lang w:eastAsia="zh-CN"/>
        </w:rPr>
        <w:t>14. 竣工结算</w:t>
      </w:r>
      <w:bookmarkEnd w:id="1031"/>
    </w:p>
    <w:p w14:paraId="6F497D01">
      <w:pPr>
        <w:spacing w:line="360" w:lineRule="auto"/>
        <w:rPr>
          <w:rFonts w:ascii="宋体" w:hAnsi="宋体"/>
          <w:lang w:eastAsia="zh-CN"/>
        </w:rPr>
      </w:pPr>
      <w:r>
        <w:rPr>
          <w:rFonts w:ascii="宋体" w:hAnsi="宋体" w:hint="eastAsia"/>
          <w:lang w:eastAsia="zh-CN"/>
        </w:rPr>
        <w:t>14.1 竣工结算申请</w:t>
      </w:r>
    </w:p>
    <w:p w14:paraId="2A8921B0">
      <w:pPr>
        <w:spacing w:line="360" w:lineRule="auto"/>
        <w:rPr>
          <w:rFonts w:ascii="宋体" w:hAnsi="宋体"/>
          <w:lang w:eastAsia="zh-CN"/>
        </w:rPr>
      </w:pPr>
      <w:r>
        <w:rPr>
          <w:rFonts w:ascii="宋体" w:hAnsi="宋体" w:hint="eastAsia"/>
          <w:lang w:eastAsia="zh-CN"/>
        </w:rPr>
        <w:t>承包人提交竣工结算申请单的期限：</w:t>
      </w:r>
      <w:r>
        <w:rPr>
          <w:rFonts w:ascii="宋体" w:hAnsi="宋体" w:hint="eastAsia"/>
          <w:color w:val="00B0F0"/>
          <w:u w:val="single"/>
          <w:lang w:eastAsia="zh-CN"/>
        </w:rPr>
        <w:t xml:space="preserve">   按通用合同条款执行 </w:t>
      </w:r>
      <w:r>
        <w:rPr>
          <w:rFonts w:ascii="宋体" w:hAnsi="宋体" w:hint="eastAsia"/>
          <w:lang w:eastAsia="zh-CN"/>
        </w:rPr>
        <w:t>。</w:t>
      </w:r>
    </w:p>
    <w:p w14:paraId="309A4C43">
      <w:pPr>
        <w:spacing w:line="360" w:lineRule="auto"/>
        <w:rPr>
          <w:rFonts w:ascii="宋体" w:hAnsi="宋体"/>
          <w:lang w:eastAsia="zh-CN"/>
        </w:rPr>
      </w:pPr>
      <w:r>
        <w:rPr>
          <w:rFonts w:ascii="宋体" w:hAnsi="宋体" w:hint="eastAsia"/>
          <w:lang w:eastAsia="zh-CN"/>
        </w:rPr>
        <w:t>竣工结算申请单应包括的内容：</w:t>
      </w:r>
      <w:r>
        <w:rPr>
          <w:rFonts w:ascii="宋体" w:hAnsi="宋体" w:hint="eastAsia"/>
          <w:color w:val="00B0F0"/>
          <w:u w:val="single"/>
          <w:lang w:eastAsia="zh-CN"/>
        </w:rPr>
        <w:t xml:space="preserve"> 按通用合同条款执行  </w:t>
      </w:r>
      <w:r>
        <w:rPr>
          <w:rFonts w:ascii="宋体" w:hAnsi="宋体" w:hint="eastAsia"/>
          <w:lang w:eastAsia="zh-CN"/>
        </w:rPr>
        <w:t>。</w:t>
      </w:r>
    </w:p>
    <w:p w14:paraId="780A3690">
      <w:pPr>
        <w:spacing w:line="360" w:lineRule="auto"/>
        <w:rPr>
          <w:rFonts w:ascii="宋体" w:hAnsi="宋体"/>
          <w:lang w:eastAsia="zh-CN"/>
        </w:rPr>
      </w:pPr>
      <w:r>
        <w:rPr>
          <w:rFonts w:ascii="宋体" w:hAnsi="宋体" w:hint="eastAsia"/>
          <w:lang w:eastAsia="zh-CN"/>
        </w:rPr>
        <w:t>14.2 竣工结算审核</w:t>
      </w:r>
    </w:p>
    <w:p w14:paraId="0F94BC16">
      <w:pPr>
        <w:spacing w:line="360" w:lineRule="auto"/>
        <w:rPr>
          <w:rFonts w:ascii="宋体" w:hAnsi="宋体"/>
          <w:lang w:eastAsia="zh-CN"/>
        </w:rPr>
      </w:pPr>
      <w:r>
        <w:rPr>
          <w:rFonts w:ascii="宋体" w:hAnsi="宋体" w:hint="eastAsia"/>
          <w:lang w:eastAsia="zh-CN"/>
        </w:rPr>
        <w:t>发包人审批竣工付款申请单的期限：</w:t>
      </w:r>
      <w:r>
        <w:rPr>
          <w:rFonts w:ascii="宋体" w:hAnsi="宋体" w:hint="eastAsia"/>
          <w:color w:val="00B0F0"/>
          <w:u w:val="single"/>
          <w:lang w:eastAsia="zh-CN"/>
        </w:rPr>
        <w:t xml:space="preserve">  按通用合同条款执行   </w:t>
      </w:r>
      <w:r>
        <w:rPr>
          <w:rFonts w:ascii="宋体" w:hAnsi="宋体" w:hint="eastAsia"/>
          <w:lang w:eastAsia="zh-CN"/>
        </w:rPr>
        <w:t>。</w:t>
      </w:r>
    </w:p>
    <w:p w14:paraId="0030EC49">
      <w:pPr>
        <w:spacing w:line="360" w:lineRule="auto"/>
        <w:rPr>
          <w:rFonts w:ascii="宋体" w:hAnsi="宋体"/>
          <w:lang w:eastAsia="zh-CN"/>
        </w:rPr>
      </w:pPr>
      <w:r>
        <w:rPr>
          <w:rFonts w:ascii="宋体" w:hAnsi="宋体" w:hint="eastAsia"/>
          <w:lang w:eastAsia="zh-CN"/>
        </w:rPr>
        <w:t>发包人完成竣工付款的期限：</w:t>
      </w:r>
      <w:r>
        <w:rPr>
          <w:rFonts w:ascii="宋体" w:hAnsi="宋体" w:hint="eastAsia"/>
          <w:color w:val="00B0F0"/>
          <w:u w:val="single"/>
          <w:lang w:eastAsia="zh-CN"/>
        </w:rPr>
        <w:t xml:space="preserve">  按通用合同条款执行     </w:t>
      </w:r>
      <w:r>
        <w:rPr>
          <w:rFonts w:ascii="宋体" w:hAnsi="宋体" w:hint="eastAsia"/>
          <w:lang w:eastAsia="zh-CN"/>
        </w:rPr>
        <w:t>。</w:t>
      </w:r>
    </w:p>
    <w:p w14:paraId="2182D22D">
      <w:pPr>
        <w:spacing w:line="360" w:lineRule="auto"/>
        <w:rPr>
          <w:rFonts w:ascii="宋体" w:hAnsi="宋体"/>
          <w:lang w:eastAsia="zh-CN"/>
        </w:rPr>
      </w:pPr>
      <w:r>
        <w:rPr>
          <w:rFonts w:ascii="宋体" w:hAnsi="宋体" w:hint="eastAsia"/>
          <w:lang w:eastAsia="zh-CN"/>
        </w:rPr>
        <w:t>关于竣工付款证书异议部分复核的方式和程序：</w:t>
      </w:r>
      <w:r>
        <w:rPr>
          <w:rFonts w:ascii="宋体" w:hAnsi="宋体" w:hint="eastAsia"/>
          <w:color w:val="00B0F0"/>
          <w:u w:val="single"/>
          <w:lang w:eastAsia="zh-CN"/>
        </w:rPr>
        <w:t xml:space="preserve">  按通用合同条款执行        </w:t>
      </w:r>
      <w:r>
        <w:rPr>
          <w:rFonts w:ascii="宋体" w:hAnsi="宋体" w:hint="eastAsia"/>
          <w:lang w:eastAsia="zh-CN"/>
        </w:rPr>
        <w:t>。</w:t>
      </w:r>
    </w:p>
    <w:p w14:paraId="741C4D10">
      <w:pPr>
        <w:spacing w:line="360" w:lineRule="auto"/>
        <w:rPr>
          <w:rFonts w:ascii="宋体" w:hAnsi="宋体"/>
          <w:lang w:eastAsia="zh-CN"/>
        </w:rPr>
      </w:pPr>
      <w:r>
        <w:rPr>
          <w:rFonts w:ascii="宋体" w:hAnsi="宋体" w:hint="eastAsia"/>
          <w:lang w:eastAsia="zh-CN"/>
        </w:rPr>
        <w:t>14.4 最终结清</w:t>
      </w:r>
    </w:p>
    <w:p w14:paraId="114B03B6">
      <w:pPr>
        <w:spacing w:line="360" w:lineRule="auto"/>
        <w:rPr>
          <w:rFonts w:ascii="宋体" w:hAnsi="宋体"/>
          <w:lang w:eastAsia="zh-CN"/>
        </w:rPr>
      </w:pPr>
      <w:r>
        <w:rPr>
          <w:rFonts w:ascii="宋体" w:hAnsi="宋体" w:hint="eastAsia"/>
          <w:lang w:eastAsia="zh-CN"/>
        </w:rPr>
        <w:t>14.4.1 最终结清申请单</w:t>
      </w:r>
    </w:p>
    <w:p w14:paraId="74D4F716">
      <w:pPr>
        <w:spacing w:line="360" w:lineRule="auto"/>
        <w:rPr>
          <w:rFonts w:ascii="宋体" w:hAnsi="宋体"/>
          <w:lang w:eastAsia="zh-CN"/>
        </w:rPr>
      </w:pPr>
      <w:r>
        <w:rPr>
          <w:rFonts w:ascii="宋体" w:hAnsi="宋体" w:hint="eastAsia"/>
          <w:lang w:eastAsia="zh-CN"/>
        </w:rPr>
        <w:t>承包人提交最终结清申请单的份数：</w:t>
      </w:r>
      <w:r>
        <w:rPr>
          <w:rFonts w:ascii="宋体" w:hAnsi="宋体" w:hint="eastAsia"/>
          <w:color w:val="00B0F0"/>
          <w:u w:val="single"/>
          <w:lang w:eastAsia="zh-CN"/>
        </w:rPr>
        <w:t xml:space="preserve">     一式五份    </w:t>
      </w:r>
      <w:r>
        <w:rPr>
          <w:rFonts w:ascii="宋体" w:hAnsi="宋体" w:hint="eastAsia"/>
          <w:lang w:eastAsia="zh-CN"/>
        </w:rPr>
        <w:t>。</w:t>
      </w:r>
    </w:p>
    <w:p w14:paraId="16D83A45">
      <w:pPr>
        <w:spacing w:line="360" w:lineRule="auto"/>
        <w:rPr>
          <w:rFonts w:ascii="宋体" w:hAnsi="宋体"/>
          <w:lang w:eastAsia="zh-CN"/>
        </w:rPr>
      </w:pPr>
      <w:r>
        <w:rPr>
          <w:rFonts w:ascii="宋体" w:hAnsi="宋体" w:hint="eastAsia"/>
          <w:lang w:eastAsia="zh-CN"/>
        </w:rPr>
        <w:t>承包人提交最终结算申请单的期限：</w:t>
      </w:r>
      <w:r>
        <w:rPr>
          <w:rFonts w:ascii="宋体" w:hAnsi="宋体" w:hint="eastAsia"/>
          <w:color w:val="00B0F0"/>
          <w:u w:val="single"/>
          <w:lang w:eastAsia="zh-CN"/>
        </w:rPr>
        <w:t xml:space="preserve">   在工程缺陷责任期结束后15日内提交  </w:t>
      </w:r>
      <w:r>
        <w:rPr>
          <w:rFonts w:ascii="宋体" w:hAnsi="宋体" w:hint="eastAsia"/>
          <w:lang w:eastAsia="zh-CN"/>
        </w:rPr>
        <w:t xml:space="preserve">。 </w:t>
      </w:r>
    </w:p>
    <w:p w14:paraId="689643F8">
      <w:pPr>
        <w:spacing w:line="360" w:lineRule="auto"/>
        <w:rPr>
          <w:rFonts w:ascii="宋体" w:hAnsi="宋体"/>
          <w:lang w:eastAsia="zh-CN"/>
        </w:rPr>
      </w:pPr>
      <w:r>
        <w:rPr>
          <w:rFonts w:ascii="宋体" w:hAnsi="宋体" w:hint="eastAsia"/>
          <w:lang w:eastAsia="zh-CN"/>
        </w:rPr>
        <w:t>14.4.2 最终结清证书和支付</w:t>
      </w:r>
    </w:p>
    <w:p w14:paraId="0C5A483A">
      <w:pPr>
        <w:spacing w:line="360" w:lineRule="auto"/>
        <w:rPr>
          <w:rFonts w:ascii="宋体" w:hAnsi="宋体"/>
          <w:lang w:eastAsia="zh-CN"/>
        </w:rPr>
      </w:pPr>
      <w:r>
        <w:rPr>
          <w:rFonts w:ascii="宋体" w:hAnsi="宋体" w:hint="eastAsia"/>
          <w:lang w:eastAsia="zh-CN"/>
        </w:rPr>
        <w:t>（1）发包人完成最终结清申请单的审批并颁发最终结清证书的期限：</w:t>
      </w:r>
      <w:r>
        <w:rPr>
          <w:rFonts w:ascii="宋体" w:hAnsi="宋体" w:hint="eastAsia"/>
          <w:color w:val="00B0F0"/>
          <w:u w:val="single"/>
          <w:lang w:eastAsia="zh-CN"/>
        </w:rPr>
        <w:t xml:space="preserve">    按通用合同条款执行      </w:t>
      </w:r>
      <w:r>
        <w:rPr>
          <w:rFonts w:ascii="宋体" w:hAnsi="宋体" w:hint="eastAsia"/>
          <w:lang w:eastAsia="zh-CN"/>
        </w:rPr>
        <w:t>。</w:t>
      </w:r>
    </w:p>
    <w:p w14:paraId="3B397430">
      <w:pPr>
        <w:spacing w:line="360" w:lineRule="auto"/>
        <w:rPr>
          <w:rFonts w:ascii="宋体" w:hAnsi="宋体"/>
          <w:lang w:eastAsia="zh-CN"/>
        </w:rPr>
      </w:pPr>
      <w:r>
        <w:rPr>
          <w:rFonts w:ascii="宋体" w:hAnsi="宋体" w:hint="eastAsia"/>
          <w:lang w:eastAsia="zh-CN"/>
        </w:rPr>
        <w:t>（2）发包人完成支付的期限：</w:t>
      </w:r>
      <w:r>
        <w:rPr>
          <w:rFonts w:ascii="宋体" w:hAnsi="宋体" w:hint="eastAsia"/>
          <w:color w:val="00B0F0"/>
          <w:u w:val="single"/>
          <w:lang w:eastAsia="zh-CN"/>
        </w:rPr>
        <w:t xml:space="preserve">      按通用合同条款执行     </w:t>
      </w:r>
      <w:r>
        <w:rPr>
          <w:rFonts w:ascii="宋体" w:hAnsi="宋体" w:hint="eastAsia"/>
          <w:lang w:eastAsia="zh-CN"/>
        </w:rPr>
        <w:t>。</w:t>
      </w:r>
    </w:p>
    <w:bookmarkEnd w:id="1018"/>
    <w:bookmarkEnd w:id="1019"/>
    <w:bookmarkEnd w:id="1020"/>
    <w:bookmarkEnd w:id="1021"/>
    <w:bookmarkEnd w:id="1022"/>
    <w:bookmarkEnd w:id="1023"/>
    <w:bookmarkEnd w:id="1024"/>
    <w:bookmarkEnd w:id="1030"/>
    <w:p w14:paraId="2DFF0B95">
      <w:pPr>
        <w:spacing w:line="360" w:lineRule="auto"/>
        <w:rPr>
          <w:rFonts w:ascii="宋体" w:hAnsi="宋体"/>
          <w:bCs/>
          <w:lang w:eastAsia="zh-CN"/>
        </w:rPr>
      </w:pPr>
      <w:bookmarkStart w:id="1032" w:name="_Toc351203647"/>
      <w:bookmarkStart w:id="1033" w:name="_Toc267251483"/>
      <w:bookmarkStart w:id="1034" w:name="_Toc267251482"/>
      <w:bookmarkStart w:id="1035" w:name="_Toc267251484"/>
      <w:bookmarkStart w:id="1036" w:name="_Toc267251485"/>
      <w:bookmarkStart w:id="1037" w:name="_Toc267251490"/>
      <w:bookmarkStart w:id="1038" w:name="_Toc267251486"/>
      <w:bookmarkStart w:id="1039" w:name="_Toc267251488"/>
      <w:bookmarkStart w:id="1040" w:name="_Toc267251489"/>
      <w:bookmarkStart w:id="1041" w:name="_Toc267251497"/>
      <w:bookmarkStart w:id="1042" w:name="_Toc267251499"/>
      <w:bookmarkStart w:id="1043" w:name="_Toc267251502"/>
      <w:bookmarkStart w:id="1044" w:name="_Toc267251494"/>
      <w:bookmarkStart w:id="1045" w:name="_Toc267251496"/>
      <w:bookmarkStart w:id="1046" w:name="_Toc267251492"/>
      <w:bookmarkStart w:id="1047" w:name="_Toc267251493"/>
      <w:bookmarkStart w:id="1048" w:name="_Toc267251495"/>
      <w:bookmarkStart w:id="1049" w:name="_Toc267251498"/>
      <w:bookmarkStart w:id="1050" w:name="_Toc267251503"/>
      <w:bookmarkStart w:id="1051" w:name="_Toc267251491"/>
      <w:bookmarkStart w:id="1052" w:name="_Toc267251501"/>
      <w:bookmarkStart w:id="1053" w:name="_Toc267251504"/>
      <w:bookmarkStart w:id="1054" w:name="_Toc267251506"/>
      <w:bookmarkStart w:id="1055" w:name="_Toc267251507"/>
      <w:bookmarkStart w:id="1056" w:name="_Toc267251508"/>
      <w:bookmarkStart w:id="1057" w:name="_Toc267251509"/>
      <w:bookmarkStart w:id="1058" w:name="_Toc267251514"/>
      <w:bookmarkStart w:id="1059" w:name="_Toc267251510"/>
      <w:bookmarkStart w:id="1060" w:name="_Toc267251513"/>
      <w:bookmarkStart w:id="1061" w:name="_Toc267251511"/>
      <w:bookmarkStart w:id="1062" w:name="_Toc267251515"/>
      <w:r>
        <w:rPr>
          <w:rFonts w:ascii="宋体" w:hAnsi="宋体" w:hint="eastAsia"/>
          <w:bCs/>
          <w:lang w:eastAsia="zh-CN"/>
        </w:rPr>
        <w:t>15. 缺陷责任期与保修</w:t>
      </w:r>
      <w:bookmarkEnd w:id="1032"/>
    </w:p>
    <w:p w14:paraId="1D140EEB">
      <w:pPr>
        <w:spacing w:line="360" w:lineRule="auto"/>
        <w:rPr>
          <w:rFonts w:ascii="宋体" w:hAnsi="宋体"/>
          <w:lang w:eastAsia="zh-CN"/>
        </w:rPr>
      </w:pPr>
      <w:r>
        <w:rPr>
          <w:rFonts w:ascii="宋体" w:hAnsi="宋体" w:hint="eastAsia"/>
          <w:lang w:eastAsia="zh-CN"/>
        </w:rPr>
        <w:t>15.2缺陷责任期</w:t>
      </w:r>
      <w:bookmarkEnd w:id="1033"/>
    </w:p>
    <w:p w14:paraId="147E4BA1">
      <w:pPr>
        <w:spacing w:line="360" w:lineRule="auto"/>
        <w:rPr>
          <w:rFonts w:ascii="宋体" w:hAnsi="宋体"/>
          <w:lang w:eastAsia="zh-CN"/>
        </w:rPr>
      </w:pPr>
      <w:r>
        <w:rPr>
          <w:rFonts w:ascii="宋体" w:hAnsi="宋体" w:hint="eastAsia"/>
          <w:lang w:eastAsia="zh-CN"/>
        </w:rPr>
        <w:t>缺陷责任期的具体期限：</w:t>
      </w:r>
      <w:r>
        <w:rPr>
          <w:rFonts w:ascii="宋体" w:hAnsi="宋体" w:hint="eastAsia"/>
          <w:color w:val="00B0F0"/>
          <w:u w:val="single"/>
          <w:lang w:eastAsia="zh-CN"/>
        </w:rPr>
        <w:t xml:space="preserve">  24个月   </w:t>
      </w:r>
      <w:r>
        <w:rPr>
          <w:rFonts w:ascii="宋体" w:hAnsi="宋体" w:hint="eastAsia"/>
          <w:lang w:eastAsia="zh-CN"/>
        </w:rPr>
        <w:t>。</w:t>
      </w:r>
    </w:p>
    <w:p w14:paraId="7DDE351A">
      <w:pPr>
        <w:spacing w:line="360" w:lineRule="auto"/>
        <w:rPr>
          <w:rFonts w:ascii="宋体" w:hAnsi="宋体"/>
          <w:lang w:eastAsia="zh-CN"/>
        </w:rPr>
      </w:pPr>
      <w:r>
        <w:rPr>
          <w:rFonts w:ascii="宋体" w:hAnsi="宋体" w:hint="eastAsia"/>
          <w:lang w:eastAsia="zh-CN"/>
        </w:rPr>
        <w:t>15.3 质量保证金</w:t>
      </w:r>
    </w:p>
    <w:p w14:paraId="40965C70">
      <w:pPr>
        <w:spacing w:line="360" w:lineRule="auto"/>
        <w:rPr>
          <w:rFonts w:ascii="宋体" w:hAnsi="宋体"/>
          <w:lang w:eastAsia="zh-CN"/>
        </w:rPr>
      </w:pPr>
      <w:r>
        <w:rPr>
          <w:rFonts w:ascii="宋体" w:hAnsi="宋体" w:hint="eastAsia"/>
          <w:lang w:eastAsia="zh-CN"/>
        </w:rPr>
        <w:t>关于是否扣留质量保证金的约定：</w:t>
      </w:r>
      <w:r>
        <w:rPr>
          <w:rFonts w:ascii="宋体" w:hAnsi="宋体" w:hint="eastAsia"/>
          <w:color w:val="00B0F0"/>
          <w:u w:val="single"/>
          <w:lang w:eastAsia="zh-CN"/>
        </w:rPr>
        <w:t xml:space="preserve"> 扣留工程款审计结算价的3%为质量保证金(可以选择现金、保函保证保险任何一种形式缴纳)  </w:t>
      </w:r>
      <w:r>
        <w:rPr>
          <w:rFonts w:ascii="宋体" w:hAnsi="宋体" w:hint="eastAsia"/>
          <w:lang w:eastAsia="zh-CN"/>
        </w:rPr>
        <w:t>。在工程项目竣工前，承包人按专用合同条款第3.7条提供履约担保的，发包人不得同时预留工程质量保证金。</w:t>
      </w:r>
    </w:p>
    <w:p w14:paraId="37DB106A">
      <w:pPr>
        <w:spacing w:line="360" w:lineRule="auto"/>
        <w:rPr>
          <w:rFonts w:ascii="宋体" w:hAnsi="宋体"/>
          <w:lang w:eastAsia="zh-CN"/>
        </w:rPr>
      </w:pPr>
      <w:r>
        <w:rPr>
          <w:rFonts w:ascii="宋体" w:hAnsi="宋体" w:hint="eastAsia"/>
          <w:lang w:eastAsia="zh-CN"/>
        </w:rPr>
        <w:t>15.3.1 承包人提供质量保证金的方式</w:t>
      </w:r>
    </w:p>
    <w:p w14:paraId="641E072B">
      <w:pPr>
        <w:spacing w:line="360" w:lineRule="auto"/>
        <w:rPr>
          <w:rFonts w:ascii="宋体" w:hAnsi="宋体"/>
          <w:lang w:eastAsia="zh-CN"/>
        </w:rPr>
      </w:pPr>
      <w:r>
        <w:rPr>
          <w:rFonts w:ascii="宋体" w:hAnsi="宋体" w:hint="eastAsia"/>
          <w:lang w:eastAsia="zh-CN"/>
        </w:rPr>
        <w:t>质量保证金采用以下第</w:t>
      </w:r>
      <w:r>
        <w:rPr>
          <w:rFonts w:ascii="宋体" w:hAnsi="宋体" w:hint="eastAsia"/>
          <w:color w:val="00B0F0"/>
          <w:u w:val="single"/>
          <w:lang w:eastAsia="zh-CN"/>
        </w:rPr>
        <w:t xml:space="preserve">  （2）   </w:t>
      </w:r>
      <w:r>
        <w:rPr>
          <w:rFonts w:ascii="宋体" w:hAnsi="宋体" w:hint="eastAsia"/>
          <w:lang w:eastAsia="zh-CN"/>
        </w:rPr>
        <w:t>种方式：</w:t>
      </w:r>
    </w:p>
    <w:p w14:paraId="5DF0E5CB">
      <w:pPr>
        <w:spacing w:line="360" w:lineRule="auto"/>
        <w:rPr>
          <w:rFonts w:ascii="宋体" w:hAnsi="宋体"/>
          <w:lang w:eastAsia="zh-CN"/>
        </w:rPr>
      </w:pPr>
      <w:r>
        <w:rPr>
          <w:rFonts w:ascii="宋体" w:hAnsi="宋体" w:hint="eastAsia"/>
          <w:lang w:eastAsia="zh-CN"/>
        </w:rPr>
        <w:t>（1）质量保证金保函，保证金额为：</w:t>
      </w:r>
      <w:r>
        <w:rPr>
          <w:rFonts w:ascii="宋体" w:hAnsi="宋体" w:hint="eastAsia"/>
          <w:color w:val="00B0F0"/>
          <w:u w:val="single"/>
          <w:lang w:eastAsia="zh-CN"/>
        </w:rPr>
        <w:t xml:space="preserve">            </w:t>
      </w:r>
      <w:r>
        <w:rPr>
          <w:rFonts w:ascii="宋体" w:hAnsi="宋体" w:hint="eastAsia"/>
          <w:color w:val="00B0F0"/>
          <w:u w:val="single"/>
          <w:lang w:val="en-US" w:eastAsia="zh-CN"/>
        </w:rPr>
        <w:t>/</w:t>
      </w:r>
      <w:r>
        <w:rPr>
          <w:rFonts w:ascii="宋体" w:hAnsi="宋体" w:hint="eastAsia"/>
          <w:color w:val="00B0F0"/>
          <w:u w:val="single"/>
          <w:lang w:eastAsia="zh-CN"/>
        </w:rPr>
        <w:t xml:space="preserve">       </w:t>
      </w:r>
      <w:r>
        <w:rPr>
          <w:rFonts w:ascii="宋体" w:hAnsi="宋体" w:hint="eastAsia"/>
          <w:lang w:eastAsia="zh-CN"/>
        </w:rPr>
        <w:t xml:space="preserve">； </w:t>
      </w:r>
    </w:p>
    <w:p w14:paraId="1341F4C7">
      <w:pPr>
        <w:spacing w:line="360" w:lineRule="auto"/>
        <w:rPr>
          <w:rFonts w:ascii="宋体" w:hAnsi="宋体"/>
        </w:rPr>
      </w:pPr>
      <w:r>
        <w:rPr>
          <w:rFonts w:ascii="宋体" w:hAnsi="宋体" w:hint="eastAsia"/>
        </w:rPr>
        <w:t>（2）</w:t>
      </w:r>
      <w:r>
        <w:rPr>
          <w:rFonts w:ascii="宋体" w:hAnsi="宋体" w:hint="eastAsia"/>
          <w:color w:val="00B0F0"/>
          <w:u w:val="single"/>
        </w:rPr>
        <w:t xml:space="preserve">    3   </w:t>
      </w:r>
      <w:r>
        <w:rPr>
          <w:rFonts w:ascii="宋体" w:hAnsi="宋体" w:hint="eastAsia"/>
        </w:rPr>
        <w:t>%的工程款；</w:t>
      </w:r>
    </w:p>
    <w:p w14:paraId="5B92C56F">
      <w:pPr>
        <w:spacing w:line="360" w:lineRule="auto"/>
        <w:rPr>
          <w:rFonts w:ascii="宋体" w:hAnsi="宋体"/>
        </w:rPr>
      </w:pPr>
      <w:r>
        <w:rPr>
          <w:rFonts w:ascii="宋体" w:hAnsi="宋体" w:hint="eastAsia"/>
        </w:rPr>
        <w:t>（3）其他方式:</w:t>
      </w:r>
      <w:r>
        <w:rPr>
          <w:rFonts w:ascii="宋体" w:hAnsi="宋体" w:hint="eastAsia"/>
          <w:color w:val="00B0F0"/>
          <w:u w:val="single"/>
        </w:rPr>
        <w:t xml:space="preserve">        </w:t>
      </w:r>
      <w:r>
        <w:rPr>
          <w:rFonts w:ascii="宋体" w:hAnsi="宋体" w:hint="eastAsia"/>
          <w:color w:val="00B0F0"/>
          <w:u w:val="single"/>
          <w:lang w:val="en-US" w:eastAsia="zh-CN"/>
        </w:rPr>
        <w:t>/</w:t>
      </w:r>
      <w:r>
        <w:rPr>
          <w:rFonts w:ascii="宋体" w:hAnsi="宋体" w:hint="eastAsia"/>
          <w:color w:val="00B0F0"/>
          <w:u w:val="single"/>
        </w:rPr>
        <w:t xml:space="preserve">            </w:t>
      </w:r>
      <w:r>
        <w:rPr>
          <w:rFonts w:ascii="宋体" w:hAnsi="宋体" w:hint="eastAsia"/>
        </w:rPr>
        <w:t>。</w:t>
      </w:r>
    </w:p>
    <w:p w14:paraId="3485007C">
      <w:pPr>
        <w:spacing w:line="360" w:lineRule="auto"/>
        <w:rPr>
          <w:rFonts w:ascii="宋体" w:hAnsi="宋体"/>
          <w:lang w:eastAsia="zh-CN"/>
        </w:rPr>
      </w:pPr>
      <w:r>
        <w:rPr>
          <w:rFonts w:ascii="宋体" w:hAnsi="宋体" w:hint="eastAsia"/>
          <w:lang w:eastAsia="zh-CN"/>
        </w:rPr>
        <w:t xml:space="preserve">15.3.2 质量保证金的扣留 </w:t>
      </w:r>
    </w:p>
    <w:p w14:paraId="4389C65A">
      <w:pPr>
        <w:spacing w:line="360" w:lineRule="auto"/>
        <w:rPr>
          <w:rFonts w:ascii="宋体" w:hAnsi="宋体"/>
          <w:lang w:eastAsia="zh-CN"/>
        </w:rPr>
      </w:pPr>
      <w:r>
        <w:rPr>
          <w:rFonts w:ascii="宋体" w:hAnsi="宋体" w:hint="eastAsia"/>
          <w:lang w:eastAsia="zh-CN"/>
        </w:rPr>
        <w:t>质量保证金的扣留采取以下第</w:t>
      </w:r>
      <w:r>
        <w:rPr>
          <w:rFonts w:ascii="宋体" w:hAnsi="宋体" w:hint="eastAsia"/>
          <w:color w:val="00B0F0"/>
          <w:u w:val="single"/>
          <w:lang w:eastAsia="zh-CN"/>
        </w:rPr>
        <w:t xml:space="preserve">   （2）  </w:t>
      </w:r>
      <w:r>
        <w:rPr>
          <w:rFonts w:ascii="宋体" w:hAnsi="宋体" w:hint="eastAsia"/>
          <w:lang w:eastAsia="zh-CN"/>
        </w:rPr>
        <w:t>种方式：</w:t>
      </w:r>
    </w:p>
    <w:p w14:paraId="40E3B1C2">
      <w:pPr>
        <w:spacing w:line="360" w:lineRule="auto"/>
        <w:rPr>
          <w:rFonts w:ascii="宋体" w:hAnsi="宋体"/>
          <w:lang w:eastAsia="zh-CN"/>
        </w:rPr>
      </w:pPr>
      <w:r>
        <w:rPr>
          <w:rFonts w:ascii="宋体" w:hAnsi="宋体" w:hint="eastAsia"/>
          <w:lang w:eastAsia="zh-CN"/>
        </w:rPr>
        <w:t>（1）在支付工程进度款时逐次扣留，在此情形下，质量保证金的计算基数不包括预付款的支付、扣回以及价格调整的金额；</w:t>
      </w:r>
    </w:p>
    <w:p w14:paraId="6556E00B">
      <w:pPr>
        <w:spacing w:line="360" w:lineRule="auto"/>
        <w:rPr>
          <w:rFonts w:ascii="宋体" w:hAnsi="宋体"/>
          <w:lang w:eastAsia="zh-CN"/>
        </w:rPr>
      </w:pPr>
      <w:r>
        <w:rPr>
          <w:rFonts w:ascii="宋体" w:hAnsi="宋体" w:hint="eastAsia"/>
          <w:lang w:eastAsia="zh-CN"/>
        </w:rPr>
        <w:t>（2）工程竣工结算时一次性扣留质量保证金；</w:t>
      </w:r>
    </w:p>
    <w:p w14:paraId="2AE92ABF">
      <w:pPr>
        <w:spacing w:line="360" w:lineRule="auto"/>
        <w:rPr>
          <w:rFonts w:ascii="宋体" w:hAnsi="宋体"/>
          <w:lang w:eastAsia="zh-CN"/>
        </w:rPr>
      </w:pPr>
      <w:r>
        <w:rPr>
          <w:rFonts w:ascii="宋体" w:hAnsi="宋体" w:hint="eastAsia"/>
          <w:lang w:eastAsia="zh-CN"/>
        </w:rPr>
        <w:t>（3）其他扣留方式:</w:t>
      </w:r>
      <w:r>
        <w:rPr>
          <w:rFonts w:ascii="宋体" w:hAnsi="宋体" w:hint="eastAsia"/>
          <w:color w:val="00B0F0"/>
          <w:u w:val="single"/>
          <w:lang w:eastAsia="zh-CN"/>
        </w:rPr>
        <w:t xml:space="preserve">          /           </w:t>
      </w:r>
      <w:r>
        <w:rPr>
          <w:rFonts w:ascii="宋体" w:hAnsi="宋体" w:hint="eastAsia"/>
          <w:lang w:eastAsia="zh-CN"/>
        </w:rPr>
        <w:t>。</w:t>
      </w:r>
    </w:p>
    <w:p w14:paraId="045BE684">
      <w:pPr>
        <w:spacing w:line="360" w:lineRule="auto"/>
        <w:rPr>
          <w:rFonts w:ascii="宋体" w:hAnsi="宋体"/>
          <w:lang w:eastAsia="zh-CN"/>
        </w:rPr>
      </w:pPr>
      <w:r>
        <w:rPr>
          <w:rFonts w:ascii="宋体" w:hAnsi="宋体" w:hint="eastAsia"/>
          <w:lang w:eastAsia="zh-CN"/>
        </w:rPr>
        <w:t>关于质量保证金的补充约定：</w:t>
      </w:r>
      <w:r>
        <w:rPr>
          <w:rFonts w:ascii="宋体" w:hAnsi="宋体" w:hint="eastAsia"/>
          <w:color w:val="00B0F0"/>
          <w:u w:val="single"/>
          <w:lang w:eastAsia="zh-CN"/>
        </w:rPr>
        <w:t xml:space="preserve">      /          </w:t>
      </w:r>
      <w:r>
        <w:rPr>
          <w:rFonts w:ascii="宋体" w:hAnsi="宋体" w:hint="eastAsia"/>
          <w:lang w:eastAsia="zh-CN"/>
        </w:rPr>
        <w:t>。</w:t>
      </w:r>
    </w:p>
    <w:bookmarkEnd w:id="1034"/>
    <w:bookmarkEnd w:id="1035"/>
    <w:p w14:paraId="0F484893">
      <w:pPr>
        <w:spacing w:line="360" w:lineRule="auto"/>
        <w:rPr>
          <w:rFonts w:ascii="宋体" w:hAnsi="宋体"/>
          <w:lang w:eastAsia="zh-CN"/>
        </w:rPr>
      </w:pPr>
      <w:r>
        <w:rPr>
          <w:rFonts w:ascii="宋体" w:hAnsi="宋体" w:hint="eastAsia"/>
          <w:lang w:eastAsia="zh-CN"/>
        </w:rPr>
        <w:t>15.4保修</w:t>
      </w:r>
    </w:p>
    <w:bookmarkEnd w:id="1036"/>
    <w:p w14:paraId="4F602C0C">
      <w:pPr>
        <w:spacing w:line="360" w:lineRule="auto"/>
        <w:rPr>
          <w:rFonts w:ascii="宋体" w:hAnsi="宋体"/>
          <w:lang w:eastAsia="zh-CN"/>
        </w:rPr>
      </w:pPr>
      <w:r>
        <w:rPr>
          <w:rFonts w:ascii="宋体" w:hAnsi="宋体" w:hint="eastAsia"/>
          <w:lang w:eastAsia="zh-CN"/>
        </w:rPr>
        <w:t>15.4.1 保修责任</w:t>
      </w:r>
    </w:p>
    <w:p w14:paraId="05FC4C4F">
      <w:pPr>
        <w:spacing w:line="360" w:lineRule="auto"/>
        <w:rPr>
          <w:rFonts w:ascii="宋体" w:hAnsi="宋体"/>
          <w:lang w:eastAsia="zh-CN"/>
        </w:rPr>
      </w:pPr>
      <w:r>
        <w:rPr>
          <w:rFonts w:ascii="宋体" w:hAnsi="宋体" w:hint="eastAsia"/>
          <w:lang w:eastAsia="zh-CN"/>
        </w:rPr>
        <w:t>工程保修期为：</w:t>
      </w:r>
      <w:r>
        <w:rPr>
          <w:rFonts w:ascii="宋体" w:hAnsi="宋体" w:hint="eastAsia"/>
          <w:color w:val="00B0F0"/>
          <w:u w:val="single"/>
          <w:lang w:eastAsia="zh-CN"/>
        </w:rPr>
        <w:t xml:space="preserve">   按通用条款及质量保修书约定执行    </w:t>
      </w:r>
      <w:r>
        <w:rPr>
          <w:rFonts w:ascii="宋体" w:hAnsi="宋体" w:hint="eastAsia"/>
          <w:lang w:eastAsia="zh-CN"/>
        </w:rPr>
        <w:t>。</w:t>
      </w:r>
    </w:p>
    <w:p w14:paraId="167AD990">
      <w:pPr>
        <w:spacing w:line="360" w:lineRule="auto"/>
        <w:rPr>
          <w:rFonts w:ascii="宋体" w:hAnsi="宋体"/>
          <w:lang w:eastAsia="zh-CN"/>
        </w:rPr>
      </w:pPr>
      <w:r>
        <w:rPr>
          <w:rFonts w:ascii="宋体" w:hAnsi="宋体" w:hint="eastAsia"/>
          <w:lang w:eastAsia="zh-CN"/>
        </w:rPr>
        <w:t>15.4.3 修复通知</w:t>
      </w:r>
    </w:p>
    <w:p w14:paraId="32C020E4">
      <w:pPr>
        <w:spacing w:line="360" w:lineRule="auto"/>
        <w:rPr>
          <w:rFonts w:ascii="宋体" w:hAnsi="宋体"/>
          <w:lang w:eastAsia="zh-CN"/>
        </w:rPr>
      </w:pPr>
      <w:r>
        <w:rPr>
          <w:rFonts w:ascii="宋体" w:hAnsi="宋体" w:hint="eastAsia"/>
          <w:lang w:eastAsia="zh-CN"/>
        </w:rPr>
        <w:t>承包人收到保修通知并到达工程现场的合理时间：</w:t>
      </w:r>
      <w:r>
        <w:rPr>
          <w:rFonts w:ascii="宋体" w:hAnsi="宋体" w:hint="eastAsia"/>
          <w:color w:val="00B0F0"/>
          <w:u w:val="single"/>
          <w:lang w:eastAsia="zh-CN"/>
        </w:rPr>
        <w:t xml:space="preserve">   24小时内      </w:t>
      </w:r>
      <w:r>
        <w:rPr>
          <w:rFonts w:ascii="宋体" w:hAnsi="宋体" w:hint="eastAsia"/>
          <w:lang w:eastAsia="zh-CN"/>
        </w:rPr>
        <w:t>。</w:t>
      </w:r>
    </w:p>
    <w:bookmarkEnd w:id="1037"/>
    <w:bookmarkEnd w:id="1038"/>
    <w:bookmarkEnd w:id="1039"/>
    <w:bookmarkEnd w:id="1040"/>
    <w:p w14:paraId="79A51B5A">
      <w:pPr>
        <w:spacing w:line="360" w:lineRule="auto"/>
        <w:rPr>
          <w:rFonts w:ascii="宋体" w:hAnsi="宋体"/>
          <w:bCs/>
          <w:lang w:eastAsia="zh-CN"/>
        </w:rPr>
      </w:pPr>
      <w:bookmarkStart w:id="1063" w:name="_Toc351203648"/>
      <w:bookmarkStart w:id="1064" w:name="_Toc280868717"/>
      <w:bookmarkStart w:id="1065" w:name="_Toc280868718"/>
      <w:r>
        <w:rPr>
          <w:rFonts w:ascii="宋体" w:hAnsi="宋体" w:hint="eastAsia"/>
          <w:bCs/>
          <w:lang w:eastAsia="zh-CN"/>
        </w:rPr>
        <w:t>16. 违约</w:t>
      </w:r>
      <w:bookmarkEnd w:id="1063"/>
    </w:p>
    <w:p w14:paraId="4BC465BC">
      <w:pPr>
        <w:spacing w:line="360" w:lineRule="auto"/>
        <w:rPr>
          <w:rFonts w:ascii="宋体" w:hAnsi="宋体"/>
          <w:lang w:eastAsia="zh-CN"/>
        </w:rPr>
      </w:pPr>
      <w:r>
        <w:rPr>
          <w:rFonts w:ascii="宋体" w:hAnsi="宋体" w:hint="eastAsia"/>
          <w:lang w:eastAsia="zh-CN"/>
        </w:rPr>
        <w:t>16.1 发包人违约</w:t>
      </w:r>
    </w:p>
    <w:p w14:paraId="2CB6A70A">
      <w:pPr>
        <w:spacing w:line="360" w:lineRule="auto"/>
        <w:rPr>
          <w:rFonts w:ascii="宋体" w:hAnsi="宋体"/>
          <w:lang w:eastAsia="zh-CN"/>
        </w:rPr>
      </w:pPr>
      <w:r>
        <w:rPr>
          <w:rFonts w:ascii="宋体" w:hAnsi="宋体" w:hint="eastAsia"/>
          <w:lang w:eastAsia="zh-CN"/>
        </w:rPr>
        <w:t>16.1.1发包人违约的情形</w:t>
      </w:r>
    </w:p>
    <w:p w14:paraId="6B52DDFD">
      <w:pPr>
        <w:spacing w:line="360" w:lineRule="auto"/>
        <w:rPr>
          <w:rFonts w:ascii="宋体" w:hAnsi="宋体"/>
          <w:lang w:eastAsia="zh-CN"/>
        </w:rPr>
      </w:pPr>
      <w:r>
        <w:rPr>
          <w:rFonts w:ascii="宋体" w:hAnsi="宋体" w:hint="eastAsia"/>
          <w:lang w:eastAsia="zh-CN"/>
        </w:rPr>
        <w:t>发包人违约的其他情形：</w:t>
      </w:r>
      <w:r>
        <w:rPr>
          <w:rFonts w:ascii="宋体" w:hAnsi="宋体" w:hint="eastAsia"/>
          <w:color w:val="00B0F0"/>
          <w:u w:val="single"/>
          <w:lang w:eastAsia="zh-CN"/>
        </w:rPr>
        <w:t xml:space="preserve">      /      </w:t>
      </w:r>
      <w:r>
        <w:rPr>
          <w:rFonts w:ascii="宋体" w:hAnsi="宋体" w:hint="eastAsia"/>
          <w:lang w:eastAsia="zh-CN"/>
        </w:rPr>
        <w:t>。</w:t>
      </w:r>
    </w:p>
    <w:p w14:paraId="1ECB286A">
      <w:pPr>
        <w:spacing w:line="360" w:lineRule="auto"/>
        <w:rPr>
          <w:rFonts w:ascii="宋体" w:hAnsi="宋体"/>
          <w:lang w:eastAsia="zh-CN"/>
        </w:rPr>
      </w:pPr>
      <w:r>
        <w:rPr>
          <w:rFonts w:ascii="宋体" w:hAnsi="宋体" w:hint="eastAsia"/>
          <w:lang w:eastAsia="zh-CN"/>
        </w:rPr>
        <w:t xml:space="preserve">    16.1.2 发包人违约的责任</w:t>
      </w:r>
    </w:p>
    <w:p w14:paraId="03224F09">
      <w:pPr>
        <w:spacing w:line="360" w:lineRule="auto"/>
        <w:rPr>
          <w:rFonts w:ascii="宋体" w:hAnsi="宋体"/>
          <w:lang w:eastAsia="zh-CN"/>
        </w:rPr>
      </w:pPr>
      <w:r>
        <w:rPr>
          <w:rFonts w:ascii="宋体" w:hAnsi="宋体" w:hint="eastAsia"/>
          <w:lang w:eastAsia="zh-CN"/>
        </w:rPr>
        <w:t>发包人违约责任的承担方式和计算方法：</w:t>
      </w:r>
    </w:p>
    <w:p w14:paraId="78CC4D22">
      <w:pPr>
        <w:spacing w:line="360" w:lineRule="auto"/>
        <w:rPr>
          <w:rFonts w:ascii="宋体" w:hAnsi="宋体"/>
          <w:u w:val="single"/>
          <w:lang w:eastAsia="zh-CN"/>
        </w:rPr>
      </w:pPr>
      <w:r>
        <w:rPr>
          <w:rFonts w:ascii="宋体" w:hAnsi="宋体" w:hint="eastAsia"/>
          <w:lang w:eastAsia="zh-CN"/>
        </w:rPr>
        <w:t>（1）因发包人原因未能在计划开工日期前7天内下达开工通知的违约责任：</w:t>
      </w:r>
      <w:r>
        <w:rPr>
          <w:rFonts w:ascii="宋体" w:hAnsi="宋体" w:hint="eastAsia"/>
          <w:color w:val="00B0F0"/>
          <w:u w:val="single"/>
          <w:lang w:eastAsia="zh-CN"/>
        </w:rPr>
        <w:t xml:space="preserve"> /    </w:t>
      </w:r>
      <w:r>
        <w:rPr>
          <w:rFonts w:ascii="宋体" w:hAnsi="宋体" w:hint="eastAsia"/>
          <w:lang w:eastAsia="zh-CN"/>
        </w:rPr>
        <w:t>。</w:t>
      </w:r>
    </w:p>
    <w:p w14:paraId="1EF3DA44">
      <w:pPr>
        <w:spacing w:line="360" w:lineRule="auto"/>
        <w:rPr>
          <w:rFonts w:ascii="宋体" w:hAnsi="宋体"/>
          <w:lang w:eastAsia="zh-CN"/>
        </w:rPr>
      </w:pPr>
      <w:r>
        <w:rPr>
          <w:rFonts w:ascii="宋体" w:hAnsi="宋体" w:hint="eastAsia"/>
          <w:lang w:eastAsia="zh-CN"/>
        </w:rPr>
        <w:t>（2）因发包人原因未能按合同约定支付合同价款的违约责任：</w:t>
      </w:r>
      <w:r>
        <w:rPr>
          <w:rFonts w:ascii="宋体" w:hAnsi="宋体" w:hint="eastAsia"/>
          <w:color w:val="00B0F0"/>
          <w:u w:val="single"/>
          <w:lang w:eastAsia="zh-CN"/>
        </w:rPr>
        <w:t xml:space="preserve"> /  </w:t>
      </w:r>
      <w:r>
        <w:rPr>
          <w:rFonts w:ascii="宋体" w:hAnsi="宋体" w:hint="eastAsia"/>
          <w:lang w:eastAsia="zh-CN"/>
        </w:rPr>
        <w:t>。</w:t>
      </w:r>
    </w:p>
    <w:p w14:paraId="52A48E5F">
      <w:pPr>
        <w:spacing w:line="360" w:lineRule="auto"/>
        <w:rPr>
          <w:rFonts w:ascii="宋体" w:hAnsi="宋体"/>
          <w:lang w:eastAsia="zh-CN"/>
        </w:rPr>
      </w:pPr>
      <w:r>
        <w:rPr>
          <w:rFonts w:ascii="宋体" w:hAnsi="宋体" w:hint="eastAsia"/>
          <w:lang w:eastAsia="zh-CN"/>
        </w:rPr>
        <w:t>（3）发包人违反第10.1款〔变更的范围〕第（2）项约定，自行实施被取消的工作或转由他人实施的违约责任：</w:t>
      </w:r>
      <w:r>
        <w:rPr>
          <w:rFonts w:ascii="宋体" w:hAnsi="宋体" w:hint="eastAsia"/>
          <w:color w:val="00B0F0"/>
          <w:u w:val="single"/>
          <w:lang w:eastAsia="zh-CN"/>
        </w:rPr>
        <w:t xml:space="preserve"> /  </w:t>
      </w:r>
      <w:r>
        <w:rPr>
          <w:rFonts w:ascii="宋体" w:hAnsi="宋体" w:hint="eastAsia"/>
          <w:lang w:eastAsia="zh-CN"/>
        </w:rPr>
        <w:t>。</w:t>
      </w:r>
    </w:p>
    <w:p w14:paraId="1B676B97">
      <w:pPr>
        <w:spacing w:line="360" w:lineRule="auto"/>
        <w:rPr>
          <w:rFonts w:ascii="宋体" w:hAnsi="宋体"/>
          <w:lang w:eastAsia="zh-CN"/>
        </w:rPr>
      </w:pPr>
      <w:r>
        <w:rPr>
          <w:rFonts w:ascii="宋体" w:hAnsi="宋体" w:hint="eastAsia"/>
          <w:lang w:eastAsia="zh-CN"/>
        </w:rPr>
        <w:t>（4）发包人提供的材料、工程设备的规格、数量或质量不符合合同约定，或因发包人原因导致交货日期延误或交货地点变更等情况的违约责任：</w:t>
      </w:r>
      <w:r>
        <w:rPr>
          <w:rFonts w:ascii="宋体" w:hAnsi="宋体" w:hint="eastAsia"/>
          <w:color w:val="00B0F0"/>
          <w:u w:val="single"/>
          <w:lang w:eastAsia="zh-CN"/>
        </w:rPr>
        <w:t xml:space="preserve"> /  </w:t>
      </w:r>
      <w:r>
        <w:rPr>
          <w:rFonts w:ascii="宋体" w:hAnsi="宋体" w:hint="eastAsia"/>
          <w:lang w:eastAsia="zh-CN"/>
        </w:rPr>
        <w:t>。</w:t>
      </w:r>
    </w:p>
    <w:p w14:paraId="79BF48F3">
      <w:pPr>
        <w:spacing w:line="360" w:lineRule="auto"/>
        <w:rPr>
          <w:rFonts w:ascii="宋体" w:hAnsi="宋体"/>
          <w:lang w:eastAsia="zh-CN"/>
        </w:rPr>
      </w:pPr>
      <w:r>
        <w:rPr>
          <w:rFonts w:ascii="宋体" w:hAnsi="宋体" w:hint="eastAsia"/>
          <w:lang w:eastAsia="zh-CN"/>
        </w:rPr>
        <w:t>（5）因发包人违反合同约定造成暂停施工的违约责任：</w:t>
      </w:r>
      <w:r>
        <w:rPr>
          <w:rFonts w:ascii="宋体" w:hAnsi="宋体" w:hint="eastAsia"/>
          <w:color w:val="00B0F0"/>
          <w:u w:val="single"/>
          <w:lang w:eastAsia="zh-CN"/>
        </w:rPr>
        <w:t xml:space="preserve">   /   </w:t>
      </w:r>
      <w:r>
        <w:rPr>
          <w:rFonts w:ascii="宋体" w:hAnsi="宋体" w:hint="eastAsia"/>
          <w:lang w:eastAsia="zh-CN"/>
        </w:rPr>
        <w:t>。</w:t>
      </w:r>
    </w:p>
    <w:p w14:paraId="3F61ABAF">
      <w:pPr>
        <w:spacing w:line="360" w:lineRule="auto"/>
        <w:rPr>
          <w:rFonts w:ascii="宋体" w:hAnsi="宋体"/>
          <w:lang w:eastAsia="zh-CN"/>
        </w:rPr>
      </w:pPr>
      <w:r>
        <w:rPr>
          <w:rFonts w:ascii="宋体" w:hAnsi="宋体" w:hint="eastAsia"/>
          <w:lang w:eastAsia="zh-CN"/>
        </w:rPr>
        <w:t>（6）发包人无正当理由没有在约定期限内发出复工指示，导致承包人无法复工的违约责任：</w:t>
      </w:r>
      <w:r>
        <w:rPr>
          <w:rFonts w:ascii="宋体" w:hAnsi="宋体" w:hint="eastAsia"/>
          <w:color w:val="00B0F0"/>
          <w:u w:val="single"/>
          <w:lang w:eastAsia="zh-CN"/>
        </w:rPr>
        <w:t xml:space="preserve">                                     </w:t>
      </w:r>
      <w:r>
        <w:rPr>
          <w:rFonts w:ascii="宋体" w:hAnsi="宋体" w:hint="eastAsia"/>
          <w:lang w:eastAsia="zh-CN"/>
        </w:rPr>
        <w:t>。</w:t>
      </w:r>
    </w:p>
    <w:p w14:paraId="7342E9C9">
      <w:pPr>
        <w:spacing w:line="360" w:lineRule="auto"/>
        <w:rPr>
          <w:rFonts w:ascii="宋体" w:hAnsi="宋体"/>
          <w:lang w:eastAsia="zh-CN"/>
        </w:rPr>
      </w:pPr>
      <w:r>
        <w:rPr>
          <w:rFonts w:ascii="宋体" w:hAnsi="宋体" w:hint="eastAsia"/>
          <w:lang w:eastAsia="zh-CN"/>
        </w:rPr>
        <w:t>（7）其他：</w:t>
      </w:r>
      <w:r>
        <w:rPr>
          <w:rFonts w:ascii="宋体" w:hAnsi="宋体" w:hint="eastAsia"/>
          <w:color w:val="00B0F0"/>
          <w:u w:val="single"/>
          <w:lang w:eastAsia="zh-CN"/>
        </w:rPr>
        <w:t xml:space="preserve">                                     </w:t>
      </w:r>
      <w:r>
        <w:rPr>
          <w:rFonts w:ascii="宋体" w:hAnsi="宋体" w:hint="eastAsia"/>
          <w:lang w:eastAsia="zh-CN"/>
        </w:rPr>
        <w:t>。</w:t>
      </w:r>
    </w:p>
    <w:p w14:paraId="7EA6545F">
      <w:pPr>
        <w:spacing w:line="360" w:lineRule="auto"/>
        <w:rPr>
          <w:rFonts w:ascii="宋体" w:hAnsi="宋体"/>
          <w:lang w:eastAsia="zh-CN"/>
        </w:rPr>
      </w:pPr>
      <w:r>
        <w:rPr>
          <w:rFonts w:ascii="宋体" w:hAnsi="宋体" w:hint="eastAsia"/>
          <w:lang w:eastAsia="zh-CN"/>
        </w:rPr>
        <w:t>16.1.3 因发包人违约解除合同</w:t>
      </w:r>
    </w:p>
    <w:p w14:paraId="0A07122B">
      <w:pPr>
        <w:spacing w:line="360" w:lineRule="auto"/>
        <w:rPr>
          <w:rFonts w:ascii="宋体" w:hAnsi="宋体"/>
          <w:lang w:eastAsia="zh-CN"/>
        </w:rPr>
      </w:pPr>
      <w:r>
        <w:rPr>
          <w:rFonts w:ascii="宋体" w:hAnsi="宋体" w:hint="eastAsia"/>
          <w:lang w:eastAsia="zh-CN"/>
        </w:rPr>
        <w:t>承包人按16.1.1项〔发包人违约的情形〕约定暂停施工满</w:t>
      </w:r>
      <w:r>
        <w:rPr>
          <w:rFonts w:ascii="宋体" w:hAnsi="宋体" w:hint="eastAsia"/>
          <w:color w:val="00B0F0"/>
          <w:u w:val="single"/>
          <w:lang w:eastAsia="zh-CN"/>
        </w:rPr>
        <w:t xml:space="preserve">  /  </w:t>
      </w:r>
      <w:r>
        <w:rPr>
          <w:rFonts w:ascii="宋体" w:hAnsi="宋体" w:hint="eastAsia"/>
          <w:lang w:eastAsia="zh-CN"/>
        </w:rPr>
        <w:t>天后发包人仍不纠正其违约行为并致使合同目的不能实现的，承包人有权解除合同。</w:t>
      </w:r>
    </w:p>
    <w:p w14:paraId="21F65831">
      <w:pPr>
        <w:spacing w:line="360" w:lineRule="auto"/>
        <w:rPr>
          <w:rFonts w:ascii="宋体" w:hAnsi="宋体"/>
          <w:lang w:eastAsia="zh-CN"/>
        </w:rPr>
      </w:pPr>
      <w:r>
        <w:rPr>
          <w:rFonts w:ascii="宋体" w:hAnsi="宋体" w:hint="eastAsia"/>
          <w:lang w:eastAsia="zh-CN"/>
        </w:rPr>
        <w:t>16.2 承包人违约</w:t>
      </w:r>
    </w:p>
    <w:p w14:paraId="186227C1">
      <w:pPr>
        <w:spacing w:line="360" w:lineRule="auto"/>
        <w:rPr>
          <w:rFonts w:ascii="宋体" w:hAnsi="宋体"/>
          <w:lang w:eastAsia="zh-CN"/>
        </w:rPr>
      </w:pPr>
      <w:r>
        <w:rPr>
          <w:rFonts w:ascii="宋体" w:hAnsi="宋体" w:hint="eastAsia"/>
          <w:lang w:eastAsia="zh-CN"/>
        </w:rPr>
        <w:t>16.2.1 承包人违约的情形</w:t>
      </w:r>
    </w:p>
    <w:p w14:paraId="7D73A5E7">
      <w:pPr>
        <w:spacing w:line="360" w:lineRule="auto"/>
        <w:rPr>
          <w:rFonts w:ascii="宋体" w:hAnsi="宋体" w:hint="eastAsia"/>
          <w:color w:val="00B0F0"/>
          <w:u w:val="single"/>
          <w:lang w:eastAsia="zh-CN"/>
        </w:rPr>
      </w:pPr>
      <w:r>
        <w:rPr>
          <w:rFonts w:ascii="宋体" w:hAnsi="宋体" w:hint="eastAsia"/>
          <w:lang w:eastAsia="zh-CN"/>
        </w:rPr>
        <w:t>承包人违约的其他情形：</w:t>
      </w:r>
      <w:r>
        <w:rPr>
          <w:rFonts w:ascii="宋体" w:hAnsi="宋体" w:hint="eastAsia"/>
          <w:color w:val="00B0F0"/>
          <w:u w:val="single"/>
          <w:lang w:eastAsia="zh-CN"/>
        </w:rPr>
        <w:t xml:space="preserve">  1、按通用合同条款及本合同其他相关条款执行。</w:t>
      </w:r>
    </w:p>
    <w:p w14:paraId="42B5804E">
      <w:pPr>
        <w:spacing w:line="360" w:lineRule="auto"/>
        <w:rPr>
          <w:rFonts w:ascii="宋体" w:hAnsi="宋体" w:hint="eastAsia"/>
          <w:color w:val="00B0F0"/>
          <w:u w:val="single"/>
          <w:lang w:eastAsia="zh-CN"/>
        </w:rPr>
      </w:pPr>
      <w:r>
        <w:rPr>
          <w:rFonts w:ascii="宋体" w:hAnsi="宋体" w:hint="eastAsia"/>
          <w:color w:val="00B0F0"/>
          <w:u w:val="single"/>
          <w:lang w:eastAsia="zh-CN"/>
        </w:rPr>
        <w:t>2、因政策等原因造成工程停工或不能全面施工，扣除无法实施部分价款后，剩余价款根据实际已完成部分按合同支付比例进行支付，发包方不承担承包方的经济损失，工期可以顺延。</w:t>
      </w:r>
    </w:p>
    <w:p w14:paraId="0862A976">
      <w:pPr>
        <w:spacing w:line="360" w:lineRule="auto"/>
        <w:rPr>
          <w:rFonts w:ascii="宋体" w:hAnsi="宋体" w:hint="eastAsia"/>
          <w:color w:val="00B0F0"/>
          <w:u w:val="single"/>
          <w:lang w:eastAsia="zh-CN"/>
        </w:rPr>
      </w:pPr>
      <w:r>
        <w:rPr>
          <w:rFonts w:ascii="宋体" w:hAnsi="宋体" w:hint="eastAsia"/>
          <w:color w:val="00B0F0"/>
          <w:u w:val="single"/>
          <w:lang w:eastAsia="zh-CN"/>
        </w:rPr>
        <w:t>3、发包人按合同约定按时支付工程款项，承包人承诺不得拖欠施工人员及民工工资，</w:t>
      </w:r>
    </w:p>
    <w:p w14:paraId="1AB0E57C">
      <w:pPr>
        <w:spacing w:line="360" w:lineRule="auto"/>
        <w:rPr>
          <w:rFonts w:ascii="宋体" w:hAnsi="宋体" w:hint="eastAsia"/>
          <w:color w:val="00B0F0"/>
          <w:u w:val="single"/>
          <w:lang w:eastAsia="zh-CN"/>
        </w:rPr>
      </w:pPr>
      <w:r>
        <w:rPr>
          <w:rFonts w:ascii="宋体" w:hAnsi="宋体" w:hint="eastAsia"/>
          <w:color w:val="00B0F0"/>
          <w:u w:val="single"/>
          <w:lang w:eastAsia="zh-CN"/>
        </w:rPr>
        <w:t>若发生承包人拖欠施工人员、民工工资，一切责任由承包人承担，发包人有权从工程价款中扣除相应款项，交由遂宁市安居区建设行政主管部门发放。</w:t>
      </w:r>
    </w:p>
    <w:p w14:paraId="40489326">
      <w:pPr>
        <w:spacing w:line="360" w:lineRule="auto"/>
        <w:rPr>
          <w:rFonts w:ascii="宋体" w:hAnsi="宋体" w:hint="eastAsia"/>
          <w:color w:val="00B0F0"/>
          <w:u w:val="single"/>
          <w:lang w:eastAsia="zh-CN"/>
        </w:rPr>
      </w:pPr>
      <w:r>
        <w:rPr>
          <w:rFonts w:ascii="宋体" w:hAnsi="宋体" w:hint="eastAsia"/>
          <w:color w:val="00B0F0"/>
          <w:u w:val="single"/>
          <w:lang w:eastAsia="zh-CN"/>
        </w:rPr>
        <w:t>4、发包人在承包人提交的竣工结算资料(含相应竣工图及资料)基础上，审减额在</w:t>
      </w:r>
    </w:p>
    <w:p w14:paraId="5611AADF">
      <w:pPr>
        <w:spacing w:line="360" w:lineRule="auto"/>
        <w:rPr>
          <w:rFonts w:ascii="宋体" w:hAnsi="宋体" w:hint="eastAsia"/>
          <w:color w:val="00B0F0"/>
          <w:u w:val="single"/>
          <w:lang w:eastAsia="zh-CN"/>
        </w:rPr>
      </w:pPr>
      <w:r>
        <w:rPr>
          <w:rFonts w:ascii="宋体" w:hAnsi="宋体" w:hint="eastAsia"/>
          <w:color w:val="00B0F0"/>
          <w:u w:val="single"/>
          <w:lang w:eastAsia="zh-CN"/>
        </w:rPr>
        <w:t>10%(含10%)及以上的，发包人将对承包人罚款5万元，审减额超过10%(含10%)</w:t>
      </w:r>
    </w:p>
    <w:p w14:paraId="691DFB0B">
      <w:pPr>
        <w:spacing w:line="360" w:lineRule="auto"/>
        <w:rPr>
          <w:rFonts w:ascii="宋体" w:hAnsi="宋体" w:hint="eastAsia"/>
          <w:color w:val="00B0F0"/>
          <w:u w:val="single"/>
          <w:lang w:eastAsia="zh-CN"/>
        </w:rPr>
      </w:pPr>
      <w:r>
        <w:rPr>
          <w:rFonts w:ascii="宋体" w:hAnsi="宋体" w:hint="eastAsia"/>
          <w:color w:val="00B0F0"/>
          <w:u w:val="single"/>
          <w:lang w:eastAsia="zh-CN"/>
        </w:rPr>
        <w:t>后每增加1%加罚款1万元，累计增加罚款额。</w:t>
      </w:r>
    </w:p>
    <w:p w14:paraId="231D0C9F">
      <w:pPr>
        <w:spacing w:line="360" w:lineRule="auto"/>
        <w:rPr>
          <w:rFonts w:ascii="宋体" w:hAnsi="宋体" w:hint="eastAsia"/>
          <w:color w:val="00B0F0"/>
          <w:u w:val="single"/>
          <w:lang w:eastAsia="zh-CN"/>
        </w:rPr>
      </w:pPr>
      <w:r>
        <w:rPr>
          <w:rFonts w:ascii="宋体" w:hAnsi="宋体" w:hint="eastAsia"/>
          <w:color w:val="00B0F0"/>
          <w:u w:val="single"/>
          <w:lang w:eastAsia="zh-CN"/>
        </w:rPr>
        <w:t>5、发包人通知承包人进场施工后，承包人必须在进场一个月内启动工程实质性建设，</w:t>
      </w:r>
    </w:p>
    <w:p w14:paraId="6E3D4B10">
      <w:pPr>
        <w:spacing w:line="360" w:lineRule="auto"/>
        <w:rPr>
          <w:rFonts w:ascii="宋体" w:hAnsi="宋体" w:hint="eastAsia"/>
          <w:color w:val="00B0F0"/>
          <w:u w:val="single"/>
          <w:lang w:eastAsia="zh-CN"/>
        </w:rPr>
      </w:pPr>
      <w:r>
        <w:rPr>
          <w:rFonts w:ascii="宋体" w:hAnsi="宋体" w:hint="eastAsia"/>
          <w:color w:val="00B0F0"/>
          <w:u w:val="single"/>
          <w:lang w:eastAsia="zh-CN"/>
        </w:rPr>
        <w:t>否则发包人有权解除合同，没收履约保证金。</w:t>
      </w:r>
    </w:p>
    <w:p w14:paraId="223EBA34">
      <w:pPr>
        <w:spacing w:line="360" w:lineRule="auto"/>
        <w:rPr>
          <w:rFonts w:ascii="宋体" w:hAnsi="宋体" w:hint="eastAsia"/>
          <w:color w:val="00B0F0"/>
          <w:u w:val="single"/>
          <w:lang w:eastAsia="zh-CN"/>
        </w:rPr>
      </w:pPr>
      <w:r>
        <w:rPr>
          <w:rFonts w:ascii="宋体" w:hAnsi="宋体" w:hint="eastAsia"/>
          <w:color w:val="00B0F0"/>
          <w:u w:val="single"/>
          <w:lang w:eastAsia="zh-CN"/>
        </w:rPr>
        <w:t>6、工程实施过程中发生的一切安全事故和消防安全事故，造成的一切经济损失均由</w:t>
      </w:r>
    </w:p>
    <w:p w14:paraId="2C739139">
      <w:pPr>
        <w:spacing w:line="360" w:lineRule="auto"/>
        <w:rPr>
          <w:rFonts w:ascii="宋体" w:hAnsi="宋体" w:hint="eastAsia"/>
          <w:color w:val="00B0F0"/>
          <w:u w:val="single"/>
          <w:lang w:eastAsia="zh-CN"/>
        </w:rPr>
      </w:pPr>
      <w:r>
        <w:rPr>
          <w:rFonts w:ascii="宋体" w:hAnsi="宋体" w:hint="eastAsia"/>
          <w:color w:val="00B0F0"/>
          <w:u w:val="single"/>
          <w:lang w:eastAsia="zh-CN"/>
        </w:rPr>
        <w:t>承包人承担一切责任，并处一定金额的罚款。</w:t>
      </w:r>
    </w:p>
    <w:p w14:paraId="20629F37">
      <w:pPr>
        <w:spacing w:line="360" w:lineRule="auto"/>
        <w:rPr>
          <w:rFonts w:ascii="宋体" w:hAnsi="宋体" w:hint="eastAsia"/>
          <w:color w:val="00B0F0"/>
          <w:u w:val="single"/>
          <w:lang w:eastAsia="zh-CN"/>
        </w:rPr>
      </w:pPr>
      <w:r>
        <w:rPr>
          <w:rFonts w:ascii="宋体" w:hAnsi="宋体" w:hint="eastAsia"/>
          <w:color w:val="00B0F0"/>
          <w:u w:val="single"/>
          <w:lang w:eastAsia="zh-CN"/>
        </w:rPr>
        <w:t>7、施工单位未随工程施工进度及时完善相关资料的，按500元/次进行罚款。施工单位使用未报验材料、设备用于工程中的，发现一次按0.3-2万元进行罚款。</w:t>
      </w:r>
    </w:p>
    <w:p w14:paraId="1427D671">
      <w:pPr>
        <w:spacing w:line="360" w:lineRule="auto"/>
        <w:rPr>
          <w:rFonts w:ascii="宋体" w:hAnsi="宋体" w:hint="eastAsia"/>
          <w:color w:val="00B0F0"/>
          <w:u w:val="single"/>
          <w:lang w:eastAsia="zh-CN"/>
        </w:rPr>
      </w:pPr>
      <w:r>
        <w:rPr>
          <w:rFonts w:ascii="宋体" w:hAnsi="宋体" w:hint="eastAsia"/>
          <w:color w:val="00B0F0"/>
          <w:u w:val="single"/>
          <w:lang w:eastAsia="zh-CN"/>
        </w:rPr>
        <w:t>8、工程结构部位隐蔽验收、专项、分部工程等验收不具备验收条件，施工单位提请验收的，按1000元/次进行罚款。</w:t>
      </w:r>
    </w:p>
    <w:p w14:paraId="05A21FCE">
      <w:pPr>
        <w:spacing w:line="360" w:lineRule="auto"/>
        <w:rPr>
          <w:rFonts w:ascii="宋体" w:hAnsi="宋体" w:hint="eastAsia"/>
          <w:color w:val="00B0F0"/>
          <w:u w:val="single"/>
          <w:lang w:eastAsia="zh-CN"/>
        </w:rPr>
      </w:pPr>
      <w:r>
        <w:rPr>
          <w:rFonts w:ascii="宋体" w:hAnsi="宋体" w:hint="eastAsia"/>
          <w:color w:val="00B0F0"/>
          <w:u w:val="single"/>
          <w:lang w:eastAsia="zh-CN"/>
        </w:rPr>
        <w:t>9、施工单位未按图纸，设计变更、工程洽商及规程规范施工、施工现场安全文明施工管理混乱存在安全隐患、不按监理要求落实整改到位的及多次提醒未整改的，按1000元/次进行罚款，造成经济损失的按10000元/次进行罚款，造成重大经济损失的，施工单位承担违约金为合同价的3%-5%，整改通知单位未及时回复的按500元/次进行罚款。</w:t>
      </w:r>
    </w:p>
    <w:p w14:paraId="7245B676">
      <w:pPr>
        <w:spacing w:line="360" w:lineRule="auto"/>
        <w:rPr>
          <w:rFonts w:ascii="宋体" w:hAnsi="宋体" w:hint="eastAsia"/>
          <w:color w:val="00B0F0"/>
          <w:u w:val="single"/>
          <w:lang w:eastAsia="zh-CN"/>
        </w:rPr>
      </w:pPr>
      <w:r>
        <w:rPr>
          <w:rFonts w:ascii="宋体" w:hAnsi="宋体" w:hint="eastAsia"/>
          <w:color w:val="00B0F0"/>
          <w:u w:val="single"/>
          <w:lang w:eastAsia="zh-CN"/>
        </w:rPr>
        <w:t>10、办理施工许可证时，承包人应递交与投标文件一致的项目班子人员证书，原则上不得更换项目班子人员。若因特殊原因，项目班子人员确需更换的需书面征得发包人同意且每更换一次按1000-20000元进行罚款。</w:t>
      </w:r>
    </w:p>
    <w:p w14:paraId="625A28DE">
      <w:pPr>
        <w:spacing w:line="360" w:lineRule="auto"/>
        <w:rPr>
          <w:rFonts w:ascii="宋体" w:hAnsi="宋体" w:hint="eastAsia"/>
          <w:color w:val="00B0F0"/>
          <w:u w:val="single"/>
          <w:lang w:eastAsia="zh-CN"/>
        </w:rPr>
      </w:pPr>
      <w:r>
        <w:rPr>
          <w:rFonts w:ascii="宋体" w:hAnsi="宋体" w:hint="eastAsia"/>
          <w:color w:val="00B0F0"/>
          <w:u w:val="single"/>
          <w:lang w:eastAsia="zh-CN"/>
        </w:rPr>
        <w:t>11、中标单位必须在项目实施地开设留有投标文件承诺的项目负责人印鉴的企业法人账户，建设资金只拨付至该账户，该账户须接受甲方监管。</w:t>
      </w:r>
    </w:p>
    <w:p w14:paraId="0C3072C1">
      <w:pPr>
        <w:spacing w:line="360" w:lineRule="auto"/>
        <w:rPr>
          <w:rFonts w:ascii="宋体" w:hAnsi="宋体" w:hint="eastAsia"/>
          <w:color w:val="00B0F0"/>
          <w:u w:val="single"/>
          <w:lang w:eastAsia="zh-CN"/>
        </w:rPr>
      </w:pPr>
      <w:r>
        <w:rPr>
          <w:rFonts w:ascii="宋体" w:hAnsi="宋体" w:hint="eastAsia"/>
          <w:color w:val="00B0F0"/>
          <w:u w:val="single"/>
          <w:lang w:eastAsia="zh-CN"/>
        </w:rPr>
        <w:t>12、施工单位应按实编制竣工结算，根据“关于转发《四川省物价局、四川省建设厅关于&lt;工程造价咨询服务收费标准&gt;的通知》的通知(川建价师协[2008]17号文)”，若在审计过程中(包括发包方委托的有资质的第三方咨询机构审核竣工结算及审计机关审计)审减率超过5%(不含5%)及审增部分的审核费用由承包方承担。</w:t>
      </w:r>
    </w:p>
    <w:p w14:paraId="6AD501D3">
      <w:pPr>
        <w:spacing w:line="360" w:lineRule="auto"/>
        <w:rPr>
          <w:rFonts w:ascii="宋体" w:hAnsi="宋体" w:hint="eastAsia"/>
          <w:color w:val="00B0F0"/>
          <w:u w:val="single"/>
          <w:lang w:eastAsia="zh-CN"/>
        </w:rPr>
      </w:pPr>
      <w:r>
        <w:rPr>
          <w:rFonts w:ascii="宋体" w:hAnsi="宋体" w:hint="eastAsia"/>
          <w:color w:val="00B0F0"/>
          <w:u w:val="single"/>
          <w:lang w:eastAsia="zh-CN"/>
        </w:rPr>
        <w:t xml:space="preserve">13、甲方根据专用合同条款10.1条有所变化乙方不得提出金额或工期等任意索赔 </w:t>
      </w:r>
    </w:p>
    <w:p w14:paraId="787AC356">
      <w:pPr>
        <w:spacing w:line="360" w:lineRule="auto"/>
        <w:rPr>
          <w:rFonts w:ascii="宋体" w:hAnsi="宋体" w:hint="eastAsia"/>
          <w:color w:val="00B0F0"/>
          <w:u w:val="single"/>
          <w:lang w:eastAsia="zh-CN"/>
        </w:rPr>
      </w:pPr>
      <w:r>
        <w:rPr>
          <w:rFonts w:ascii="宋体" w:hAnsi="宋体" w:hint="eastAsia"/>
          <w:color w:val="00B0F0"/>
          <w:u w:val="single"/>
          <w:lang w:eastAsia="zh-CN"/>
        </w:rPr>
        <w:t xml:space="preserve">14、发生下列情形之一，发包人有权单方解除合同、强制清退，承包人应在收到通知后15日内无条件退场，并承担合同价10%违约金及全部损失并没收履约保证金：(1)连续2次季度履约考核评分（履约考核办法详见招标文件附件）＜60分；(2)发生重大质量安全事故、主体结构不合格；(3)项目经理擅自更换2次及以上、挂靠、人员不到位；(4)拖欠农民工工资引发群体性事件；(5)工期累计滞后≥30天或关键节点2次严重滞后；(6)转包、违法分包、偷工减料等违法违规行为。 </w:t>
      </w:r>
    </w:p>
    <w:p w14:paraId="27CA3039">
      <w:pPr>
        <w:spacing w:line="360" w:lineRule="auto"/>
        <w:rPr>
          <w:rFonts w:ascii="宋体" w:hAnsi="宋体"/>
          <w:lang w:eastAsia="zh-CN"/>
        </w:rPr>
      </w:pPr>
      <w:r>
        <w:rPr>
          <w:rFonts w:ascii="宋体" w:hAnsi="宋体" w:hint="eastAsia"/>
          <w:color w:val="00B0F0"/>
          <w:u w:val="single"/>
          <w:lang w:eastAsia="zh-CN"/>
        </w:rPr>
        <w:t xml:space="preserve">15、乙方如提起诉讼，逾期利息以应付欠付款项为基数自应付之日起，按照全国银行间同业拆借中心公布的同期一年期贷款市场报价利率（LPR）计算。  </w:t>
      </w:r>
      <w:r>
        <w:rPr>
          <w:rFonts w:ascii="宋体" w:hAnsi="宋体" w:hint="eastAsia"/>
          <w:lang w:eastAsia="zh-CN"/>
        </w:rPr>
        <w:t>。</w:t>
      </w:r>
    </w:p>
    <w:p w14:paraId="04A96C2C">
      <w:pPr>
        <w:spacing w:line="360" w:lineRule="auto"/>
        <w:rPr>
          <w:rFonts w:ascii="宋体" w:hAnsi="宋体"/>
          <w:lang w:eastAsia="zh-CN"/>
        </w:rPr>
      </w:pPr>
      <w:r>
        <w:rPr>
          <w:rFonts w:ascii="宋体" w:hAnsi="宋体" w:hint="eastAsia"/>
          <w:lang w:eastAsia="zh-CN"/>
        </w:rPr>
        <w:t>16.2.2承包人违约的责任</w:t>
      </w:r>
    </w:p>
    <w:p w14:paraId="0D0B4C00">
      <w:pPr>
        <w:spacing w:line="360" w:lineRule="auto"/>
        <w:rPr>
          <w:rFonts w:ascii="宋体" w:hAnsi="宋体" w:hint="eastAsia"/>
          <w:color w:val="00B0F0"/>
          <w:u w:val="single"/>
          <w:lang w:eastAsia="zh-CN"/>
        </w:rPr>
      </w:pPr>
      <w:r>
        <w:rPr>
          <w:rFonts w:ascii="宋体" w:hAnsi="宋体" w:hint="eastAsia"/>
          <w:lang w:eastAsia="zh-CN"/>
        </w:rPr>
        <w:t>承包人违约责任的承担方式和计算方法：</w:t>
      </w:r>
      <w:r>
        <w:rPr>
          <w:rFonts w:ascii="宋体" w:hAnsi="宋体" w:hint="eastAsia"/>
          <w:color w:val="00B0F0"/>
          <w:u w:val="single"/>
          <w:lang w:eastAsia="zh-CN"/>
        </w:rPr>
        <w:t xml:space="preserve">  除通用条款约定外，发包人还可做出如下处理:(1)承包人违反合同约定进行转包或违法分包的，发包人有权解除合同，并没收履约保证金，已完工程在审计结算完成后2年后付清(不计息)。</w:t>
      </w:r>
    </w:p>
    <w:p w14:paraId="5629C104">
      <w:pPr>
        <w:spacing w:line="360" w:lineRule="auto"/>
        <w:rPr>
          <w:rFonts w:ascii="宋体" w:hAnsi="宋体" w:hint="eastAsia"/>
          <w:color w:val="00B0F0"/>
          <w:u w:val="single"/>
          <w:lang w:eastAsia="zh-CN"/>
        </w:rPr>
      </w:pPr>
      <w:r>
        <w:rPr>
          <w:rFonts w:ascii="宋体" w:hAnsi="宋体" w:hint="eastAsia"/>
          <w:color w:val="00B0F0"/>
          <w:u w:val="single"/>
          <w:lang w:eastAsia="zh-CN"/>
        </w:rPr>
        <w:t>(2)承包人明确表示或者以其行为表明不履行合同主要义务的，发包人有权解除合同，并没收履约保证金，已完工程在审计结算完成后2年后付清(不计息)。</w:t>
      </w:r>
    </w:p>
    <w:p w14:paraId="5A86CA68">
      <w:pPr>
        <w:spacing w:line="360" w:lineRule="auto"/>
        <w:rPr>
          <w:rFonts w:ascii="宋体" w:hAnsi="宋体"/>
          <w:u w:val="single"/>
          <w:lang w:eastAsia="zh-CN"/>
        </w:rPr>
      </w:pPr>
      <w:r>
        <w:rPr>
          <w:rFonts w:ascii="宋体" w:hAnsi="宋体" w:hint="eastAsia"/>
          <w:color w:val="00B0F0"/>
          <w:u w:val="single"/>
          <w:lang w:eastAsia="zh-CN"/>
        </w:rPr>
        <w:t xml:space="preserve">(3)其他违约责任的承担方式和计算方法按本合同其他相关条款执行  </w:t>
      </w:r>
      <w:r>
        <w:rPr>
          <w:rFonts w:ascii="宋体" w:hAnsi="宋体" w:hint="eastAsia"/>
          <w:lang w:eastAsia="zh-CN"/>
        </w:rPr>
        <w:t xml:space="preserve">。    </w:t>
      </w:r>
    </w:p>
    <w:p w14:paraId="63DE832B">
      <w:pPr>
        <w:spacing w:line="360" w:lineRule="auto"/>
        <w:rPr>
          <w:rFonts w:ascii="宋体" w:hAnsi="宋体"/>
          <w:lang w:eastAsia="zh-CN"/>
        </w:rPr>
      </w:pPr>
      <w:r>
        <w:rPr>
          <w:rFonts w:ascii="宋体" w:hAnsi="宋体" w:hint="eastAsia"/>
          <w:lang w:eastAsia="zh-CN"/>
        </w:rPr>
        <w:t>16.2.3 因承包人违约解除合同</w:t>
      </w:r>
    </w:p>
    <w:p w14:paraId="0315A17D">
      <w:pPr>
        <w:spacing w:line="360" w:lineRule="auto"/>
        <w:rPr>
          <w:rFonts w:ascii="宋体" w:hAnsi="宋体"/>
          <w:lang w:eastAsia="zh-CN"/>
        </w:rPr>
      </w:pPr>
      <w:r>
        <w:rPr>
          <w:rFonts w:ascii="宋体" w:hAnsi="宋体" w:hint="eastAsia"/>
          <w:lang w:eastAsia="zh-CN"/>
        </w:rPr>
        <w:t>关于承包人违约解除合同的特别约定：</w:t>
      </w:r>
      <w:r>
        <w:rPr>
          <w:rFonts w:ascii="宋体" w:hAnsi="宋体" w:hint="eastAsia"/>
          <w:color w:val="00B0F0"/>
          <w:u w:val="single"/>
          <w:lang w:eastAsia="zh-CN"/>
        </w:rPr>
        <w:t xml:space="preserve">  按本合同相关条款执行 </w:t>
      </w:r>
      <w:r>
        <w:rPr>
          <w:rFonts w:ascii="宋体" w:hAnsi="宋体" w:hint="eastAsia"/>
          <w:lang w:eastAsia="zh-CN"/>
        </w:rPr>
        <w:t>。</w:t>
      </w:r>
    </w:p>
    <w:p w14:paraId="3608723B">
      <w:pPr>
        <w:spacing w:line="360" w:lineRule="auto"/>
        <w:rPr>
          <w:rFonts w:ascii="宋体" w:hAnsi="宋体"/>
          <w:lang w:eastAsia="zh-CN"/>
        </w:rPr>
      </w:pPr>
      <w:r>
        <w:rPr>
          <w:rFonts w:ascii="宋体" w:hAnsi="宋体" w:hint="eastAsia"/>
          <w:lang w:eastAsia="zh-CN"/>
        </w:rPr>
        <w:t>发包人继续使用承包人在施工现场的材料、设备、临时工程、承包人文件和由承包人或以其名义编制的其他文件的费用承担方式：</w:t>
      </w:r>
      <w:r>
        <w:rPr>
          <w:rFonts w:ascii="宋体" w:hAnsi="宋体" w:hint="eastAsia"/>
          <w:color w:val="00B0F0"/>
          <w:u w:val="single"/>
          <w:lang w:eastAsia="zh-CN"/>
        </w:rPr>
        <w:t xml:space="preserve">   承包人承担  </w:t>
      </w:r>
      <w:r>
        <w:rPr>
          <w:rFonts w:ascii="宋体" w:hAnsi="宋体" w:hint="eastAsia"/>
          <w:lang w:eastAsia="zh-CN"/>
        </w:rPr>
        <w:t>。</w:t>
      </w:r>
    </w:p>
    <w:p w14:paraId="3C6C62C5">
      <w:pPr>
        <w:spacing w:line="360" w:lineRule="auto"/>
        <w:rPr>
          <w:rFonts w:ascii="宋体" w:hAnsi="宋体"/>
          <w:bCs/>
          <w:lang w:eastAsia="zh-CN"/>
        </w:rPr>
      </w:pPr>
      <w:bookmarkStart w:id="1066" w:name="_Toc351203649"/>
      <w:r>
        <w:rPr>
          <w:rFonts w:ascii="宋体" w:hAnsi="宋体" w:hint="eastAsia"/>
          <w:bCs/>
          <w:lang w:eastAsia="zh-CN"/>
        </w:rPr>
        <w:t>17. 不可抗力</w:t>
      </w:r>
      <w:bookmarkEnd w:id="1066"/>
      <w:r>
        <w:rPr>
          <w:rFonts w:ascii="宋体" w:hAnsi="宋体" w:hint="eastAsia"/>
          <w:bCs/>
          <w:lang w:eastAsia="zh-CN"/>
        </w:rPr>
        <w:t xml:space="preserve"> </w:t>
      </w:r>
      <w:bookmarkEnd w:id="1064"/>
    </w:p>
    <w:p w14:paraId="218790DA">
      <w:pPr>
        <w:spacing w:line="360" w:lineRule="auto"/>
        <w:rPr>
          <w:rFonts w:ascii="宋体" w:hAnsi="宋体"/>
          <w:lang w:eastAsia="zh-CN"/>
        </w:rPr>
      </w:pPr>
      <w:r>
        <w:rPr>
          <w:rFonts w:ascii="宋体" w:hAnsi="宋体" w:hint="eastAsia"/>
          <w:lang w:eastAsia="zh-CN"/>
        </w:rPr>
        <w:t>17.1 不可抗力的确认</w:t>
      </w:r>
    </w:p>
    <w:p w14:paraId="1297F9EB">
      <w:pPr>
        <w:spacing w:line="360" w:lineRule="auto"/>
        <w:rPr>
          <w:rFonts w:ascii="宋体" w:hAnsi="宋体" w:hint="eastAsia"/>
          <w:color w:val="00B0F0"/>
          <w:u w:val="single"/>
          <w:lang w:eastAsia="zh-CN"/>
        </w:rPr>
      </w:pPr>
      <w:r>
        <w:rPr>
          <w:rFonts w:ascii="宋体" w:hAnsi="宋体" w:hint="eastAsia"/>
          <w:lang w:eastAsia="zh-CN"/>
        </w:rPr>
        <w:t>除通用合同条款约定的不可抗力事件之外，视为不可抗力的其他情形：</w:t>
      </w:r>
      <w:r>
        <w:rPr>
          <w:rFonts w:ascii="宋体" w:hAnsi="宋体" w:hint="eastAsia"/>
          <w:color w:val="00B0F0"/>
          <w:u w:val="single"/>
          <w:lang w:eastAsia="zh-CN"/>
        </w:rPr>
        <w:t xml:space="preserve">   不可抗</w:t>
      </w:r>
    </w:p>
    <w:p w14:paraId="6C1C1DAB">
      <w:pPr>
        <w:spacing w:line="360" w:lineRule="auto"/>
        <w:rPr>
          <w:rFonts w:ascii="宋体" w:hAnsi="宋体" w:hint="eastAsia"/>
          <w:color w:val="00B0F0"/>
          <w:u w:val="single"/>
          <w:lang w:eastAsia="zh-CN"/>
        </w:rPr>
      </w:pPr>
      <w:r>
        <w:rPr>
          <w:rFonts w:ascii="宋体" w:hAnsi="宋体" w:hint="eastAsia"/>
          <w:color w:val="00B0F0"/>
          <w:u w:val="single"/>
          <w:lang w:eastAsia="zh-CN"/>
        </w:rPr>
        <w:t>力还包括以下对工程造成损害的自然灾害;</w:t>
      </w:r>
    </w:p>
    <w:p w14:paraId="60DEDA95">
      <w:pPr>
        <w:spacing w:line="360" w:lineRule="auto"/>
        <w:rPr>
          <w:rFonts w:ascii="宋体" w:hAnsi="宋体" w:hint="eastAsia"/>
          <w:color w:val="00B0F0"/>
          <w:u w:val="single"/>
          <w:lang w:eastAsia="zh-CN"/>
        </w:rPr>
      </w:pPr>
      <w:r>
        <w:rPr>
          <w:rFonts w:ascii="宋体" w:hAnsi="宋体" w:hint="eastAsia"/>
          <w:color w:val="00B0F0"/>
          <w:u w:val="single"/>
          <w:lang w:eastAsia="zh-CN"/>
        </w:rPr>
        <w:t>(1)六级以上的地震;</w:t>
      </w:r>
    </w:p>
    <w:p w14:paraId="4278CBC8">
      <w:pPr>
        <w:spacing w:line="360" w:lineRule="auto"/>
        <w:rPr>
          <w:rFonts w:ascii="宋体" w:hAnsi="宋体" w:hint="eastAsia"/>
          <w:color w:val="00B0F0"/>
          <w:u w:val="single"/>
          <w:lang w:eastAsia="zh-CN"/>
        </w:rPr>
      </w:pPr>
      <w:r>
        <w:rPr>
          <w:rFonts w:ascii="宋体" w:hAnsi="宋体" w:hint="eastAsia"/>
          <w:color w:val="00B0F0"/>
          <w:u w:val="single"/>
          <w:lang w:eastAsia="zh-CN"/>
        </w:rPr>
        <w:t>(2)六级以上的大风;</w:t>
      </w:r>
    </w:p>
    <w:p w14:paraId="17C059FF">
      <w:pPr>
        <w:spacing w:line="360" w:lineRule="auto"/>
        <w:rPr>
          <w:rFonts w:ascii="宋体" w:hAnsi="宋体" w:hint="eastAsia"/>
          <w:color w:val="00B0F0"/>
          <w:u w:val="single"/>
          <w:lang w:eastAsia="zh-CN"/>
        </w:rPr>
      </w:pPr>
      <w:r>
        <w:rPr>
          <w:rFonts w:ascii="宋体" w:hAnsi="宋体" w:hint="eastAsia"/>
          <w:color w:val="00B0F0"/>
          <w:u w:val="single"/>
          <w:lang w:eastAsia="zh-CN"/>
        </w:rPr>
        <w:t>(3)持续下雨、下雪8天以上;</w:t>
      </w:r>
    </w:p>
    <w:p w14:paraId="54CDEC26">
      <w:pPr>
        <w:spacing w:line="360" w:lineRule="auto"/>
        <w:rPr>
          <w:rFonts w:ascii="宋体" w:hAnsi="宋体" w:hint="eastAsia"/>
          <w:color w:val="00B0F0"/>
          <w:u w:val="single"/>
          <w:lang w:eastAsia="zh-CN"/>
        </w:rPr>
      </w:pPr>
      <w:r>
        <w:rPr>
          <w:rFonts w:ascii="宋体" w:hAnsi="宋体" w:hint="eastAsia"/>
          <w:color w:val="00B0F0"/>
          <w:u w:val="single"/>
          <w:lang w:eastAsia="zh-CN"/>
        </w:rPr>
        <w:t>(4)暴雨冲毁已完工部分造成清淤或返工;</w:t>
      </w:r>
    </w:p>
    <w:p w14:paraId="4B8E203A">
      <w:pPr>
        <w:spacing w:line="360" w:lineRule="auto"/>
        <w:rPr>
          <w:rFonts w:ascii="宋体" w:hAnsi="宋体"/>
          <w:u w:val="single"/>
          <w:lang w:eastAsia="zh-CN"/>
        </w:rPr>
      </w:pPr>
      <w:r>
        <w:rPr>
          <w:rFonts w:ascii="宋体" w:hAnsi="宋体" w:hint="eastAsia"/>
          <w:color w:val="00B0F0"/>
          <w:u w:val="single"/>
          <w:lang w:eastAsia="zh-CN"/>
        </w:rPr>
        <w:t xml:space="preserve">(5)50年来未发生过的，持续7天以上的40度高温天气   </w:t>
      </w:r>
      <w:r>
        <w:rPr>
          <w:rFonts w:ascii="宋体" w:hAnsi="宋体" w:hint="eastAsia"/>
          <w:lang w:eastAsia="zh-CN"/>
        </w:rPr>
        <w:t>。</w:t>
      </w:r>
    </w:p>
    <w:p w14:paraId="6059B35C">
      <w:pPr>
        <w:spacing w:line="360" w:lineRule="auto"/>
        <w:rPr>
          <w:rFonts w:ascii="宋体" w:hAnsi="宋体"/>
          <w:lang w:eastAsia="zh-CN"/>
        </w:rPr>
      </w:pPr>
      <w:r>
        <w:rPr>
          <w:rFonts w:ascii="宋体" w:hAnsi="宋体" w:hint="eastAsia"/>
          <w:lang w:eastAsia="zh-CN"/>
        </w:rPr>
        <w:t>17.4 因不可抗力解除合同</w:t>
      </w:r>
    </w:p>
    <w:p w14:paraId="75D1CAAF">
      <w:pPr>
        <w:spacing w:line="360" w:lineRule="auto"/>
        <w:rPr>
          <w:rFonts w:ascii="宋体" w:hAnsi="宋体"/>
          <w:lang w:eastAsia="zh-CN"/>
        </w:rPr>
      </w:pPr>
      <w:r>
        <w:rPr>
          <w:rFonts w:ascii="宋体" w:hAnsi="宋体" w:hint="eastAsia"/>
          <w:lang w:eastAsia="zh-CN"/>
        </w:rPr>
        <w:t>合同解除后，发包人应在商定或确定发包人应支付款项后</w:t>
      </w:r>
      <w:r>
        <w:rPr>
          <w:rFonts w:ascii="宋体" w:hAnsi="宋体" w:hint="eastAsia"/>
          <w:color w:val="00B0F0"/>
          <w:u w:val="single"/>
          <w:lang w:eastAsia="zh-CN"/>
        </w:rPr>
        <w:t xml:space="preserve">   28   </w:t>
      </w:r>
      <w:r>
        <w:rPr>
          <w:rFonts w:ascii="宋体" w:hAnsi="宋体" w:hint="eastAsia"/>
          <w:lang w:eastAsia="zh-CN"/>
        </w:rPr>
        <w:t>天内完成款项的支付。</w:t>
      </w:r>
    </w:p>
    <w:p w14:paraId="6A4D742F">
      <w:pPr>
        <w:spacing w:line="360" w:lineRule="auto"/>
        <w:rPr>
          <w:rFonts w:ascii="宋体" w:hAnsi="宋体"/>
          <w:bCs/>
          <w:lang w:eastAsia="zh-CN"/>
        </w:rPr>
      </w:pPr>
      <w:bookmarkStart w:id="1067" w:name="_Toc351203650"/>
      <w:r>
        <w:rPr>
          <w:rFonts w:ascii="宋体" w:hAnsi="宋体" w:hint="eastAsia"/>
          <w:bCs/>
          <w:lang w:eastAsia="zh-CN"/>
        </w:rPr>
        <w:t>18. 保险</w:t>
      </w:r>
      <w:bookmarkEnd w:id="1067"/>
    </w:p>
    <w:bookmarkEnd w:id="1065"/>
    <w:p w14:paraId="477556BD">
      <w:pPr>
        <w:spacing w:line="360" w:lineRule="auto"/>
        <w:rPr>
          <w:rFonts w:ascii="宋体" w:hAnsi="宋体"/>
          <w:lang w:eastAsia="zh-CN"/>
        </w:rPr>
      </w:pPr>
      <w:r>
        <w:rPr>
          <w:rFonts w:ascii="宋体" w:hAnsi="宋体" w:hint="eastAsia"/>
          <w:lang w:eastAsia="zh-CN"/>
        </w:rPr>
        <w:t>18.1 工程保险</w:t>
      </w:r>
    </w:p>
    <w:p w14:paraId="00D96B4D">
      <w:pPr>
        <w:spacing w:line="360" w:lineRule="auto"/>
        <w:rPr>
          <w:rFonts w:ascii="宋体" w:hAnsi="宋体"/>
          <w:lang w:eastAsia="zh-CN"/>
        </w:rPr>
      </w:pPr>
      <w:r>
        <w:rPr>
          <w:rFonts w:ascii="宋体" w:hAnsi="宋体" w:hint="eastAsia"/>
          <w:lang w:eastAsia="zh-CN"/>
        </w:rPr>
        <w:t>关于工程保险的特别约定：</w:t>
      </w:r>
      <w:r>
        <w:rPr>
          <w:rFonts w:ascii="宋体" w:hAnsi="宋体" w:hint="eastAsia"/>
          <w:color w:val="00B0F0"/>
          <w:u w:val="single"/>
          <w:lang w:eastAsia="zh-CN"/>
        </w:rPr>
        <w:t xml:space="preserve">  按通用合同条款执行    </w:t>
      </w:r>
      <w:r>
        <w:rPr>
          <w:rFonts w:ascii="宋体" w:hAnsi="宋体" w:hint="eastAsia"/>
          <w:lang w:eastAsia="zh-CN"/>
        </w:rPr>
        <w:t>。</w:t>
      </w:r>
    </w:p>
    <w:p w14:paraId="3001ACD4">
      <w:pPr>
        <w:spacing w:line="360" w:lineRule="auto"/>
        <w:rPr>
          <w:rFonts w:ascii="宋体" w:hAnsi="宋体"/>
          <w:lang w:eastAsia="zh-CN"/>
        </w:rPr>
      </w:pPr>
      <w:r>
        <w:rPr>
          <w:rFonts w:ascii="宋体" w:hAnsi="宋体" w:hint="eastAsia"/>
          <w:lang w:eastAsia="zh-CN"/>
        </w:rPr>
        <w:t>18.3 其他保险</w:t>
      </w:r>
    </w:p>
    <w:p w14:paraId="5325ED9E">
      <w:pPr>
        <w:spacing w:line="360" w:lineRule="auto"/>
        <w:rPr>
          <w:rFonts w:ascii="宋体" w:hAnsi="宋体"/>
          <w:lang w:eastAsia="zh-CN"/>
        </w:rPr>
      </w:pPr>
      <w:r>
        <w:rPr>
          <w:rFonts w:ascii="宋体" w:hAnsi="宋体" w:hint="eastAsia"/>
          <w:lang w:eastAsia="zh-CN"/>
        </w:rPr>
        <w:t>关于其他保险的约定：</w:t>
      </w:r>
      <w:r>
        <w:rPr>
          <w:rFonts w:ascii="宋体" w:hAnsi="宋体" w:hint="eastAsia"/>
          <w:color w:val="00B0F0"/>
          <w:u w:val="single"/>
          <w:lang w:eastAsia="zh-CN"/>
        </w:rPr>
        <w:t xml:space="preserve">  按通用合同条款执行   </w:t>
      </w:r>
      <w:r>
        <w:rPr>
          <w:rFonts w:ascii="宋体" w:hAnsi="宋体" w:hint="eastAsia"/>
          <w:lang w:eastAsia="zh-CN"/>
        </w:rPr>
        <w:t>。</w:t>
      </w:r>
    </w:p>
    <w:p w14:paraId="3563221B">
      <w:pPr>
        <w:spacing w:line="360" w:lineRule="auto"/>
        <w:rPr>
          <w:rFonts w:ascii="宋体" w:hAnsi="宋体"/>
          <w:lang w:eastAsia="zh-CN"/>
        </w:rPr>
      </w:pPr>
      <w:r>
        <w:rPr>
          <w:rFonts w:ascii="宋体" w:hAnsi="宋体" w:hint="eastAsia"/>
          <w:lang w:eastAsia="zh-CN"/>
        </w:rPr>
        <w:t>承包人是否应为其施工设备等办理财产保险：</w:t>
      </w:r>
      <w:r>
        <w:rPr>
          <w:rFonts w:ascii="宋体" w:hAnsi="宋体" w:hint="eastAsia"/>
          <w:color w:val="00B0F0"/>
          <w:u w:val="single"/>
          <w:lang w:eastAsia="zh-CN"/>
        </w:rPr>
        <w:t xml:space="preserve">  按通用合同条款执行  </w:t>
      </w:r>
      <w:r>
        <w:rPr>
          <w:rFonts w:ascii="宋体" w:hAnsi="宋体" w:hint="eastAsia"/>
          <w:lang w:eastAsia="zh-CN"/>
        </w:rPr>
        <w:t>。</w:t>
      </w:r>
    </w:p>
    <w:p w14:paraId="0E51A6CD">
      <w:pPr>
        <w:spacing w:line="360" w:lineRule="auto"/>
        <w:rPr>
          <w:rFonts w:ascii="宋体" w:hAnsi="宋体"/>
          <w:lang w:eastAsia="zh-CN"/>
        </w:rPr>
      </w:pPr>
      <w:r>
        <w:rPr>
          <w:rFonts w:ascii="宋体" w:hAnsi="宋体" w:hint="eastAsia"/>
          <w:lang w:eastAsia="zh-CN"/>
        </w:rPr>
        <w:t>18.7 通知义务</w:t>
      </w:r>
    </w:p>
    <w:p w14:paraId="1D73230D">
      <w:pPr>
        <w:spacing w:line="360" w:lineRule="auto"/>
        <w:rPr>
          <w:rFonts w:ascii="宋体" w:hAnsi="宋体"/>
          <w:lang w:eastAsia="zh-CN"/>
        </w:rPr>
      </w:pPr>
      <w:r>
        <w:rPr>
          <w:rFonts w:ascii="宋体" w:hAnsi="宋体" w:hint="eastAsia"/>
          <w:lang w:eastAsia="zh-CN"/>
        </w:rPr>
        <w:t>关于变更保险合同时的通知义务的约定：</w:t>
      </w:r>
      <w:r>
        <w:rPr>
          <w:rFonts w:ascii="宋体" w:hAnsi="宋体" w:hint="eastAsia"/>
          <w:color w:val="00B0F0"/>
          <w:u w:val="single"/>
          <w:lang w:eastAsia="zh-CN"/>
        </w:rPr>
        <w:t xml:space="preserve"> 按通用合同条款执行   </w:t>
      </w:r>
      <w:r>
        <w:rPr>
          <w:rFonts w:ascii="宋体" w:hAnsi="宋体" w:hint="eastAsia"/>
          <w:lang w:eastAsia="zh-CN"/>
        </w:rPr>
        <w:t>。</w:t>
      </w:r>
    </w:p>
    <w:bookmarkEnd w:id="1041"/>
    <w:bookmarkEnd w:id="1042"/>
    <w:bookmarkEnd w:id="1043"/>
    <w:bookmarkEnd w:id="1044"/>
    <w:bookmarkEnd w:id="1045"/>
    <w:bookmarkEnd w:id="1046"/>
    <w:bookmarkEnd w:id="1047"/>
    <w:bookmarkEnd w:id="1048"/>
    <w:bookmarkEnd w:id="1049"/>
    <w:bookmarkEnd w:id="1050"/>
    <w:bookmarkEnd w:id="1051"/>
    <w:bookmarkEnd w:id="1052"/>
    <w:p w14:paraId="2310E39C">
      <w:pPr>
        <w:spacing w:line="360" w:lineRule="auto"/>
        <w:rPr>
          <w:rFonts w:ascii="宋体" w:hAnsi="宋体"/>
          <w:bCs/>
          <w:lang w:eastAsia="zh-CN"/>
        </w:rPr>
      </w:pPr>
      <w:bookmarkStart w:id="1068" w:name="_Toc351203651"/>
      <w:r>
        <w:rPr>
          <w:rFonts w:ascii="宋体" w:hAnsi="宋体" w:hint="eastAsia"/>
          <w:bCs/>
          <w:lang w:eastAsia="zh-CN"/>
        </w:rPr>
        <w:t>20. 争议解决</w:t>
      </w:r>
      <w:bookmarkEnd w:id="1068"/>
    </w:p>
    <w:bookmarkEnd w:id="1053"/>
    <w:bookmarkEnd w:id="1054"/>
    <w:p w14:paraId="13FCA80C">
      <w:pPr>
        <w:spacing w:line="360" w:lineRule="auto"/>
        <w:rPr>
          <w:rFonts w:ascii="宋体" w:hAnsi="宋体"/>
          <w:lang w:eastAsia="zh-CN"/>
        </w:rPr>
      </w:pPr>
      <w:r>
        <w:rPr>
          <w:rFonts w:ascii="宋体" w:hAnsi="宋体" w:hint="eastAsia"/>
          <w:lang w:eastAsia="zh-CN"/>
        </w:rPr>
        <w:t>20.3 争</w:t>
      </w:r>
      <w:bookmarkEnd w:id="1055"/>
      <w:r>
        <w:rPr>
          <w:rFonts w:ascii="宋体" w:hAnsi="宋体" w:hint="eastAsia"/>
          <w:lang w:eastAsia="zh-CN"/>
        </w:rPr>
        <w:t>议评审</w:t>
      </w:r>
    </w:p>
    <w:p w14:paraId="7DBA85AB">
      <w:pPr>
        <w:spacing w:line="360" w:lineRule="auto"/>
        <w:rPr>
          <w:rFonts w:ascii="宋体" w:hAnsi="宋体"/>
          <w:lang w:eastAsia="zh-CN"/>
        </w:rPr>
      </w:pPr>
      <w:r>
        <w:rPr>
          <w:rFonts w:ascii="宋体" w:hAnsi="宋体" w:hint="eastAsia"/>
          <w:lang w:eastAsia="zh-CN"/>
        </w:rPr>
        <w:t>合同当事人是否同意将工程争议提交争议评审小组决定：</w:t>
      </w:r>
      <w:r>
        <w:rPr>
          <w:rFonts w:ascii="宋体" w:hAnsi="宋体" w:hint="eastAsia"/>
          <w:color w:val="00B0F0"/>
          <w:u w:val="single"/>
          <w:lang w:eastAsia="zh-CN"/>
        </w:rPr>
        <w:t xml:space="preserve">  /  </w:t>
      </w:r>
      <w:r>
        <w:rPr>
          <w:rFonts w:ascii="宋体" w:hAnsi="宋体" w:hint="eastAsia"/>
          <w:lang w:eastAsia="zh-CN"/>
        </w:rPr>
        <w:t xml:space="preserve">。  </w:t>
      </w:r>
    </w:p>
    <w:p w14:paraId="27B551C3">
      <w:pPr>
        <w:spacing w:line="360" w:lineRule="auto"/>
        <w:rPr>
          <w:rFonts w:ascii="宋体" w:hAnsi="宋体"/>
          <w:lang w:eastAsia="zh-CN"/>
        </w:rPr>
      </w:pPr>
      <w:r>
        <w:rPr>
          <w:rFonts w:ascii="宋体" w:hAnsi="宋体" w:hint="eastAsia"/>
          <w:lang w:eastAsia="zh-CN"/>
        </w:rPr>
        <w:t>20.3.1 争议评审小组的确定</w:t>
      </w:r>
    </w:p>
    <w:p w14:paraId="04C3B158">
      <w:pPr>
        <w:spacing w:line="360" w:lineRule="auto"/>
        <w:rPr>
          <w:rFonts w:ascii="宋体" w:hAnsi="宋体"/>
          <w:u w:val="single"/>
          <w:lang w:eastAsia="zh-CN"/>
        </w:rPr>
      </w:pPr>
      <w:r>
        <w:rPr>
          <w:rFonts w:ascii="宋体" w:hAnsi="宋体" w:hint="eastAsia"/>
          <w:lang w:eastAsia="zh-CN"/>
        </w:rPr>
        <w:t>争议评审小组成员的确定：</w:t>
      </w:r>
      <w:r>
        <w:rPr>
          <w:rFonts w:ascii="宋体" w:hAnsi="宋体" w:hint="eastAsia"/>
          <w:color w:val="00B0F0"/>
          <w:u w:val="single"/>
          <w:lang w:eastAsia="zh-CN"/>
        </w:rPr>
        <w:t xml:space="preserve">  /   </w:t>
      </w:r>
      <w:r>
        <w:rPr>
          <w:rFonts w:ascii="宋体" w:hAnsi="宋体" w:hint="eastAsia"/>
          <w:lang w:eastAsia="zh-CN"/>
        </w:rPr>
        <w:t>。</w:t>
      </w:r>
    </w:p>
    <w:p w14:paraId="005BCFA3">
      <w:pPr>
        <w:spacing w:line="360" w:lineRule="auto"/>
        <w:rPr>
          <w:rFonts w:ascii="宋体" w:hAnsi="宋体"/>
          <w:lang w:eastAsia="zh-CN"/>
        </w:rPr>
      </w:pPr>
      <w:r>
        <w:rPr>
          <w:rFonts w:ascii="宋体" w:hAnsi="宋体" w:hint="eastAsia"/>
          <w:lang w:eastAsia="zh-CN"/>
        </w:rPr>
        <w:t>选定争议评审员的期限：</w:t>
      </w:r>
      <w:r>
        <w:rPr>
          <w:rFonts w:ascii="宋体" w:hAnsi="宋体" w:hint="eastAsia"/>
          <w:color w:val="00B0F0"/>
          <w:u w:val="single"/>
          <w:lang w:eastAsia="zh-CN"/>
        </w:rPr>
        <w:t xml:space="preserve">  /    </w:t>
      </w:r>
      <w:r>
        <w:rPr>
          <w:rFonts w:ascii="宋体" w:hAnsi="宋体" w:hint="eastAsia"/>
          <w:lang w:eastAsia="zh-CN"/>
        </w:rPr>
        <w:t>。</w:t>
      </w:r>
    </w:p>
    <w:p w14:paraId="7E2BAE10">
      <w:pPr>
        <w:spacing w:line="360" w:lineRule="auto"/>
        <w:rPr>
          <w:rFonts w:ascii="宋体" w:hAnsi="宋体"/>
          <w:lang w:eastAsia="zh-CN"/>
        </w:rPr>
      </w:pPr>
      <w:r>
        <w:rPr>
          <w:rFonts w:ascii="宋体" w:hAnsi="宋体" w:hint="eastAsia"/>
          <w:lang w:eastAsia="zh-CN"/>
        </w:rPr>
        <w:t>争议评审小组成员的报酬承担方式：</w:t>
      </w:r>
      <w:r>
        <w:rPr>
          <w:rFonts w:ascii="宋体" w:hAnsi="宋体" w:hint="eastAsia"/>
          <w:color w:val="00B0F0"/>
          <w:u w:val="single"/>
          <w:lang w:eastAsia="zh-CN"/>
        </w:rPr>
        <w:t xml:space="preserve">  /  </w:t>
      </w:r>
      <w:r>
        <w:rPr>
          <w:rFonts w:ascii="宋体" w:hAnsi="宋体" w:hint="eastAsia"/>
          <w:lang w:eastAsia="zh-CN"/>
        </w:rPr>
        <w:t>。</w:t>
      </w:r>
    </w:p>
    <w:p w14:paraId="55944A1B">
      <w:pPr>
        <w:spacing w:line="360" w:lineRule="auto"/>
        <w:rPr>
          <w:rFonts w:ascii="宋体" w:hAnsi="宋体"/>
          <w:lang w:eastAsia="zh-CN"/>
        </w:rPr>
      </w:pPr>
      <w:r>
        <w:rPr>
          <w:rFonts w:ascii="宋体" w:hAnsi="宋体" w:hint="eastAsia"/>
          <w:lang w:eastAsia="zh-CN"/>
        </w:rPr>
        <w:t>其他事项的约定：</w:t>
      </w:r>
      <w:r>
        <w:rPr>
          <w:rFonts w:ascii="宋体" w:hAnsi="宋体" w:hint="eastAsia"/>
          <w:color w:val="00B0F0"/>
          <w:u w:val="single"/>
          <w:lang w:eastAsia="zh-CN"/>
        </w:rPr>
        <w:t xml:space="preserve"> /   </w:t>
      </w:r>
      <w:r>
        <w:rPr>
          <w:rFonts w:ascii="宋体" w:hAnsi="宋体" w:hint="eastAsia"/>
          <w:lang w:eastAsia="zh-CN"/>
        </w:rPr>
        <w:t>。</w:t>
      </w:r>
    </w:p>
    <w:p w14:paraId="62D4522A">
      <w:pPr>
        <w:spacing w:line="360" w:lineRule="auto"/>
        <w:rPr>
          <w:rFonts w:ascii="宋体" w:hAnsi="宋体"/>
          <w:lang w:eastAsia="zh-CN"/>
        </w:rPr>
      </w:pPr>
      <w:r>
        <w:rPr>
          <w:rFonts w:ascii="宋体" w:hAnsi="宋体" w:hint="eastAsia"/>
          <w:lang w:eastAsia="zh-CN"/>
        </w:rPr>
        <w:t>20.3.2 争议评审小组的决定</w:t>
      </w:r>
    </w:p>
    <w:p w14:paraId="1F3433DC">
      <w:pPr>
        <w:spacing w:line="360" w:lineRule="auto"/>
        <w:rPr>
          <w:rFonts w:ascii="宋体" w:hAnsi="宋体"/>
          <w:lang w:eastAsia="zh-CN"/>
        </w:rPr>
      </w:pPr>
      <w:r>
        <w:rPr>
          <w:rFonts w:ascii="宋体" w:hAnsi="宋体" w:hint="eastAsia"/>
          <w:lang w:eastAsia="zh-CN"/>
        </w:rPr>
        <w:t>合同当事人关于本项的约定：</w:t>
      </w:r>
      <w:r>
        <w:rPr>
          <w:rFonts w:ascii="宋体" w:hAnsi="宋体" w:hint="eastAsia"/>
          <w:color w:val="00B0F0"/>
          <w:u w:val="single"/>
          <w:lang w:eastAsia="zh-CN"/>
        </w:rPr>
        <w:t xml:space="preserve">   </w:t>
      </w:r>
      <w:r>
        <w:rPr>
          <w:rFonts w:ascii="宋体" w:hAnsi="宋体" w:hint="eastAsia"/>
          <w:color w:val="00B0F0"/>
          <w:u w:val="single"/>
          <w:lang w:val="en-US" w:eastAsia="zh-CN"/>
        </w:rPr>
        <w:t>/</w:t>
      </w:r>
      <w:r>
        <w:rPr>
          <w:rFonts w:ascii="宋体" w:hAnsi="宋体" w:hint="eastAsia"/>
          <w:color w:val="00B0F0"/>
          <w:u w:val="single"/>
          <w:lang w:eastAsia="zh-CN"/>
        </w:rPr>
        <w:t xml:space="preserve">           </w:t>
      </w:r>
      <w:r>
        <w:rPr>
          <w:rFonts w:ascii="宋体" w:hAnsi="宋体" w:hint="eastAsia"/>
          <w:lang w:eastAsia="zh-CN"/>
        </w:rPr>
        <w:t>。</w:t>
      </w:r>
    </w:p>
    <w:p w14:paraId="672B3AD7">
      <w:pPr>
        <w:spacing w:line="360" w:lineRule="auto"/>
        <w:rPr>
          <w:rFonts w:ascii="宋体" w:hAnsi="宋体"/>
          <w:lang w:eastAsia="zh-CN"/>
        </w:rPr>
      </w:pPr>
      <w:r>
        <w:rPr>
          <w:rFonts w:ascii="宋体" w:hAnsi="宋体" w:hint="eastAsia"/>
          <w:lang w:eastAsia="zh-CN"/>
        </w:rPr>
        <w:t>20.4仲裁或诉讼</w:t>
      </w:r>
      <w:bookmarkEnd w:id="1056"/>
    </w:p>
    <w:p w14:paraId="49862622">
      <w:pPr>
        <w:spacing w:line="360" w:lineRule="auto"/>
        <w:rPr>
          <w:rFonts w:ascii="宋体" w:hAnsi="宋体"/>
          <w:lang w:eastAsia="zh-CN"/>
        </w:rPr>
      </w:pPr>
      <w:r>
        <w:rPr>
          <w:rFonts w:ascii="宋体" w:hAnsi="宋体" w:hint="eastAsia"/>
          <w:lang w:eastAsia="zh-CN"/>
        </w:rPr>
        <w:t>因合同及合同有关事项发生的争议，按下列第</w:t>
      </w:r>
      <w:r>
        <w:rPr>
          <w:rFonts w:ascii="宋体" w:hAnsi="宋体" w:hint="eastAsia"/>
          <w:color w:val="00B0F0"/>
          <w:u w:val="single"/>
          <w:lang w:eastAsia="zh-CN"/>
        </w:rPr>
        <w:t xml:space="preserve">   （2）  </w:t>
      </w:r>
      <w:r>
        <w:rPr>
          <w:rFonts w:ascii="宋体" w:hAnsi="宋体" w:hint="eastAsia"/>
          <w:lang w:eastAsia="zh-CN"/>
        </w:rPr>
        <w:t>种方式解决：</w:t>
      </w:r>
    </w:p>
    <w:p w14:paraId="65DF7833">
      <w:pPr>
        <w:spacing w:line="360" w:lineRule="auto"/>
        <w:rPr>
          <w:rFonts w:ascii="宋体" w:hAnsi="宋体"/>
          <w:lang w:eastAsia="zh-CN"/>
        </w:rPr>
      </w:pPr>
      <w:r>
        <w:rPr>
          <w:rFonts w:ascii="宋体" w:hAnsi="宋体" w:hint="eastAsia"/>
          <w:lang w:eastAsia="zh-CN"/>
        </w:rPr>
        <w:t>（1）向</w:t>
      </w:r>
      <w:r>
        <w:rPr>
          <w:rFonts w:ascii="宋体" w:hAnsi="宋体" w:hint="eastAsia"/>
          <w:color w:val="00B0F0"/>
          <w:u w:val="single"/>
          <w:lang w:eastAsia="zh-CN"/>
        </w:rPr>
        <w:t xml:space="preserve">        /             </w:t>
      </w:r>
      <w:r>
        <w:rPr>
          <w:rFonts w:ascii="宋体" w:hAnsi="宋体" w:hint="eastAsia"/>
          <w:lang w:eastAsia="zh-CN"/>
        </w:rPr>
        <w:t>仲裁委员会申请仲裁；</w:t>
      </w:r>
    </w:p>
    <w:p w14:paraId="2C300899">
      <w:pPr>
        <w:spacing w:line="360" w:lineRule="auto"/>
        <w:rPr>
          <w:rFonts w:ascii="宋体" w:hAnsi="宋体"/>
          <w:lang w:eastAsia="zh-CN"/>
        </w:rPr>
      </w:pPr>
      <w:r>
        <w:rPr>
          <w:rFonts w:ascii="宋体" w:hAnsi="宋体" w:hint="eastAsia"/>
          <w:lang w:eastAsia="zh-CN"/>
        </w:rPr>
        <w:t>（2）向</w:t>
      </w:r>
      <w:r>
        <w:rPr>
          <w:rFonts w:ascii="宋体" w:hAnsi="宋体" w:hint="eastAsia"/>
          <w:color w:val="00B0F0"/>
          <w:u w:val="single"/>
          <w:lang w:eastAsia="zh-CN"/>
        </w:rPr>
        <w:t xml:space="preserve">     遂宁市安居区      </w:t>
      </w:r>
      <w:r>
        <w:rPr>
          <w:rFonts w:ascii="宋体" w:hAnsi="宋体" w:hint="eastAsia"/>
          <w:lang w:eastAsia="zh-CN"/>
        </w:rPr>
        <w:t>人民法院起诉。</w:t>
      </w:r>
      <w:bookmarkEnd w:id="1057"/>
      <w:bookmarkEnd w:id="1058"/>
      <w:bookmarkEnd w:id="1059"/>
      <w:bookmarkEnd w:id="1060"/>
      <w:bookmarkEnd w:id="1061"/>
      <w:bookmarkEnd w:id="1062"/>
    </w:p>
    <w:p w14:paraId="7F60E83A">
      <w:pPr>
        <w:spacing w:line="360" w:lineRule="auto"/>
        <w:rPr>
          <w:rFonts w:ascii="宋体" w:hAnsi="宋体"/>
          <w:b/>
          <w:lang w:eastAsia="zh-CN"/>
        </w:rPr>
      </w:pPr>
      <w:r>
        <w:rPr>
          <w:rFonts w:ascii="宋体" w:hAnsi="宋体" w:hint="eastAsia"/>
          <w:lang w:eastAsia="zh-CN"/>
        </w:rPr>
        <w:br w:type="page"/>
      </w:r>
      <w:r>
        <w:rPr>
          <w:rFonts w:ascii="宋体" w:hAnsi="宋体" w:hint="eastAsia"/>
          <w:b/>
          <w:lang w:eastAsia="zh-CN"/>
        </w:rPr>
        <w:t>附件</w:t>
      </w:r>
    </w:p>
    <w:p w14:paraId="7D6DBC3C">
      <w:pPr>
        <w:spacing w:line="360" w:lineRule="auto"/>
        <w:rPr>
          <w:rFonts w:ascii="宋体" w:hAnsi="宋体"/>
          <w:lang w:eastAsia="zh-CN"/>
        </w:rPr>
      </w:pPr>
      <w:r>
        <w:rPr>
          <w:rFonts w:ascii="宋体" w:hAnsi="宋体" w:hint="eastAsia"/>
          <w:lang w:eastAsia="zh-CN"/>
        </w:rPr>
        <w:t>协议书附件：</w:t>
      </w:r>
    </w:p>
    <w:p w14:paraId="0D9BBA00">
      <w:pPr>
        <w:spacing w:line="360" w:lineRule="auto"/>
        <w:rPr>
          <w:rFonts w:ascii="宋体" w:hAnsi="宋体"/>
          <w:lang w:eastAsia="zh-CN"/>
        </w:rPr>
      </w:pPr>
      <w:r>
        <w:rPr>
          <w:rFonts w:ascii="宋体" w:hAnsi="宋体" w:hint="eastAsia"/>
          <w:lang w:eastAsia="zh-CN"/>
        </w:rPr>
        <w:t>附件1：承包人承揽工程项目一览表</w:t>
      </w:r>
    </w:p>
    <w:p w14:paraId="7C8128A2">
      <w:pPr>
        <w:spacing w:line="360" w:lineRule="auto"/>
        <w:rPr>
          <w:rFonts w:ascii="宋体" w:hAnsi="宋体"/>
          <w:lang w:eastAsia="zh-CN"/>
        </w:rPr>
      </w:pPr>
      <w:r>
        <w:rPr>
          <w:rFonts w:ascii="宋体" w:hAnsi="宋体" w:hint="eastAsia"/>
          <w:lang w:eastAsia="zh-CN"/>
        </w:rPr>
        <w:t>专用合同条款附件：</w:t>
      </w:r>
    </w:p>
    <w:p w14:paraId="0D6B1192">
      <w:pPr>
        <w:spacing w:line="360" w:lineRule="auto"/>
        <w:rPr>
          <w:rFonts w:ascii="宋体" w:hAnsi="宋体"/>
          <w:lang w:eastAsia="zh-CN"/>
        </w:rPr>
      </w:pPr>
      <w:r>
        <w:rPr>
          <w:rFonts w:ascii="宋体" w:hAnsi="宋体" w:hint="eastAsia"/>
          <w:lang w:eastAsia="zh-CN"/>
        </w:rPr>
        <w:t>附件2：发包人供应材料设备一览表</w:t>
      </w:r>
    </w:p>
    <w:p w14:paraId="23033B96">
      <w:pPr>
        <w:spacing w:line="360" w:lineRule="auto"/>
        <w:rPr>
          <w:rFonts w:ascii="宋体" w:hAnsi="宋体"/>
          <w:lang w:eastAsia="zh-CN"/>
        </w:rPr>
      </w:pPr>
      <w:r>
        <w:rPr>
          <w:rFonts w:ascii="宋体" w:hAnsi="宋体" w:hint="eastAsia"/>
          <w:lang w:eastAsia="zh-CN"/>
        </w:rPr>
        <w:t>附件3：工程质量保修书</w:t>
      </w:r>
    </w:p>
    <w:p w14:paraId="6621C842">
      <w:pPr>
        <w:spacing w:line="360" w:lineRule="auto"/>
        <w:rPr>
          <w:rFonts w:ascii="宋体" w:hAnsi="宋体"/>
          <w:lang w:eastAsia="zh-CN"/>
        </w:rPr>
      </w:pPr>
      <w:r>
        <w:rPr>
          <w:rFonts w:ascii="宋体" w:hAnsi="宋体" w:hint="eastAsia"/>
          <w:lang w:eastAsia="zh-CN"/>
        </w:rPr>
        <w:t>附件4：主要建设工程文件目录</w:t>
      </w:r>
    </w:p>
    <w:p w14:paraId="3C3CAB85">
      <w:pPr>
        <w:spacing w:line="360" w:lineRule="auto"/>
        <w:rPr>
          <w:rFonts w:ascii="宋体" w:hAnsi="宋体"/>
          <w:lang w:eastAsia="zh-CN"/>
        </w:rPr>
      </w:pPr>
      <w:r>
        <w:rPr>
          <w:rFonts w:ascii="宋体" w:hAnsi="宋体" w:hint="eastAsia"/>
          <w:lang w:eastAsia="zh-CN"/>
        </w:rPr>
        <w:t>附件5：承包人用于本工程施工的机械设备表</w:t>
      </w:r>
    </w:p>
    <w:p w14:paraId="286CBC3D">
      <w:pPr>
        <w:spacing w:line="360" w:lineRule="auto"/>
        <w:rPr>
          <w:rFonts w:ascii="宋体" w:hAnsi="宋体"/>
          <w:lang w:eastAsia="zh-CN"/>
        </w:rPr>
      </w:pPr>
      <w:r>
        <w:rPr>
          <w:rFonts w:ascii="宋体" w:hAnsi="宋体" w:hint="eastAsia"/>
          <w:lang w:eastAsia="zh-CN"/>
        </w:rPr>
        <w:t>附件6：承包人主要施工管理人员表</w:t>
      </w:r>
    </w:p>
    <w:p w14:paraId="2AD48032">
      <w:pPr>
        <w:spacing w:line="360" w:lineRule="auto"/>
        <w:rPr>
          <w:rFonts w:ascii="宋体" w:hAnsi="宋体"/>
          <w:lang w:eastAsia="zh-CN"/>
        </w:rPr>
      </w:pPr>
      <w:r>
        <w:rPr>
          <w:rFonts w:ascii="宋体" w:hAnsi="宋体" w:hint="eastAsia"/>
          <w:lang w:eastAsia="zh-CN"/>
        </w:rPr>
        <w:t>附件7：分包人主要施工管理人员表</w:t>
      </w:r>
    </w:p>
    <w:p w14:paraId="0A6C45BD">
      <w:pPr>
        <w:spacing w:line="360" w:lineRule="auto"/>
        <w:rPr>
          <w:rFonts w:ascii="宋体" w:hAnsi="宋体"/>
          <w:lang w:eastAsia="zh-CN"/>
        </w:rPr>
      </w:pPr>
      <w:r>
        <w:rPr>
          <w:rFonts w:ascii="宋体" w:hAnsi="宋体" w:hint="eastAsia"/>
          <w:lang w:eastAsia="zh-CN"/>
        </w:rPr>
        <w:t>附件8：履约担保格式</w:t>
      </w:r>
    </w:p>
    <w:p w14:paraId="0650FF8E">
      <w:pPr>
        <w:spacing w:line="360" w:lineRule="auto"/>
        <w:rPr>
          <w:rFonts w:ascii="宋体" w:hAnsi="宋体"/>
          <w:lang w:eastAsia="zh-CN"/>
        </w:rPr>
      </w:pPr>
      <w:r>
        <w:rPr>
          <w:rFonts w:ascii="宋体" w:hAnsi="宋体" w:hint="eastAsia"/>
          <w:lang w:eastAsia="zh-CN"/>
        </w:rPr>
        <w:t>附件9：预付款担保格式</w:t>
      </w:r>
    </w:p>
    <w:p w14:paraId="1B618ED2">
      <w:pPr>
        <w:spacing w:line="360" w:lineRule="auto"/>
        <w:rPr>
          <w:rFonts w:ascii="宋体" w:hAnsi="宋体"/>
          <w:lang w:eastAsia="zh-CN"/>
        </w:rPr>
      </w:pPr>
      <w:r>
        <w:rPr>
          <w:rFonts w:ascii="宋体" w:hAnsi="宋体" w:hint="eastAsia"/>
          <w:lang w:eastAsia="zh-CN"/>
        </w:rPr>
        <w:t>附件10：支付担保格式</w:t>
      </w:r>
    </w:p>
    <w:p w14:paraId="75C5CADC">
      <w:pPr>
        <w:spacing w:line="360" w:lineRule="auto"/>
        <w:rPr>
          <w:rFonts w:ascii="宋体" w:hAnsi="宋体"/>
          <w:lang w:eastAsia="zh-CN"/>
        </w:rPr>
      </w:pPr>
      <w:r>
        <w:rPr>
          <w:rFonts w:ascii="宋体" w:hAnsi="宋体" w:hint="eastAsia"/>
          <w:lang w:eastAsia="zh-CN"/>
        </w:rPr>
        <w:t>附件11：暂估价一览表</w:t>
      </w:r>
    </w:p>
    <w:p w14:paraId="57BD54D4">
      <w:pPr>
        <w:spacing w:line="360" w:lineRule="auto"/>
        <w:rPr>
          <w:rFonts w:ascii="宋体" w:hAnsi="宋体"/>
          <w:lang w:eastAsia="zh-CN"/>
        </w:rPr>
        <w:sectPr>
          <w:type w:val="continuous"/>
          <w:pgSz w:w="11906" w:h="16838"/>
          <w:pgMar w:top="1418" w:right="1555" w:bottom="1418" w:left="1531" w:header="851" w:footer="992" w:gutter="0"/>
          <w:pgNumType w:start="1"/>
          <w:cols w:num="1" w:space="720"/>
          <w:docGrid w:type="lines" w:linePitch="312" w:charSpace="0"/>
        </w:sectPr>
      </w:pPr>
    </w:p>
    <w:p w14:paraId="3A25595E">
      <w:pPr>
        <w:rPr>
          <w:rFonts w:ascii="宋体" w:hAnsi="宋体"/>
          <w:lang w:eastAsia="zh-CN"/>
        </w:rPr>
      </w:pPr>
    </w:p>
    <w:p w14:paraId="5C74BFBF">
      <w:pPr>
        <w:spacing w:line="360" w:lineRule="auto"/>
        <w:rPr>
          <w:rFonts w:ascii="宋体" w:hAnsi="宋体"/>
          <w:lang w:eastAsia="zh-CN"/>
        </w:rPr>
      </w:pPr>
      <w:r>
        <w:rPr>
          <w:rFonts w:ascii="宋体" w:hAnsi="宋体" w:hint="eastAsia"/>
          <w:lang w:eastAsia="zh-CN"/>
        </w:rPr>
        <w:t>附件1：</w:t>
      </w:r>
    </w:p>
    <w:p w14:paraId="018A2D34">
      <w:pPr>
        <w:spacing w:line="360" w:lineRule="auto"/>
        <w:jc w:val="center"/>
        <w:rPr>
          <w:rFonts w:ascii="宋体" w:hAnsi="宋体"/>
          <w:b/>
          <w:lang w:eastAsia="zh-CN"/>
        </w:rPr>
      </w:pPr>
      <w:r>
        <w:rPr>
          <w:rFonts w:ascii="宋体" w:hAnsi="宋体" w:hint="eastAsia"/>
          <w:b/>
          <w:lang w:eastAsia="zh-CN"/>
        </w:rPr>
        <w:t>承包人承揽工程项目一览表</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28" w:type="dxa"/>
          <w:bottom w:w="0" w:type="dxa"/>
          <w:right w:w="28" w:type="dxa"/>
        </w:tblCellMar>
      </w:tblPr>
      <w:tblGrid>
        <w:gridCol w:w="1811"/>
        <w:gridCol w:w="1309"/>
        <w:gridCol w:w="1951"/>
        <w:gridCol w:w="1559"/>
        <w:gridCol w:w="1167"/>
        <w:gridCol w:w="1560"/>
        <w:gridCol w:w="1809"/>
        <w:gridCol w:w="1276"/>
        <w:gridCol w:w="851"/>
        <w:gridCol w:w="850"/>
      </w:tblGrid>
      <w:tr w14:paraId="50F174D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28" w:type="dxa"/>
            <w:bottom w:w="0" w:type="dxa"/>
            <w:right w:w="28" w:type="dxa"/>
          </w:tblCellMar>
        </w:tblPrEx>
        <w:trPr>
          <w:jc w:val="center"/>
        </w:trPr>
        <w:tc>
          <w:tcPr>
            <w:tcW w:w="1811" w:type="dxa"/>
            <w:tcBorders>
              <w:top w:val="single" w:sz="4" w:space="0" w:color="auto"/>
              <w:left w:val="single" w:sz="4" w:space="0" w:color="auto"/>
              <w:bottom w:val="single" w:sz="4" w:space="0" w:color="auto"/>
              <w:right w:val="single" w:sz="4" w:space="0" w:color="auto"/>
            </w:tcBorders>
            <w:vAlign w:val="center"/>
          </w:tcPr>
          <w:p w14:paraId="69A36959">
            <w:pPr>
              <w:spacing w:line="360" w:lineRule="auto"/>
              <w:jc w:val="center"/>
              <w:rPr>
                <w:rFonts w:ascii="宋体" w:hAnsi="宋体"/>
              </w:rPr>
            </w:pPr>
            <w:r>
              <w:rPr>
                <w:rFonts w:ascii="宋体" w:hAnsi="宋体" w:hint="eastAsia"/>
              </w:rPr>
              <w:t>单位工程名称</w:t>
            </w:r>
          </w:p>
        </w:tc>
        <w:tc>
          <w:tcPr>
            <w:tcW w:w="1309" w:type="dxa"/>
            <w:tcBorders>
              <w:top w:val="single" w:sz="4" w:space="0" w:color="auto"/>
              <w:left w:val="single" w:sz="4" w:space="0" w:color="auto"/>
              <w:bottom w:val="single" w:sz="4" w:space="0" w:color="auto"/>
              <w:right w:val="single" w:sz="4" w:space="0" w:color="auto"/>
            </w:tcBorders>
            <w:vAlign w:val="center"/>
          </w:tcPr>
          <w:p w14:paraId="5F1F9BB0">
            <w:pPr>
              <w:spacing w:line="360" w:lineRule="auto"/>
              <w:jc w:val="center"/>
              <w:rPr>
                <w:rFonts w:ascii="宋体" w:hAnsi="宋体"/>
              </w:rPr>
            </w:pPr>
            <w:r>
              <w:rPr>
                <w:rFonts w:ascii="宋体" w:hAnsi="宋体" w:hint="eastAsia"/>
              </w:rPr>
              <w:t>建设规模</w:t>
            </w:r>
          </w:p>
        </w:tc>
        <w:tc>
          <w:tcPr>
            <w:tcW w:w="1951" w:type="dxa"/>
            <w:tcBorders>
              <w:top w:val="single" w:sz="4" w:space="0" w:color="auto"/>
              <w:left w:val="single" w:sz="4" w:space="0" w:color="auto"/>
              <w:bottom w:val="single" w:sz="4" w:space="0" w:color="auto"/>
              <w:right w:val="single" w:sz="4" w:space="0" w:color="auto"/>
            </w:tcBorders>
            <w:vAlign w:val="center"/>
          </w:tcPr>
          <w:p w14:paraId="7121979C">
            <w:pPr>
              <w:spacing w:line="360" w:lineRule="auto"/>
              <w:jc w:val="center"/>
              <w:rPr>
                <w:rFonts w:ascii="宋体" w:hAnsi="宋体"/>
              </w:rPr>
            </w:pPr>
            <w:r>
              <w:rPr>
                <w:rFonts w:ascii="宋体" w:hAnsi="宋体" w:hint="eastAsia"/>
              </w:rPr>
              <w:t>建筑面积</w:t>
            </w:r>
          </w:p>
          <w:p w14:paraId="4D996734">
            <w:pPr>
              <w:spacing w:line="360" w:lineRule="auto"/>
              <w:jc w:val="center"/>
              <w:rPr>
                <w:rFonts w:ascii="宋体" w:hAnsi="宋体"/>
              </w:rPr>
            </w:pPr>
            <w:r>
              <w:rPr>
                <w:rFonts w:ascii="宋体" w:hAnsi="宋体" w:hint="eastAsia"/>
              </w:rPr>
              <w:t>(平方米)</w:t>
            </w:r>
          </w:p>
        </w:tc>
        <w:tc>
          <w:tcPr>
            <w:tcW w:w="1559" w:type="dxa"/>
            <w:tcBorders>
              <w:top w:val="single" w:sz="4" w:space="0" w:color="auto"/>
              <w:left w:val="single" w:sz="4" w:space="0" w:color="auto"/>
              <w:bottom w:val="single" w:sz="4" w:space="0" w:color="auto"/>
              <w:right w:val="single" w:sz="4" w:space="0" w:color="auto"/>
            </w:tcBorders>
            <w:vAlign w:val="center"/>
          </w:tcPr>
          <w:p w14:paraId="5082C7BF">
            <w:pPr>
              <w:spacing w:line="360" w:lineRule="auto"/>
              <w:jc w:val="center"/>
              <w:rPr>
                <w:rFonts w:ascii="宋体" w:hAnsi="宋体"/>
              </w:rPr>
            </w:pPr>
            <w:r>
              <w:rPr>
                <w:rFonts w:ascii="宋体" w:hAnsi="宋体" w:hint="eastAsia"/>
              </w:rPr>
              <w:t>结构形式</w:t>
            </w:r>
          </w:p>
        </w:tc>
        <w:tc>
          <w:tcPr>
            <w:tcW w:w="1167" w:type="dxa"/>
            <w:tcBorders>
              <w:top w:val="single" w:sz="4" w:space="0" w:color="auto"/>
              <w:left w:val="single" w:sz="4" w:space="0" w:color="auto"/>
              <w:bottom w:val="single" w:sz="4" w:space="0" w:color="auto"/>
              <w:right w:val="single" w:sz="4" w:space="0" w:color="auto"/>
            </w:tcBorders>
            <w:vAlign w:val="center"/>
          </w:tcPr>
          <w:p w14:paraId="58ADEFAA">
            <w:pPr>
              <w:spacing w:line="360" w:lineRule="auto"/>
              <w:jc w:val="center"/>
              <w:rPr>
                <w:rFonts w:ascii="宋体" w:hAnsi="宋体"/>
              </w:rPr>
            </w:pPr>
            <w:r>
              <w:rPr>
                <w:rFonts w:ascii="宋体" w:hAnsi="宋体" w:hint="eastAsia"/>
              </w:rPr>
              <w:t>层数</w:t>
            </w:r>
          </w:p>
        </w:tc>
        <w:tc>
          <w:tcPr>
            <w:tcW w:w="1560" w:type="dxa"/>
            <w:tcBorders>
              <w:top w:val="single" w:sz="4" w:space="0" w:color="auto"/>
              <w:left w:val="single" w:sz="4" w:space="0" w:color="auto"/>
              <w:bottom w:val="single" w:sz="4" w:space="0" w:color="auto"/>
              <w:right w:val="single" w:sz="4" w:space="0" w:color="auto"/>
            </w:tcBorders>
            <w:vAlign w:val="center"/>
          </w:tcPr>
          <w:p w14:paraId="2D6DC02D">
            <w:pPr>
              <w:spacing w:line="360" w:lineRule="auto"/>
              <w:jc w:val="center"/>
              <w:rPr>
                <w:rFonts w:ascii="宋体" w:hAnsi="宋体"/>
              </w:rPr>
            </w:pPr>
            <w:r>
              <w:rPr>
                <w:rFonts w:ascii="宋体" w:hAnsi="宋体" w:hint="eastAsia"/>
              </w:rPr>
              <w:t>生产能力</w:t>
            </w:r>
          </w:p>
        </w:tc>
        <w:tc>
          <w:tcPr>
            <w:tcW w:w="1809" w:type="dxa"/>
            <w:tcBorders>
              <w:top w:val="single" w:sz="4" w:space="0" w:color="auto"/>
              <w:left w:val="single" w:sz="4" w:space="0" w:color="auto"/>
              <w:bottom w:val="single" w:sz="4" w:space="0" w:color="auto"/>
              <w:right w:val="single" w:sz="4" w:space="0" w:color="auto"/>
            </w:tcBorders>
            <w:vAlign w:val="center"/>
          </w:tcPr>
          <w:p w14:paraId="46E1B2C5">
            <w:pPr>
              <w:spacing w:line="360" w:lineRule="auto"/>
              <w:jc w:val="center"/>
              <w:rPr>
                <w:rFonts w:ascii="宋体" w:hAnsi="宋体"/>
              </w:rPr>
            </w:pPr>
            <w:r>
              <w:rPr>
                <w:rFonts w:ascii="宋体" w:hAnsi="宋体" w:hint="eastAsia"/>
              </w:rPr>
              <w:t>设备安装内容</w:t>
            </w:r>
          </w:p>
        </w:tc>
        <w:tc>
          <w:tcPr>
            <w:tcW w:w="1276" w:type="dxa"/>
            <w:tcBorders>
              <w:top w:val="single" w:sz="4" w:space="0" w:color="auto"/>
              <w:left w:val="single" w:sz="4" w:space="0" w:color="auto"/>
              <w:bottom w:val="single" w:sz="4" w:space="0" w:color="auto"/>
              <w:right w:val="single" w:sz="4" w:space="0" w:color="auto"/>
            </w:tcBorders>
            <w:vAlign w:val="center"/>
          </w:tcPr>
          <w:p w14:paraId="515011D8">
            <w:pPr>
              <w:spacing w:line="360" w:lineRule="auto"/>
              <w:jc w:val="center"/>
              <w:rPr>
                <w:rFonts w:ascii="宋体" w:hAnsi="宋体"/>
              </w:rPr>
            </w:pPr>
            <w:r>
              <w:rPr>
                <w:rFonts w:ascii="宋体" w:hAnsi="宋体" w:hint="eastAsia"/>
              </w:rPr>
              <w:t>合同价格（元）</w:t>
            </w:r>
          </w:p>
        </w:tc>
        <w:tc>
          <w:tcPr>
            <w:tcW w:w="851" w:type="dxa"/>
            <w:tcBorders>
              <w:top w:val="single" w:sz="4" w:space="0" w:color="auto"/>
              <w:left w:val="single" w:sz="4" w:space="0" w:color="auto"/>
              <w:bottom w:val="single" w:sz="4" w:space="0" w:color="auto"/>
              <w:right w:val="single" w:sz="4" w:space="0" w:color="auto"/>
            </w:tcBorders>
            <w:vAlign w:val="center"/>
          </w:tcPr>
          <w:p w14:paraId="15BC43AB">
            <w:pPr>
              <w:spacing w:line="360" w:lineRule="auto"/>
              <w:jc w:val="center"/>
              <w:rPr>
                <w:rFonts w:ascii="宋体" w:hAnsi="宋体"/>
              </w:rPr>
            </w:pPr>
            <w:r>
              <w:rPr>
                <w:rFonts w:ascii="宋体" w:hAnsi="宋体" w:hint="eastAsia"/>
              </w:rPr>
              <w:t>开工</w:t>
            </w:r>
          </w:p>
          <w:p w14:paraId="6005E627">
            <w:pPr>
              <w:spacing w:line="360" w:lineRule="auto"/>
              <w:jc w:val="center"/>
              <w:rPr>
                <w:rFonts w:ascii="宋体" w:hAnsi="宋体"/>
              </w:rPr>
            </w:pPr>
            <w:r>
              <w:rPr>
                <w:rFonts w:ascii="宋体" w:hAnsi="宋体" w:hint="eastAsia"/>
              </w:rPr>
              <w:t>日期</w:t>
            </w:r>
          </w:p>
        </w:tc>
        <w:tc>
          <w:tcPr>
            <w:tcW w:w="850" w:type="dxa"/>
            <w:tcBorders>
              <w:top w:val="single" w:sz="4" w:space="0" w:color="auto"/>
              <w:left w:val="single" w:sz="4" w:space="0" w:color="auto"/>
              <w:bottom w:val="single" w:sz="4" w:space="0" w:color="auto"/>
              <w:right w:val="single" w:sz="4" w:space="0" w:color="auto"/>
            </w:tcBorders>
            <w:vAlign w:val="center"/>
          </w:tcPr>
          <w:p w14:paraId="0D9590CA">
            <w:pPr>
              <w:spacing w:line="360" w:lineRule="auto"/>
              <w:jc w:val="center"/>
              <w:rPr>
                <w:rFonts w:ascii="宋体" w:hAnsi="宋体"/>
              </w:rPr>
            </w:pPr>
            <w:r>
              <w:rPr>
                <w:rFonts w:ascii="宋体" w:hAnsi="宋体" w:hint="eastAsia"/>
              </w:rPr>
              <w:t>竣工</w:t>
            </w:r>
          </w:p>
          <w:p w14:paraId="7834BE3A">
            <w:pPr>
              <w:spacing w:line="360" w:lineRule="auto"/>
              <w:jc w:val="center"/>
              <w:rPr>
                <w:rFonts w:ascii="宋体" w:hAnsi="宋体"/>
              </w:rPr>
            </w:pPr>
            <w:r>
              <w:rPr>
                <w:rFonts w:ascii="宋体" w:hAnsi="宋体" w:hint="eastAsia"/>
              </w:rPr>
              <w:t>日期</w:t>
            </w:r>
          </w:p>
        </w:tc>
      </w:tr>
      <w:tr w14:paraId="681CE1E5">
        <w:tblPrEx>
          <w:tblW w:w="0" w:type="auto"/>
          <w:jc w:val="center"/>
          <w:tblLayout w:type="fixed"/>
          <w:tblCellMar>
            <w:top w:w="0" w:type="dxa"/>
            <w:left w:w="28" w:type="dxa"/>
            <w:bottom w:w="0" w:type="dxa"/>
            <w:right w:w="28" w:type="dxa"/>
          </w:tblCellMar>
        </w:tblPrEx>
        <w:trPr>
          <w:trHeight w:val="567"/>
          <w:jc w:val="center"/>
        </w:trPr>
        <w:tc>
          <w:tcPr>
            <w:tcW w:w="1811" w:type="dxa"/>
            <w:tcBorders>
              <w:top w:val="single" w:sz="4" w:space="0" w:color="auto"/>
              <w:left w:val="single" w:sz="4" w:space="0" w:color="auto"/>
              <w:bottom w:val="single" w:sz="4" w:space="0" w:color="auto"/>
              <w:right w:val="single" w:sz="4" w:space="0" w:color="auto"/>
            </w:tcBorders>
            <w:vAlign w:val="center"/>
          </w:tcPr>
          <w:p w14:paraId="04F4F5AB">
            <w:pPr>
              <w:spacing w:line="360" w:lineRule="auto"/>
              <w:rPr>
                <w:rFonts w:ascii="宋体" w:hAnsi="宋体"/>
              </w:rPr>
            </w:pPr>
          </w:p>
        </w:tc>
        <w:tc>
          <w:tcPr>
            <w:tcW w:w="1309" w:type="dxa"/>
            <w:tcBorders>
              <w:top w:val="single" w:sz="4" w:space="0" w:color="auto"/>
              <w:left w:val="single" w:sz="4" w:space="0" w:color="auto"/>
              <w:bottom w:val="single" w:sz="4" w:space="0" w:color="auto"/>
              <w:right w:val="single" w:sz="4" w:space="0" w:color="auto"/>
            </w:tcBorders>
            <w:vAlign w:val="center"/>
          </w:tcPr>
          <w:p w14:paraId="183365F6">
            <w:pPr>
              <w:spacing w:line="360" w:lineRule="auto"/>
              <w:rPr>
                <w:rFonts w:ascii="宋体" w:hAnsi="宋体"/>
              </w:rPr>
            </w:pPr>
          </w:p>
        </w:tc>
        <w:tc>
          <w:tcPr>
            <w:tcW w:w="1951" w:type="dxa"/>
            <w:tcBorders>
              <w:top w:val="single" w:sz="4" w:space="0" w:color="auto"/>
              <w:left w:val="single" w:sz="4" w:space="0" w:color="auto"/>
              <w:bottom w:val="single" w:sz="4" w:space="0" w:color="auto"/>
              <w:right w:val="single" w:sz="4" w:space="0" w:color="auto"/>
            </w:tcBorders>
            <w:vAlign w:val="center"/>
          </w:tcPr>
          <w:p w14:paraId="2BACE491">
            <w:pPr>
              <w:spacing w:line="360" w:lineRule="auto"/>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084EDE2F">
            <w:pPr>
              <w:spacing w:line="360" w:lineRule="auto"/>
              <w:rPr>
                <w:rFonts w:ascii="宋体" w:hAnsi="宋体"/>
              </w:rPr>
            </w:pPr>
          </w:p>
        </w:tc>
        <w:tc>
          <w:tcPr>
            <w:tcW w:w="1167" w:type="dxa"/>
            <w:tcBorders>
              <w:top w:val="single" w:sz="4" w:space="0" w:color="auto"/>
              <w:left w:val="single" w:sz="4" w:space="0" w:color="auto"/>
              <w:bottom w:val="single" w:sz="4" w:space="0" w:color="auto"/>
              <w:right w:val="single" w:sz="4" w:space="0" w:color="auto"/>
            </w:tcBorders>
            <w:vAlign w:val="center"/>
          </w:tcPr>
          <w:p w14:paraId="1AAC7011">
            <w:pPr>
              <w:spacing w:line="360" w:lineRule="auto"/>
              <w:rPr>
                <w:rFonts w:ascii="宋体" w:hAnsi="宋体"/>
              </w:rPr>
            </w:pPr>
          </w:p>
        </w:tc>
        <w:tc>
          <w:tcPr>
            <w:tcW w:w="1560" w:type="dxa"/>
            <w:tcBorders>
              <w:top w:val="single" w:sz="4" w:space="0" w:color="auto"/>
              <w:left w:val="single" w:sz="4" w:space="0" w:color="auto"/>
              <w:bottom w:val="single" w:sz="4" w:space="0" w:color="auto"/>
              <w:right w:val="single" w:sz="4" w:space="0" w:color="auto"/>
            </w:tcBorders>
            <w:vAlign w:val="center"/>
          </w:tcPr>
          <w:p w14:paraId="7F8EAB19">
            <w:pPr>
              <w:spacing w:line="360" w:lineRule="auto"/>
              <w:rPr>
                <w:rFonts w:ascii="宋体" w:hAnsi="宋体"/>
              </w:rPr>
            </w:pPr>
          </w:p>
        </w:tc>
        <w:tc>
          <w:tcPr>
            <w:tcW w:w="1809" w:type="dxa"/>
            <w:tcBorders>
              <w:top w:val="single" w:sz="4" w:space="0" w:color="auto"/>
              <w:left w:val="single" w:sz="4" w:space="0" w:color="auto"/>
              <w:bottom w:val="single" w:sz="4" w:space="0" w:color="auto"/>
              <w:right w:val="single" w:sz="4" w:space="0" w:color="auto"/>
            </w:tcBorders>
            <w:vAlign w:val="center"/>
          </w:tcPr>
          <w:p w14:paraId="3647A296">
            <w:pPr>
              <w:spacing w:line="360" w:lineRule="auto"/>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39C3C23A">
            <w:pPr>
              <w:spacing w:line="360" w:lineRule="auto"/>
              <w:rPr>
                <w:rFonts w:ascii="宋体" w:hAnsi="宋体"/>
              </w:rPr>
            </w:pPr>
          </w:p>
        </w:tc>
        <w:tc>
          <w:tcPr>
            <w:tcW w:w="851" w:type="dxa"/>
            <w:tcBorders>
              <w:top w:val="single" w:sz="4" w:space="0" w:color="auto"/>
              <w:left w:val="single" w:sz="4" w:space="0" w:color="auto"/>
              <w:bottom w:val="single" w:sz="4" w:space="0" w:color="auto"/>
              <w:right w:val="single" w:sz="4" w:space="0" w:color="auto"/>
            </w:tcBorders>
            <w:vAlign w:val="center"/>
          </w:tcPr>
          <w:p w14:paraId="54601296">
            <w:pPr>
              <w:spacing w:line="360" w:lineRule="auto"/>
              <w:rPr>
                <w:rFonts w:ascii="宋体" w:hAnsi="宋体"/>
              </w:rPr>
            </w:pPr>
          </w:p>
        </w:tc>
        <w:tc>
          <w:tcPr>
            <w:tcW w:w="850" w:type="dxa"/>
            <w:tcBorders>
              <w:top w:val="single" w:sz="4" w:space="0" w:color="auto"/>
              <w:left w:val="single" w:sz="4" w:space="0" w:color="auto"/>
              <w:bottom w:val="single" w:sz="4" w:space="0" w:color="auto"/>
              <w:right w:val="single" w:sz="4" w:space="0" w:color="auto"/>
            </w:tcBorders>
            <w:vAlign w:val="center"/>
          </w:tcPr>
          <w:p w14:paraId="5B9649DF">
            <w:pPr>
              <w:spacing w:line="360" w:lineRule="auto"/>
              <w:rPr>
                <w:rFonts w:ascii="宋体" w:hAnsi="宋体"/>
              </w:rPr>
            </w:pPr>
          </w:p>
        </w:tc>
      </w:tr>
      <w:tr w14:paraId="24970A6F">
        <w:tblPrEx>
          <w:tblW w:w="0" w:type="auto"/>
          <w:jc w:val="center"/>
          <w:tblLayout w:type="fixed"/>
          <w:tblCellMar>
            <w:top w:w="0" w:type="dxa"/>
            <w:left w:w="28" w:type="dxa"/>
            <w:bottom w:w="0" w:type="dxa"/>
            <w:right w:w="28" w:type="dxa"/>
          </w:tblCellMar>
        </w:tblPrEx>
        <w:trPr>
          <w:trHeight w:val="567"/>
          <w:jc w:val="center"/>
        </w:trPr>
        <w:tc>
          <w:tcPr>
            <w:tcW w:w="1811" w:type="dxa"/>
            <w:tcBorders>
              <w:top w:val="single" w:sz="4" w:space="0" w:color="auto"/>
              <w:left w:val="single" w:sz="4" w:space="0" w:color="auto"/>
              <w:bottom w:val="single" w:sz="4" w:space="0" w:color="auto"/>
              <w:right w:val="single" w:sz="4" w:space="0" w:color="auto"/>
            </w:tcBorders>
            <w:vAlign w:val="center"/>
          </w:tcPr>
          <w:p w14:paraId="260A5186">
            <w:pPr>
              <w:spacing w:line="360" w:lineRule="auto"/>
              <w:rPr>
                <w:rFonts w:ascii="宋体" w:hAnsi="宋体"/>
              </w:rPr>
            </w:pPr>
          </w:p>
        </w:tc>
        <w:tc>
          <w:tcPr>
            <w:tcW w:w="1309" w:type="dxa"/>
            <w:tcBorders>
              <w:top w:val="single" w:sz="4" w:space="0" w:color="auto"/>
              <w:left w:val="single" w:sz="4" w:space="0" w:color="auto"/>
              <w:bottom w:val="single" w:sz="4" w:space="0" w:color="auto"/>
              <w:right w:val="single" w:sz="4" w:space="0" w:color="auto"/>
            </w:tcBorders>
            <w:vAlign w:val="center"/>
          </w:tcPr>
          <w:p w14:paraId="5BA431A1">
            <w:pPr>
              <w:spacing w:line="360" w:lineRule="auto"/>
              <w:rPr>
                <w:rFonts w:ascii="宋体" w:hAnsi="宋体"/>
              </w:rPr>
            </w:pPr>
          </w:p>
        </w:tc>
        <w:tc>
          <w:tcPr>
            <w:tcW w:w="1951" w:type="dxa"/>
            <w:tcBorders>
              <w:top w:val="single" w:sz="4" w:space="0" w:color="auto"/>
              <w:left w:val="single" w:sz="4" w:space="0" w:color="auto"/>
              <w:bottom w:val="single" w:sz="4" w:space="0" w:color="auto"/>
              <w:right w:val="single" w:sz="4" w:space="0" w:color="auto"/>
            </w:tcBorders>
            <w:vAlign w:val="center"/>
          </w:tcPr>
          <w:p w14:paraId="300F2CE0">
            <w:pPr>
              <w:spacing w:line="360" w:lineRule="auto"/>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6227EB0F">
            <w:pPr>
              <w:spacing w:line="360" w:lineRule="auto"/>
              <w:rPr>
                <w:rFonts w:ascii="宋体" w:hAnsi="宋体"/>
              </w:rPr>
            </w:pPr>
          </w:p>
        </w:tc>
        <w:tc>
          <w:tcPr>
            <w:tcW w:w="1167" w:type="dxa"/>
            <w:tcBorders>
              <w:top w:val="single" w:sz="4" w:space="0" w:color="auto"/>
              <w:left w:val="single" w:sz="4" w:space="0" w:color="auto"/>
              <w:bottom w:val="single" w:sz="4" w:space="0" w:color="auto"/>
              <w:right w:val="single" w:sz="4" w:space="0" w:color="auto"/>
            </w:tcBorders>
            <w:vAlign w:val="center"/>
          </w:tcPr>
          <w:p w14:paraId="62AB587F">
            <w:pPr>
              <w:spacing w:line="360" w:lineRule="auto"/>
              <w:rPr>
                <w:rFonts w:ascii="宋体" w:hAnsi="宋体"/>
              </w:rPr>
            </w:pPr>
          </w:p>
        </w:tc>
        <w:tc>
          <w:tcPr>
            <w:tcW w:w="1560" w:type="dxa"/>
            <w:tcBorders>
              <w:top w:val="single" w:sz="4" w:space="0" w:color="auto"/>
              <w:left w:val="single" w:sz="4" w:space="0" w:color="auto"/>
              <w:bottom w:val="single" w:sz="4" w:space="0" w:color="auto"/>
              <w:right w:val="single" w:sz="4" w:space="0" w:color="auto"/>
            </w:tcBorders>
            <w:vAlign w:val="center"/>
          </w:tcPr>
          <w:p w14:paraId="7DC16B18">
            <w:pPr>
              <w:spacing w:line="360" w:lineRule="auto"/>
              <w:rPr>
                <w:rFonts w:ascii="宋体" w:hAnsi="宋体"/>
              </w:rPr>
            </w:pPr>
          </w:p>
        </w:tc>
        <w:tc>
          <w:tcPr>
            <w:tcW w:w="1809" w:type="dxa"/>
            <w:tcBorders>
              <w:top w:val="single" w:sz="4" w:space="0" w:color="auto"/>
              <w:left w:val="single" w:sz="4" w:space="0" w:color="auto"/>
              <w:bottom w:val="single" w:sz="4" w:space="0" w:color="auto"/>
              <w:right w:val="single" w:sz="4" w:space="0" w:color="auto"/>
            </w:tcBorders>
            <w:vAlign w:val="center"/>
          </w:tcPr>
          <w:p w14:paraId="172DE9B5">
            <w:pPr>
              <w:spacing w:line="360" w:lineRule="auto"/>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4894340E">
            <w:pPr>
              <w:spacing w:line="360" w:lineRule="auto"/>
              <w:rPr>
                <w:rFonts w:ascii="宋体" w:hAnsi="宋体"/>
              </w:rPr>
            </w:pPr>
          </w:p>
        </w:tc>
        <w:tc>
          <w:tcPr>
            <w:tcW w:w="851" w:type="dxa"/>
            <w:tcBorders>
              <w:top w:val="single" w:sz="4" w:space="0" w:color="auto"/>
              <w:left w:val="single" w:sz="4" w:space="0" w:color="auto"/>
              <w:bottom w:val="single" w:sz="4" w:space="0" w:color="auto"/>
              <w:right w:val="single" w:sz="4" w:space="0" w:color="auto"/>
            </w:tcBorders>
            <w:vAlign w:val="center"/>
          </w:tcPr>
          <w:p w14:paraId="0BEDA24A">
            <w:pPr>
              <w:spacing w:line="360" w:lineRule="auto"/>
              <w:rPr>
                <w:rFonts w:ascii="宋体" w:hAnsi="宋体"/>
              </w:rPr>
            </w:pPr>
          </w:p>
        </w:tc>
        <w:tc>
          <w:tcPr>
            <w:tcW w:w="850" w:type="dxa"/>
            <w:tcBorders>
              <w:top w:val="single" w:sz="4" w:space="0" w:color="auto"/>
              <w:left w:val="single" w:sz="4" w:space="0" w:color="auto"/>
              <w:bottom w:val="single" w:sz="4" w:space="0" w:color="auto"/>
              <w:right w:val="single" w:sz="4" w:space="0" w:color="auto"/>
            </w:tcBorders>
            <w:vAlign w:val="center"/>
          </w:tcPr>
          <w:p w14:paraId="65587738">
            <w:pPr>
              <w:spacing w:line="360" w:lineRule="auto"/>
              <w:rPr>
                <w:rFonts w:ascii="宋体" w:hAnsi="宋体"/>
              </w:rPr>
            </w:pPr>
          </w:p>
        </w:tc>
      </w:tr>
      <w:tr w14:paraId="2A209674">
        <w:tblPrEx>
          <w:tblW w:w="0" w:type="auto"/>
          <w:jc w:val="center"/>
          <w:tblLayout w:type="fixed"/>
          <w:tblCellMar>
            <w:top w:w="0" w:type="dxa"/>
            <w:left w:w="28" w:type="dxa"/>
            <w:bottom w:w="0" w:type="dxa"/>
            <w:right w:w="28" w:type="dxa"/>
          </w:tblCellMar>
        </w:tblPrEx>
        <w:trPr>
          <w:trHeight w:val="567"/>
          <w:jc w:val="center"/>
        </w:trPr>
        <w:tc>
          <w:tcPr>
            <w:tcW w:w="1811" w:type="dxa"/>
            <w:tcBorders>
              <w:top w:val="single" w:sz="4" w:space="0" w:color="auto"/>
              <w:left w:val="single" w:sz="4" w:space="0" w:color="auto"/>
              <w:bottom w:val="single" w:sz="4" w:space="0" w:color="auto"/>
              <w:right w:val="single" w:sz="4" w:space="0" w:color="auto"/>
            </w:tcBorders>
            <w:vAlign w:val="center"/>
          </w:tcPr>
          <w:p w14:paraId="561C42F6">
            <w:pPr>
              <w:spacing w:line="360" w:lineRule="auto"/>
              <w:rPr>
                <w:rFonts w:ascii="宋体" w:hAnsi="宋体"/>
              </w:rPr>
            </w:pPr>
          </w:p>
        </w:tc>
        <w:tc>
          <w:tcPr>
            <w:tcW w:w="1309" w:type="dxa"/>
            <w:tcBorders>
              <w:top w:val="single" w:sz="4" w:space="0" w:color="auto"/>
              <w:left w:val="single" w:sz="4" w:space="0" w:color="auto"/>
              <w:bottom w:val="single" w:sz="4" w:space="0" w:color="auto"/>
              <w:right w:val="single" w:sz="4" w:space="0" w:color="auto"/>
            </w:tcBorders>
            <w:vAlign w:val="center"/>
          </w:tcPr>
          <w:p w14:paraId="3DD6D1B0">
            <w:pPr>
              <w:spacing w:line="360" w:lineRule="auto"/>
              <w:rPr>
                <w:rFonts w:ascii="宋体" w:hAnsi="宋体"/>
              </w:rPr>
            </w:pPr>
          </w:p>
        </w:tc>
        <w:tc>
          <w:tcPr>
            <w:tcW w:w="1951" w:type="dxa"/>
            <w:tcBorders>
              <w:top w:val="single" w:sz="4" w:space="0" w:color="auto"/>
              <w:left w:val="single" w:sz="4" w:space="0" w:color="auto"/>
              <w:bottom w:val="single" w:sz="4" w:space="0" w:color="auto"/>
              <w:right w:val="single" w:sz="4" w:space="0" w:color="auto"/>
            </w:tcBorders>
            <w:vAlign w:val="center"/>
          </w:tcPr>
          <w:p w14:paraId="600AB5E7">
            <w:pPr>
              <w:spacing w:line="360" w:lineRule="auto"/>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1351581F">
            <w:pPr>
              <w:spacing w:line="360" w:lineRule="auto"/>
              <w:rPr>
                <w:rFonts w:ascii="宋体" w:hAnsi="宋体"/>
              </w:rPr>
            </w:pPr>
          </w:p>
        </w:tc>
        <w:tc>
          <w:tcPr>
            <w:tcW w:w="1167" w:type="dxa"/>
            <w:tcBorders>
              <w:top w:val="single" w:sz="4" w:space="0" w:color="auto"/>
              <w:left w:val="single" w:sz="4" w:space="0" w:color="auto"/>
              <w:bottom w:val="single" w:sz="4" w:space="0" w:color="auto"/>
              <w:right w:val="single" w:sz="4" w:space="0" w:color="auto"/>
            </w:tcBorders>
            <w:vAlign w:val="center"/>
          </w:tcPr>
          <w:p w14:paraId="3B89BEE5">
            <w:pPr>
              <w:spacing w:line="360" w:lineRule="auto"/>
              <w:rPr>
                <w:rFonts w:ascii="宋体" w:hAnsi="宋体"/>
              </w:rPr>
            </w:pPr>
          </w:p>
        </w:tc>
        <w:tc>
          <w:tcPr>
            <w:tcW w:w="1560" w:type="dxa"/>
            <w:tcBorders>
              <w:top w:val="single" w:sz="4" w:space="0" w:color="auto"/>
              <w:left w:val="single" w:sz="4" w:space="0" w:color="auto"/>
              <w:bottom w:val="single" w:sz="4" w:space="0" w:color="auto"/>
              <w:right w:val="single" w:sz="4" w:space="0" w:color="auto"/>
            </w:tcBorders>
            <w:vAlign w:val="center"/>
          </w:tcPr>
          <w:p w14:paraId="1A76B4B5">
            <w:pPr>
              <w:spacing w:line="360" w:lineRule="auto"/>
              <w:rPr>
                <w:rFonts w:ascii="宋体" w:hAnsi="宋体"/>
              </w:rPr>
            </w:pPr>
          </w:p>
        </w:tc>
        <w:tc>
          <w:tcPr>
            <w:tcW w:w="1809" w:type="dxa"/>
            <w:tcBorders>
              <w:top w:val="single" w:sz="4" w:space="0" w:color="auto"/>
              <w:left w:val="single" w:sz="4" w:space="0" w:color="auto"/>
              <w:bottom w:val="single" w:sz="4" w:space="0" w:color="auto"/>
              <w:right w:val="single" w:sz="4" w:space="0" w:color="auto"/>
            </w:tcBorders>
            <w:vAlign w:val="center"/>
          </w:tcPr>
          <w:p w14:paraId="1365AB95">
            <w:pPr>
              <w:spacing w:line="360" w:lineRule="auto"/>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2F76A366">
            <w:pPr>
              <w:spacing w:line="360" w:lineRule="auto"/>
              <w:rPr>
                <w:rFonts w:ascii="宋体" w:hAnsi="宋体"/>
              </w:rPr>
            </w:pPr>
          </w:p>
        </w:tc>
        <w:tc>
          <w:tcPr>
            <w:tcW w:w="851" w:type="dxa"/>
            <w:tcBorders>
              <w:top w:val="single" w:sz="4" w:space="0" w:color="auto"/>
              <w:left w:val="single" w:sz="4" w:space="0" w:color="auto"/>
              <w:bottom w:val="single" w:sz="4" w:space="0" w:color="auto"/>
              <w:right w:val="single" w:sz="4" w:space="0" w:color="auto"/>
            </w:tcBorders>
            <w:vAlign w:val="center"/>
          </w:tcPr>
          <w:p w14:paraId="74774496">
            <w:pPr>
              <w:spacing w:line="360" w:lineRule="auto"/>
              <w:rPr>
                <w:rFonts w:ascii="宋体" w:hAnsi="宋体"/>
              </w:rPr>
            </w:pPr>
          </w:p>
        </w:tc>
        <w:tc>
          <w:tcPr>
            <w:tcW w:w="850" w:type="dxa"/>
            <w:tcBorders>
              <w:top w:val="single" w:sz="4" w:space="0" w:color="auto"/>
              <w:left w:val="single" w:sz="4" w:space="0" w:color="auto"/>
              <w:bottom w:val="single" w:sz="4" w:space="0" w:color="auto"/>
              <w:right w:val="single" w:sz="4" w:space="0" w:color="auto"/>
            </w:tcBorders>
            <w:vAlign w:val="center"/>
          </w:tcPr>
          <w:p w14:paraId="144FEED5">
            <w:pPr>
              <w:spacing w:line="360" w:lineRule="auto"/>
              <w:rPr>
                <w:rFonts w:ascii="宋体" w:hAnsi="宋体"/>
              </w:rPr>
            </w:pPr>
          </w:p>
        </w:tc>
      </w:tr>
      <w:tr w14:paraId="0376EB5A">
        <w:tblPrEx>
          <w:tblW w:w="0" w:type="auto"/>
          <w:jc w:val="center"/>
          <w:tblLayout w:type="fixed"/>
          <w:tblCellMar>
            <w:top w:w="0" w:type="dxa"/>
            <w:left w:w="28" w:type="dxa"/>
            <w:bottom w:w="0" w:type="dxa"/>
            <w:right w:w="28" w:type="dxa"/>
          </w:tblCellMar>
        </w:tblPrEx>
        <w:trPr>
          <w:trHeight w:val="567"/>
          <w:jc w:val="center"/>
        </w:trPr>
        <w:tc>
          <w:tcPr>
            <w:tcW w:w="1811" w:type="dxa"/>
            <w:tcBorders>
              <w:top w:val="single" w:sz="4" w:space="0" w:color="auto"/>
              <w:left w:val="single" w:sz="4" w:space="0" w:color="auto"/>
              <w:bottom w:val="single" w:sz="4" w:space="0" w:color="auto"/>
              <w:right w:val="single" w:sz="4" w:space="0" w:color="auto"/>
            </w:tcBorders>
            <w:vAlign w:val="center"/>
          </w:tcPr>
          <w:p w14:paraId="39130B11">
            <w:pPr>
              <w:spacing w:line="360" w:lineRule="auto"/>
              <w:rPr>
                <w:rFonts w:ascii="宋体" w:hAnsi="宋体"/>
              </w:rPr>
            </w:pPr>
          </w:p>
        </w:tc>
        <w:tc>
          <w:tcPr>
            <w:tcW w:w="1309" w:type="dxa"/>
            <w:tcBorders>
              <w:top w:val="single" w:sz="4" w:space="0" w:color="auto"/>
              <w:left w:val="single" w:sz="4" w:space="0" w:color="auto"/>
              <w:bottom w:val="single" w:sz="4" w:space="0" w:color="auto"/>
              <w:right w:val="single" w:sz="4" w:space="0" w:color="auto"/>
            </w:tcBorders>
            <w:vAlign w:val="center"/>
          </w:tcPr>
          <w:p w14:paraId="08520588">
            <w:pPr>
              <w:spacing w:line="360" w:lineRule="auto"/>
              <w:rPr>
                <w:rFonts w:ascii="宋体" w:hAnsi="宋体"/>
              </w:rPr>
            </w:pPr>
          </w:p>
        </w:tc>
        <w:tc>
          <w:tcPr>
            <w:tcW w:w="1951" w:type="dxa"/>
            <w:tcBorders>
              <w:top w:val="single" w:sz="4" w:space="0" w:color="auto"/>
              <w:left w:val="single" w:sz="4" w:space="0" w:color="auto"/>
              <w:bottom w:val="single" w:sz="4" w:space="0" w:color="auto"/>
              <w:right w:val="single" w:sz="4" w:space="0" w:color="auto"/>
            </w:tcBorders>
            <w:vAlign w:val="center"/>
          </w:tcPr>
          <w:p w14:paraId="344F66B2">
            <w:pPr>
              <w:spacing w:line="360" w:lineRule="auto"/>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4979BFE3">
            <w:pPr>
              <w:spacing w:line="360" w:lineRule="auto"/>
              <w:rPr>
                <w:rFonts w:ascii="宋体" w:hAnsi="宋体"/>
              </w:rPr>
            </w:pPr>
          </w:p>
        </w:tc>
        <w:tc>
          <w:tcPr>
            <w:tcW w:w="1167" w:type="dxa"/>
            <w:tcBorders>
              <w:top w:val="single" w:sz="4" w:space="0" w:color="auto"/>
              <w:left w:val="single" w:sz="4" w:space="0" w:color="auto"/>
              <w:bottom w:val="single" w:sz="4" w:space="0" w:color="auto"/>
              <w:right w:val="single" w:sz="4" w:space="0" w:color="auto"/>
            </w:tcBorders>
            <w:vAlign w:val="center"/>
          </w:tcPr>
          <w:p w14:paraId="7ABF0D8D">
            <w:pPr>
              <w:spacing w:line="360" w:lineRule="auto"/>
              <w:rPr>
                <w:rFonts w:ascii="宋体" w:hAnsi="宋体"/>
              </w:rPr>
            </w:pPr>
          </w:p>
        </w:tc>
        <w:tc>
          <w:tcPr>
            <w:tcW w:w="1560" w:type="dxa"/>
            <w:tcBorders>
              <w:top w:val="single" w:sz="4" w:space="0" w:color="auto"/>
              <w:left w:val="single" w:sz="4" w:space="0" w:color="auto"/>
              <w:bottom w:val="single" w:sz="4" w:space="0" w:color="auto"/>
              <w:right w:val="single" w:sz="4" w:space="0" w:color="auto"/>
            </w:tcBorders>
            <w:vAlign w:val="center"/>
          </w:tcPr>
          <w:p w14:paraId="794CA0FD">
            <w:pPr>
              <w:spacing w:line="360" w:lineRule="auto"/>
              <w:rPr>
                <w:rFonts w:ascii="宋体" w:hAnsi="宋体"/>
              </w:rPr>
            </w:pPr>
          </w:p>
        </w:tc>
        <w:tc>
          <w:tcPr>
            <w:tcW w:w="1809" w:type="dxa"/>
            <w:tcBorders>
              <w:top w:val="single" w:sz="4" w:space="0" w:color="auto"/>
              <w:left w:val="single" w:sz="4" w:space="0" w:color="auto"/>
              <w:bottom w:val="single" w:sz="4" w:space="0" w:color="auto"/>
              <w:right w:val="single" w:sz="4" w:space="0" w:color="auto"/>
            </w:tcBorders>
            <w:vAlign w:val="center"/>
          </w:tcPr>
          <w:p w14:paraId="276261CB">
            <w:pPr>
              <w:spacing w:line="360" w:lineRule="auto"/>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0C1104B1">
            <w:pPr>
              <w:spacing w:line="360" w:lineRule="auto"/>
              <w:rPr>
                <w:rFonts w:ascii="宋体" w:hAnsi="宋体"/>
              </w:rPr>
            </w:pPr>
          </w:p>
        </w:tc>
        <w:tc>
          <w:tcPr>
            <w:tcW w:w="851" w:type="dxa"/>
            <w:tcBorders>
              <w:top w:val="single" w:sz="4" w:space="0" w:color="auto"/>
              <w:left w:val="single" w:sz="4" w:space="0" w:color="auto"/>
              <w:bottom w:val="single" w:sz="4" w:space="0" w:color="auto"/>
              <w:right w:val="single" w:sz="4" w:space="0" w:color="auto"/>
            </w:tcBorders>
            <w:vAlign w:val="center"/>
          </w:tcPr>
          <w:p w14:paraId="2DE120BF">
            <w:pPr>
              <w:spacing w:line="360" w:lineRule="auto"/>
              <w:rPr>
                <w:rFonts w:ascii="宋体" w:hAnsi="宋体"/>
              </w:rPr>
            </w:pPr>
          </w:p>
        </w:tc>
        <w:tc>
          <w:tcPr>
            <w:tcW w:w="850" w:type="dxa"/>
            <w:tcBorders>
              <w:top w:val="single" w:sz="4" w:space="0" w:color="auto"/>
              <w:left w:val="single" w:sz="4" w:space="0" w:color="auto"/>
              <w:bottom w:val="single" w:sz="4" w:space="0" w:color="auto"/>
              <w:right w:val="single" w:sz="4" w:space="0" w:color="auto"/>
            </w:tcBorders>
            <w:vAlign w:val="center"/>
          </w:tcPr>
          <w:p w14:paraId="7D6BFE8F">
            <w:pPr>
              <w:spacing w:line="360" w:lineRule="auto"/>
              <w:rPr>
                <w:rFonts w:ascii="宋体" w:hAnsi="宋体"/>
              </w:rPr>
            </w:pPr>
          </w:p>
        </w:tc>
      </w:tr>
      <w:tr w14:paraId="4C852A95">
        <w:tblPrEx>
          <w:tblW w:w="0" w:type="auto"/>
          <w:jc w:val="center"/>
          <w:tblLayout w:type="fixed"/>
          <w:tblCellMar>
            <w:top w:w="0" w:type="dxa"/>
            <w:left w:w="28" w:type="dxa"/>
            <w:bottom w:w="0" w:type="dxa"/>
            <w:right w:w="28" w:type="dxa"/>
          </w:tblCellMar>
        </w:tblPrEx>
        <w:trPr>
          <w:trHeight w:val="567"/>
          <w:jc w:val="center"/>
        </w:trPr>
        <w:tc>
          <w:tcPr>
            <w:tcW w:w="1811" w:type="dxa"/>
            <w:tcBorders>
              <w:top w:val="single" w:sz="4" w:space="0" w:color="auto"/>
              <w:left w:val="single" w:sz="4" w:space="0" w:color="auto"/>
              <w:bottom w:val="single" w:sz="4" w:space="0" w:color="auto"/>
              <w:right w:val="single" w:sz="4" w:space="0" w:color="auto"/>
            </w:tcBorders>
            <w:vAlign w:val="center"/>
          </w:tcPr>
          <w:p w14:paraId="79C1DF1E">
            <w:pPr>
              <w:spacing w:line="360" w:lineRule="auto"/>
              <w:rPr>
                <w:rFonts w:ascii="宋体" w:hAnsi="宋体"/>
              </w:rPr>
            </w:pPr>
          </w:p>
        </w:tc>
        <w:tc>
          <w:tcPr>
            <w:tcW w:w="1309" w:type="dxa"/>
            <w:tcBorders>
              <w:top w:val="single" w:sz="4" w:space="0" w:color="auto"/>
              <w:left w:val="single" w:sz="4" w:space="0" w:color="auto"/>
              <w:bottom w:val="single" w:sz="4" w:space="0" w:color="auto"/>
              <w:right w:val="single" w:sz="4" w:space="0" w:color="auto"/>
            </w:tcBorders>
            <w:vAlign w:val="center"/>
          </w:tcPr>
          <w:p w14:paraId="72B6187D">
            <w:pPr>
              <w:spacing w:line="360" w:lineRule="auto"/>
              <w:rPr>
                <w:rFonts w:ascii="宋体" w:hAnsi="宋体"/>
              </w:rPr>
            </w:pPr>
          </w:p>
        </w:tc>
        <w:tc>
          <w:tcPr>
            <w:tcW w:w="1951" w:type="dxa"/>
            <w:tcBorders>
              <w:top w:val="single" w:sz="4" w:space="0" w:color="auto"/>
              <w:left w:val="single" w:sz="4" w:space="0" w:color="auto"/>
              <w:bottom w:val="single" w:sz="4" w:space="0" w:color="auto"/>
              <w:right w:val="single" w:sz="4" w:space="0" w:color="auto"/>
            </w:tcBorders>
            <w:vAlign w:val="center"/>
          </w:tcPr>
          <w:p w14:paraId="2B5D6711">
            <w:pPr>
              <w:spacing w:line="360" w:lineRule="auto"/>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724EEA98">
            <w:pPr>
              <w:spacing w:line="360" w:lineRule="auto"/>
              <w:rPr>
                <w:rFonts w:ascii="宋体" w:hAnsi="宋体"/>
              </w:rPr>
            </w:pPr>
          </w:p>
        </w:tc>
        <w:tc>
          <w:tcPr>
            <w:tcW w:w="1167" w:type="dxa"/>
            <w:tcBorders>
              <w:top w:val="single" w:sz="4" w:space="0" w:color="auto"/>
              <w:left w:val="single" w:sz="4" w:space="0" w:color="auto"/>
              <w:bottom w:val="single" w:sz="4" w:space="0" w:color="auto"/>
              <w:right w:val="single" w:sz="4" w:space="0" w:color="auto"/>
            </w:tcBorders>
            <w:vAlign w:val="center"/>
          </w:tcPr>
          <w:p w14:paraId="60584468">
            <w:pPr>
              <w:spacing w:line="360" w:lineRule="auto"/>
              <w:rPr>
                <w:rFonts w:ascii="宋体" w:hAnsi="宋体"/>
              </w:rPr>
            </w:pPr>
          </w:p>
        </w:tc>
        <w:tc>
          <w:tcPr>
            <w:tcW w:w="1560" w:type="dxa"/>
            <w:tcBorders>
              <w:top w:val="single" w:sz="4" w:space="0" w:color="auto"/>
              <w:left w:val="single" w:sz="4" w:space="0" w:color="auto"/>
              <w:bottom w:val="single" w:sz="4" w:space="0" w:color="auto"/>
              <w:right w:val="single" w:sz="4" w:space="0" w:color="auto"/>
            </w:tcBorders>
            <w:vAlign w:val="center"/>
          </w:tcPr>
          <w:p w14:paraId="0EA6F574">
            <w:pPr>
              <w:spacing w:line="360" w:lineRule="auto"/>
              <w:rPr>
                <w:rFonts w:ascii="宋体" w:hAnsi="宋体"/>
              </w:rPr>
            </w:pPr>
          </w:p>
        </w:tc>
        <w:tc>
          <w:tcPr>
            <w:tcW w:w="1809" w:type="dxa"/>
            <w:tcBorders>
              <w:top w:val="single" w:sz="4" w:space="0" w:color="auto"/>
              <w:left w:val="single" w:sz="4" w:space="0" w:color="auto"/>
              <w:bottom w:val="single" w:sz="4" w:space="0" w:color="auto"/>
              <w:right w:val="single" w:sz="4" w:space="0" w:color="auto"/>
            </w:tcBorders>
            <w:vAlign w:val="center"/>
          </w:tcPr>
          <w:p w14:paraId="13E32E61">
            <w:pPr>
              <w:spacing w:line="360" w:lineRule="auto"/>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6134BCA3">
            <w:pPr>
              <w:spacing w:line="360" w:lineRule="auto"/>
              <w:rPr>
                <w:rFonts w:ascii="宋体" w:hAnsi="宋体"/>
              </w:rPr>
            </w:pPr>
          </w:p>
        </w:tc>
        <w:tc>
          <w:tcPr>
            <w:tcW w:w="851" w:type="dxa"/>
            <w:tcBorders>
              <w:top w:val="single" w:sz="4" w:space="0" w:color="auto"/>
              <w:left w:val="single" w:sz="4" w:space="0" w:color="auto"/>
              <w:bottom w:val="single" w:sz="4" w:space="0" w:color="auto"/>
              <w:right w:val="single" w:sz="4" w:space="0" w:color="auto"/>
            </w:tcBorders>
            <w:vAlign w:val="center"/>
          </w:tcPr>
          <w:p w14:paraId="0C70DAB4">
            <w:pPr>
              <w:spacing w:line="360" w:lineRule="auto"/>
              <w:rPr>
                <w:rFonts w:ascii="宋体" w:hAnsi="宋体"/>
              </w:rPr>
            </w:pPr>
          </w:p>
        </w:tc>
        <w:tc>
          <w:tcPr>
            <w:tcW w:w="850" w:type="dxa"/>
            <w:tcBorders>
              <w:top w:val="single" w:sz="4" w:space="0" w:color="auto"/>
              <w:left w:val="single" w:sz="4" w:space="0" w:color="auto"/>
              <w:bottom w:val="single" w:sz="4" w:space="0" w:color="auto"/>
              <w:right w:val="single" w:sz="4" w:space="0" w:color="auto"/>
            </w:tcBorders>
            <w:vAlign w:val="center"/>
          </w:tcPr>
          <w:p w14:paraId="714B3CF0">
            <w:pPr>
              <w:spacing w:line="360" w:lineRule="auto"/>
              <w:rPr>
                <w:rFonts w:ascii="宋体" w:hAnsi="宋体"/>
              </w:rPr>
            </w:pPr>
          </w:p>
        </w:tc>
      </w:tr>
      <w:tr w14:paraId="0B8B02AC">
        <w:tblPrEx>
          <w:tblW w:w="0" w:type="auto"/>
          <w:jc w:val="center"/>
          <w:tblLayout w:type="fixed"/>
          <w:tblCellMar>
            <w:top w:w="0" w:type="dxa"/>
            <w:left w:w="28" w:type="dxa"/>
            <w:bottom w:w="0" w:type="dxa"/>
            <w:right w:w="28" w:type="dxa"/>
          </w:tblCellMar>
        </w:tblPrEx>
        <w:trPr>
          <w:trHeight w:val="567"/>
          <w:jc w:val="center"/>
        </w:trPr>
        <w:tc>
          <w:tcPr>
            <w:tcW w:w="1811" w:type="dxa"/>
            <w:tcBorders>
              <w:top w:val="single" w:sz="4" w:space="0" w:color="auto"/>
              <w:left w:val="single" w:sz="4" w:space="0" w:color="auto"/>
              <w:bottom w:val="single" w:sz="4" w:space="0" w:color="auto"/>
              <w:right w:val="single" w:sz="4" w:space="0" w:color="auto"/>
            </w:tcBorders>
            <w:vAlign w:val="center"/>
          </w:tcPr>
          <w:p w14:paraId="7CCC961E">
            <w:pPr>
              <w:spacing w:line="360" w:lineRule="auto"/>
              <w:rPr>
                <w:rFonts w:ascii="宋体" w:hAnsi="宋体"/>
              </w:rPr>
            </w:pPr>
          </w:p>
        </w:tc>
        <w:tc>
          <w:tcPr>
            <w:tcW w:w="1309" w:type="dxa"/>
            <w:tcBorders>
              <w:top w:val="single" w:sz="4" w:space="0" w:color="auto"/>
              <w:left w:val="single" w:sz="4" w:space="0" w:color="auto"/>
              <w:bottom w:val="single" w:sz="4" w:space="0" w:color="auto"/>
              <w:right w:val="single" w:sz="4" w:space="0" w:color="auto"/>
            </w:tcBorders>
            <w:vAlign w:val="center"/>
          </w:tcPr>
          <w:p w14:paraId="595416F9">
            <w:pPr>
              <w:spacing w:line="360" w:lineRule="auto"/>
              <w:rPr>
                <w:rFonts w:ascii="宋体" w:hAnsi="宋体"/>
              </w:rPr>
            </w:pPr>
          </w:p>
        </w:tc>
        <w:tc>
          <w:tcPr>
            <w:tcW w:w="1951" w:type="dxa"/>
            <w:tcBorders>
              <w:top w:val="single" w:sz="4" w:space="0" w:color="auto"/>
              <w:left w:val="single" w:sz="4" w:space="0" w:color="auto"/>
              <w:bottom w:val="single" w:sz="4" w:space="0" w:color="auto"/>
              <w:right w:val="single" w:sz="4" w:space="0" w:color="auto"/>
            </w:tcBorders>
            <w:vAlign w:val="center"/>
          </w:tcPr>
          <w:p w14:paraId="77E27FE7">
            <w:pPr>
              <w:spacing w:line="360" w:lineRule="auto"/>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0EA40F6B">
            <w:pPr>
              <w:spacing w:line="360" w:lineRule="auto"/>
              <w:rPr>
                <w:rFonts w:ascii="宋体" w:hAnsi="宋体"/>
              </w:rPr>
            </w:pPr>
          </w:p>
        </w:tc>
        <w:tc>
          <w:tcPr>
            <w:tcW w:w="1167" w:type="dxa"/>
            <w:tcBorders>
              <w:top w:val="single" w:sz="4" w:space="0" w:color="auto"/>
              <w:left w:val="single" w:sz="4" w:space="0" w:color="auto"/>
              <w:bottom w:val="single" w:sz="4" w:space="0" w:color="auto"/>
              <w:right w:val="single" w:sz="4" w:space="0" w:color="auto"/>
            </w:tcBorders>
            <w:vAlign w:val="center"/>
          </w:tcPr>
          <w:p w14:paraId="4181BE9E">
            <w:pPr>
              <w:spacing w:line="360" w:lineRule="auto"/>
              <w:rPr>
                <w:rFonts w:ascii="宋体" w:hAnsi="宋体"/>
              </w:rPr>
            </w:pPr>
          </w:p>
        </w:tc>
        <w:tc>
          <w:tcPr>
            <w:tcW w:w="1560" w:type="dxa"/>
            <w:tcBorders>
              <w:top w:val="single" w:sz="4" w:space="0" w:color="auto"/>
              <w:left w:val="single" w:sz="4" w:space="0" w:color="auto"/>
              <w:bottom w:val="single" w:sz="4" w:space="0" w:color="auto"/>
              <w:right w:val="single" w:sz="4" w:space="0" w:color="auto"/>
            </w:tcBorders>
            <w:vAlign w:val="center"/>
          </w:tcPr>
          <w:p w14:paraId="4EB2EC05">
            <w:pPr>
              <w:spacing w:line="360" w:lineRule="auto"/>
              <w:rPr>
                <w:rFonts w:ascii="宋体" w:hAnsi="宋体"/>
              </w:rPr>
            </w:pPr>
          </w:p>
        </w:tc>
        <w:tc>
          <w:tcPr>
            <w:tcW w:w="1809" w:type="dxa"/>
            <w:tcBorders>
              <w:top w:val="single" w:sz="4" w:space="0" w:color="auto"/>
              <w:left w:val="single" w:sz="4" w:space="0" w:color="auto"/>
              <w:bottom w:val="single" w:sz="4" w:space="0" w:color="auto"/>
              <w:right w:val="single" w:sz="4" w:space="0" w:color="auto"/>
            </w:tcBorders>
            <w:vAlign w:val="center"/>
          </w:tcPr>
          <w:p w14:paraId="4A076A6A">
            <w:pPr>
              <w:spacing w:line="360" w:lineRule="auto"/>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2A510961">
            <w:pPr>
              <w:spacing w:line="360" w:lineRule="auto"/>
              <w:rPr>
                <w:rFonts w:ascii="宋体" w:hAnsi="宋体"/>
              </w:rPr>
            </w:pPr>
          </w:p>
        </w:tc>
        <w:tc>
          <w:tcPr>
            <w:tcW w:w="851" w:type="dxa"/>
            <w:tcBorders>
              <w:top w:val="single" w:sz="4" w:space="0" w:color="auto"/>
              <w:left w:val="single" w:sz="4" w:space="0" w:color="auto"/>
              <w:bottom w:val="single" w:sz="4" w:space="0" w:color="auto"/>
              <w:right w:val="single" w:sz="4" w:space="0" w:color="auto"/>
            </w:tcBorders>
            <w:vAlign w:val="center"/>
          </w:tcPr>
          <w:p w14:paraId="461FD66C">
            <w:pPr>
              <w:spacing w:line="360" w:lineRule="auto"/>
              <w:rPr>
                <w:rFonts w:ascii="宋体" w:hAnsi="宋体"/>
              </w:rPr>
            </w:pPr>
          </w:p>
        </w:tc>
        <w:tc>
          <w:tcPr>
            <w:tcW w:w="850" w:type="dxa"/>
            <w:tcBorders>
              <w:top w:val="single" w:sz="4" w:space="0" w:color="auto"/>
              <w:left w:val="single" w:sz="4" w:space="0" w:color="auto"/>
              <w:bottom w:val="single" w:sz="4" w:space="0" w:color="auto"/>
              <w:right w:val="single" w:sz="4" w:space="0" w:color="auto"/>
            </w:tcBorders>
            <w:vAlign w:val="center"/>
          </w:tcPr>
          <w:p w14:paraId="1DA7BDA0">
            <w:pPr>
              <w:spacing w:line="360" w:lineRule="auto"/>
              <w:rPr>
                <w:rFonts w:ascii="宋体" w:hAnsi="宋体"/>
              </w:rPr>
            </w:pPr>
          </w:p>
        </w:tc>
      </w:tr>
      <w:tr w14:paraId="56D88803">
        <w:tblPrEx>
          <w:tblW w:w="0" w:type="auto"/>
          <w:jc w:val="center"/>
          <w:tblLayout w:type="fixed"/>
          <w:tblCellMar>
            <w:top w:w="0" w:type="dxa"/>
            <w:left w:w="28" w:type="dxa"/>
            <w:bottom w:w="0" w:type="dxa"/>
            <w:right w:w="28" w:type="dxa"/>
          </w:tblCellMar>
        </w:tblPrEx>
        <w:trPr>
          <w:trHeight w:val="567"/>
          <w:jc w:val="center"/>
        </w:trPr>
        <w:tc>
          <w:tcPr>
            <w:tcW w:w="1811" w:type="dxa"/>
            <w:tcBorders>
              <w:top w:val="single" w:sz="4" w:space="0" w:color="auto"/>
              <w:left w:val="single" w:sz="4" w:space="0" w:color="auto"/>
              <w:bottom w:val="single" w:sz="4" w:space="0" w:color="auto"/>
              <w:right w:val="single" w:sz="4" w:space="0" w:color="auto"/>
            </w:tcBorders>
            <w:vAlign w:val="center"/>
          </w:tcPr>
          <w:p w14:paraId="16837278">
            <w:pPr>
              <w:spacing w:line="360" w:lineRule="auto"/>
              <w:rPr>
                <w:rFonts w:ascii="宋体" w:hAnsi="宋体"/>
              </w:rPr>
            </w:pPr>
          </w:p>
        </w:tc>
        <w:tc>
          <w:tcPr>
            <w:tcW w:w="1309" w:type="dxa"/>
            <w:tcBorders>
              <w:top w:val="single" w:sz="4" w:space="0" w:color="auto"/>
              <w:left w:val="single" w:sz="4" w:space="0" w:color="auto"/>
              <w:bottom w:val="single" w:sz="4" w:space="0" w:color="auto"/>
              <w:right w:val="single" w:sz="4" w:space="0" w:color="auto"/>
            </w:tcBorders>
            <w:vAlign w:val="center"/>
          </w:tcPr>
          <w:p w14:paraId="041FB6DA">
            <w:pPr>
              <w:spacing w:line="360" w:lineRule="auto"/>
              <w:rPr>
                <w:rFonts w:ascii="宋体" w:hAnsi="宋体"/>
              </w:rPr>
            </w:pPr>
          </w:p>
        </w:tc>
        <w:tc>
          <w:tcPr>
            <w:tcW w:w="1951" w:type="dxa"/>
            <w:tcBorders>
              <w:top w:val="single" w:sz="4" w:space="0" w:color="auto"/>
              <w:left w:val="single" w:sz="4" w:space="0" w:color="auto"/>
              <w:bottom w:val="single" w:sz="4" w:space="0" w:color="auto"/>
              <w:right w:val="single" w:sz="4" w:space="0" w:color="auto"/>
            </w:tcBorders>
            <w:vAlign w:val="center"/>
          </w:tcPr>
          <w:p w14:paraId="0E4F65D4">
            <w:pPr>
              <w:spacing w:line="360" w:lineRule="auto"/>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28DB95E1">
            <w:pPr>
              <w:spacing w:line="360" w:lineRule="auto"/>
              <w:rPr>
                <w:rFonts w:ascii="宋体" w:hAnsi="宋体"/>
              </w:rPr>
            </w:pPr>
          </w:p>
        </w:tc>
        <w:tc>
          <w:tcPr>
            <w:tcW w:w="1167" w:type="dxa"/>
            <w:tcBorders>
              <w:top w:val="single" w:sz="4" w:space="0" w:color="auto"/>
              <w:left w:val="single" w:sz="4" w:space="0" w:color="auto"/>
              <w:bottom w:val="single" w:sz="4" w:space="0" w:color="auto"/>
              <w:right w:val="single" w:sz="4" w:space="0" w:color="auto"/>
            </w:tcBorders>
            <w:vAlign w:val="center"/>
          </w:tcPr>
          <w:p w14:paraId="48D58237">
            <w:pPr>
              <w:spacing w:line="360" w:lineRule="auto"/>
              <w:rPr>
                <w:rFonts w:ascii="宋体" w:hAnsi="宋体"/>
              </w:rPr>
            </w:pPr>
          </w:p>
        </w:tc>
        <w:tc>
          <w:tcPr>
            <w:tcW w:w="1560" w:type="dxa"/>
            <w:tcBorders>
              <w:top w:val="single" w:sz="4" w:space="0" w:color="auto"/>
              <w:left w:val="single" w:sz="4" w:space="0" w:color="auto"/>
              <w:bottom w:val="single" w:sz="4" w:space="0" w:color="auto"/>
              <w:right w:val="single" w:sz="4" w:space="0" w:color="auto"/>
            </w:tcBorders>
            <w:vAlign w:val="center"/>
          </w:tcPr>
          <w:p w14:paraId="2C120E64">
            <w:pPr>
              <w:spacing w:line="360" w:lineRule="auto"/>
              <w:rPr>
                <w:rFonts w:ascii="宋体" w:hAnsi="宋体"/>
              </w:rPr>
            </w:pPr>
          </w:p>
        </w:tc>
        <w:tc>
          <w:tcPr>
            <w:tcW w:w="1809" w:type="dxa"/>
            <w:tcBorders>
              <w:top w:val="single" w:sz="4" w:space="0" w:color="auto"/>
              <w:left w:val="single" w:sz="4" w:space="0" w:color="auto"/>
              <w:bottom w:val="single" w:sz="4" w:space="0" w:color="auto"/>
              <w:right w:val="single" w:sz="4" w:space="0" w:color="auto"/>
            </w:tcBorders>
            <w:vAlign w:val="center"/>
          </w:tcPr>
          <w:p w14:paraId="72812AC9">
            <w:pPr>
              <w:spacing w:line="360" w:lineRule="auto"/>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76BBDBA6">
            <w:pPr>
              <w:spacing w:line="360" w:lineRule="auto"/>
              <w:rPr>
                <w:rFonts w:ascii="宋体" w:hAnsi="宋体"/>
              </w:rPr>
            </w:pPr>
          </w:p>
        </w:tc>
        <w:tc>
          <w:tcPr>
            <w:tcW w:w="851" w:type="dxa"/>
            <w:tcBorders>
              <w:top w:val="single" w:sz="4" w:space="0" w:color="auto"/>
              <w:left w:val="single" w:sz="4" w:space="0" w:color="auto"/>
              <w:bottom w:val="single" w:sz="4" w:space="0" w:color="auto"/>
              <w:right w:val="single" w:sz="4" w:space="0" w:color="auto"/>
            </w:tcBorders>
            <w:vAlign w:val="center"/>
          </w:tcPr>
          <w:p w14:paraId="21B315AB">
            <w:pPr>
              <w:spacing w:line="360" w:lineRule="auto"/>
              <w:rPr>
                <w:rFonts w:ascii="宋体" w:hAnsi="宋体"/>
              </w:rPr>
            </w:pPr>
          </w:p>
        </w:tc>
        <w:tc>
          <w:tcPr>
            <w:tcW w:w="850" w:type="dxa"/>
            <w:tcBorders>
              <w:top w:val="single" w:sz="4" w:space="0" w:color="auto"/>
              <w:left w:val="single" w:sz="4" w:space="0" w:color="auto"/>
              <w:bottom w:val="single" w:sz="4" w:space="0" w:color="auto"/>
              <w:right w:val="single" w:sz="4" w:space="0" w:color="auto"/>
            </w:tcBorders>
            <w:vAlign w:val="center"/>
          </w:tcPr>
          <w:p w14:paraId="17CA965F">
            <w:pPr>
              <w:spacing w:line="360" w:lineRule="auto"/>
              <w:rPr>
                <w:rFonts w:ascii="宋体" w:hAnsi="宋体"/>
              </w:rPr>
            </w:pPr>
          </w:p>
        </w:tc>
      </w:tr>
      <w:tr w14:paraId="626A20A7">
        <w:tblPrEx>
          <w:tblW w:w="0" w:type="auto"/>
          <w:jc w:val="center"/>
          <w:tblLayout w:type="fixed"/>
          <w:tblCellMar>
            <w:top w:w="0" w:type="dxa"/>
            <w:left w:w="28" w:type="dxa"/>
            <w:bottom w:w="0" w:type="dxa"/>
            <w:right w:w="28" w:type="dxa"/>
          </w:tblCellMar>
        </w:tblPrEx>
        <w:trPr>
          <w:trHeight w:val="567"/>
          <w:jc w:val="center"/>
        </w:trPr>
        <w:tc>
          <w:tcPr>
            <w:tcW w:w="1811" w:type="dxa"/>
            <w:tcBorders>
              <w:top w:val="single" w:sz="4" w:space="0" w:color="auto"/>
              <w:left w:val="single" w:sz="4" w:space="0" w:color="auto"/>
              <w:bottom w:val="single" w:sz="4" w:space="0" w:color="auto"/>
              <w:right w:val="single" w:sz="4" w:space="0" w:color="auto"/>
            </w:tcBorders>
            <w:vAlign w:val="center"/>
          </w:tcPr>
          <w:p w14:paraId="097AEB59">
            <w:pPr>
              <w:spacing w:line="360" w:lineRule="auto"/>
              <w:rPr>
                <w:rFonts w:ascii="宋体" w:hAnsi="宋体"/>
              </w:rPr>
            </w:pPr>
          </w:p>
        </w:tc>
        <w:tc>
          <w:tcPr>
            <w:tcW w:w="1309" w:type="dxa"/>
            <w:tcBorders>
              <w:top w:val="single" w:sz="4" w:space="0" w:color="auto"/>
              <w:left w:val="single" w:sz="4" w:space="0" w:color="auto"/>
              <w:bottom w:val="single" w:sz="4" w:space="0" w:color="auto"/>
              <w:right w:val="single" w:sz="4" w:space="0" w:color="auto"/>
            </w:tcBorders>
            <w:vAlign w:val="center"/>
          </w:tcPr>
          <w:p w14:paraId="5377115B">
            <w:pPr>
              <w:spacing w:line="360" w:lineRule="auto"/>
              <w:rPr>
                <w:rFonts w:ascii="宋体" w:hAnsi="宋体"/>
              </w:rPr>
            </w:pPr>
          </w:p>
        </w:tc>
        <w:tc>
          <w:tcPr>
            <w:tcW w:w="1951" w:type="dxa"/>
            <w:tcBorders>
              <w:top w:val="single" w:sz="4" w:space="0" w:color="auto"/>
              <w:left w:val="single" w:sz="4" w:space="0" w:color="auto"/>
              <w:bottom w:val="single" w:sz="4" w:space="0" w:color="auto"/>
              <w:right w:val="single" w:sz="4" w:space="0" w:color="auto"/>
            </w:tcBorders>
            <w:vAlign w:val="center"/>
          </w:tcPr>
          <w:p w14:paraId="4914A627">
            <w:pPr>
              <w:spacing w:line="360" w:lineRule="auto"/>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172C90A8">
            <w:pPr>
              <w:spacing w:line="360" w:lineRule="auto"/>
              <w:rPr>
                <w:rFonts w:ascii="宋体" w:hAnsi="宋体"/>
              </w:rPr>
            </w:pPr>
          </w:p>
        </w:tc>
        <w:tc>
          <w:tcPr>
            <w:tcW w:w="1167" w:type="dxa"/>
            <w:tcBorders>
              <w:top w:val="single" w:sz="4" w:space="0" w:color="auto"/>
              <w:left w:val="single" w:sz="4" w:space="0" w:color="auto"/>
              <w:bottom w:val="single" w:sz="4" w:space="0" w:color="auto"/>
              <w:right w:val="single" w:sz="4" w:space="0" w:color="auto"/>
            </w:tcBorders>
            <w:vAlign w:val="center"/>
          </w:tcPr>
          <w:p w14:paraId="23B2F5D2">
            <w:pPr>
              <w:spacing w:line="360" w:lineRule="auto"/>
              <w:rPr>
                <w:rFonts w:ascii="宋体" w:hAnsi="宋体"/>
              </w:rPr>
            </w:pPr>
          </w:p>
        </w:tc>
        <w:tc>
          <w:tcPr>
            <w:tcW w:w="1560" w:type="dxa"/>
            <w:tcBorders>
              <w:top w:val="single" w:sz="4" w:space="0" w:color="auto"/>
              <w:left w:val="single" w:sz="4" w:space="0" w:color="auto"/>
              <w:bottom w:val="single" w:sz="4" w:space="0" w:color="auto"/>
              <w:right w:val="single" w:sz="4" w:space="0" w:color="auto"/>
            </w:tcBorders>
            <w:vAlign w:val="center"/>
          </w:tcPr>
          <w:p w14:paraId="66A5F916">
            <w:pPr>
              <w:spacing w:line="360" w:lineRule="auto"/>
              <w:rPr>
                <w:rFonts w:ascii="宋体" w:hAnsi="宋体"/>
              </w:rPr>
            </w:pPr>
          </w:p>
        </w:tc>
        <w:tc>
          <w:tcPr>
            <w:tcW w:w="1809" w:type="dxa"/>
            <w:tcBorders>
              <w:top w:val="single" w:sz="4" w:space="0" w:color="auto"/>
              <w:left w:val="single" w:sz="4" w:space="0" w:color="auto"/>
              <w:bottom w:val="single" w:sz="4" w:space="0" w:color="auto"/>
              <w:right w:val="single" w:sz="4" w:space="0" w:color="auto"/>
            </w:tcBorders>
            <w:vAlign w:val="center"/>
          </w:tcPr>
          <w:p w14:paraId="2F5E2AAA">
            <w:pPr>
              <w:spacing w:line="360" w:lineRule="auto"/>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6993B28E">
            <w:pPr>
              <w:spacing w:line="360" w:lineRule="auto"/>
              <w:rPr>
                <w:rFonts w:ascii="宋体" w:hAnsi="宋体"/>
              </w:rPr>
            </w:pPr>
          </w:p>
        </w:tc>
        <w:tc>
          <w:tcPr>
            <w:tcW w:w="851" w:type="dxa"/>
            <w:tcBorders>
              <w:top w:val="single" w:sz="4" w:space="0" w:color="auto"/>
              <w:left w:val="single" w:sz="4" w:space="0" w:color="auto"/>
              <w:bottom w:val="single" w:sz="4" w:space="0" w:color="auto"/>
              <w:right w:val="single" w:sz="4" w:space="0" w:color="auto"/>
            </w:tcBorders>
            <w:vAlign w:val="center"/>
          </w:tcPr>
          <w:p w14:paraId="5D068AED">
            <w:pPr>
              <w:spacing w:line="360" w:lineRule="auto"/>
              <w:rPr>
                <w:rFonts w:ascii="宋体" w:hAnsi="宋体"/>
              </w:rPr>
            </w:pPr>
          </w:p>
        </w:tc>
        <w:tc>
          <w:tcPr>
            <w:tcW w:w="850" w:type="dxa"/>
            <w:tcBorders>
              <w:top w:val="single" w:sz="4" w:space="0" w:color="auto"/>
              <w:left w:val="single" w:sz="4" w:space="0" w:color="auto"/>
              <w:bottom w:val="single" w:sz="4" w:space="0" w:color="auto"/>
              <w:right w:val="single" w:sz="4" w:space="0" w:color="auto"/>
            </w:tcBorders>
            <w:vAlign w:val="center"/>
          </w:tcPr>
          <w:p w14:paraId="253CF722">
            <w:pPr>
              <w:spacing w:line="360" w:lineRule="auto"/>
              <w:rPr>
                <w:rFonts w:ascii="宋体" w:hAnsi="宋体"/>
              </w:rPr>
            </w:pPr>
          </w:p>
        </w:tc>
      </w:tr>
      <w:tr w14:paraId="38B96C26">
        <w:tblPrEx>
          <w:tblW w:w="0" w:type="auto"/>
          <w:jc w:val="center"/>
          <w:tblLayout w:type="fixed"/>
          <w:tblCellMar>
            <w:top w:w="0" w:type="dxa"/>
            <w:left w:w="28" w:type="dxa"/>
            <w:bottom w:w="0" w:type="dxa"/>
            <w:right w:w="28" w:type="dxa"/>
          </w:tblCellMar>
        </w:tblPrEx>
        <w:trPr>
          <w:trHeight w:val="567"/>
          <w:jc w:val="center"/>
        </w:trPr>
        <w:tc>
          <w:tcPr>
            <w:tcW w:w="1811" w:type="dxa"/>
            <w:tcBorders>
              <w:top w:val="single" w:sz="4" w:space="0" w:color="auto"/>
              <w:left w:val="single" w:sz="4" w:space="0" w:color="auto"/>
              <w:bottom w:val="single" w:sz="4" w:space="0" w:color="auto"/>
              <w:right w:val="single" w:sz="4" w:space="0" w:color="auto"/>
            </w:tcBorders>
            <w:vAlign w:val="center"/>
          </w:tcPr>
          <w:p w14:paraId="12CEC95F">
            <w:pPr>
              <w:spacing w:line="360" w:lineRule="auto"/>
              <w:rPr>
                <w:rFonts w:ascii="宋体" w:hAnsi="宋体"/>
              </w:rPr>
            </w:pPr>
          </w:p>
        </w:tc>
        <w:tc>
          <w:tcPr>
            <w:tcW w:w="1309" w:type="dxa"/>
            <w:tcBorders>
              <w:top w:val="single" w:sz="4" w:space="0" w:color="auto"/>
              <w:left w:val="single" w:sz="4" w:space="0" w:color="auto"/>
              <w:bottom w:val="single" w:sz="4" w:space="0" w:color="auto"/>
              <w:right w:val="single" w:sz="4" w:space="0" w:color="auto"/>
            </w:tcBorders>
            <w:vAlign w:val="center"/>
          </w:tcPr>
          <w:p w14:paraId="76BCAC34">
            <w:pPr>
              <w:spacing w:line="360" w:lineRule="auto"/>
              <w:rPr>
                <w:rFonts w:ascii="宋体" w:hAnsi="宋体"/>
              </w:rPr>
            </w:pPr>
          </w:p>
        </w:tc>
        <w:tc>
          <w:tcPr>
            <w:tcW w:w="1951" w:type="dxa"/>
            <w:tcBorders>
              <w:top w:val="single" w:sz="4" w:space="0" w:color="auto"/>
              <w:left w:val="single" w:sz="4" w:space="0" w:color="auto"/>
              <w:bottom w:val="single" w:sz="4" w:space="0" w:color="auto"/>
              <w:right w:val="single" w:sz="4" w:space="0" w:color="auto"/>
            </w:tcBorders>
            <w:vAlign w:val="center"/>
          </w:tcPr>
          <w:p w14:paraId="10D3D703">
            <w:pPr>
              <w:spacing w:line="360" w:lineRule="auto"/>
              <w:rPr>
                <w:rFonts w:ascii="宋体" w:hAnsi="宋体"/>
              </w:rPr>
            </w:pPr>
          </w:p>
        </w:tc>
        <w:tc>
          <w:tcPr>
            <w:tcW w:w="1559" w:type="dxa"/>
            <w:tcBorders>
              <w:top w:val="single" w:sz="4" w:space="0" w:color="auto"/>
              <w:left w:val="single" w:sz="4" w:space="0" w:color="auto"/>
              <w:bottom w:val="single" w:sz="4" w:space="0" w:color="auto"/>
              <w:right w:val="single" w:sz="4" w:space="0" w:color="auto"/>
            </w:tcBorders>
            <w:vAlign w:val="center"/>
          </w:tcPr>
          <w:p w14:paraId="5B65DD3F">
            <w:pPr>
              <w:spacing w:line="360" w:lineRule="auto"/>
              <w:rPr>
                <w:rFonts w:ascii="宋体" w:hAnsi="宋体"/>
              </w:rPr>
            </w:pPr>
          </w:p>
        </w:tc>
        <w:tc>
          <w:tcPr>
            <w:tcW w:w="1167" w:type="dxa"/>
            <w:tcBorders>
              <w:top w:val="single" w:sz="4" w:space="0" w:color="auto"/>
              <w:left w:val="single" w:sz="4" w:space="0" w:color="auto"/>
              <w:bottom w:val="single" w:sz="4" w:space="0" w:color="auto"/>
              <w:right w:val="single" w:sz="4" w:space="0" w:color="auto"/>
            </w:tcBorders>
            <w:vAlign w:val="center"/>
          </w:tcPr>
          <w:p w14:paraId="34C20511">
            <w:pPr>
              <w:spacing w:line="360" w:lineRule="auto"/>
              <w:rPr>
                <w:rFonts w:ascii="宋体" w:hAnsi="宋体"/>
              </w:rPr>
            </w:pPr>
          </w:p>
        </w:tc>
        <w:tc>
          <w:tcPr>
            <w:tcW w:w="1560" w:type="dxa"/>
            <w:tcBorders>
              <w:top w:val="single" w:sz="4" w:space="0" w:color="auto"/>
              <w:left w:val="single" w:sz="4" w:space="0" w:color="auto"/>
              <w:bottom w:val="single" w:sz="4" w:space="0" w:color="auto"/>
              <w:right w:val="single" w:sz="4" w:space="0" w:color="auto"/>
            </w:tcBorders>
            <w:vAlign w:val="center"/>
          </w:tcPr>
          <w:p w14:paraId="45D57799">
            <w:pPr>
              <w:spacing w:line="360" w:lineRule="auto"/>
              <w:rPr>
                <w:rFonts w:ascii="宋体" w:hAnsi="宋体"/>
              </w:rPr>
            </w:pPr>
          </w:p>
        </w:tc>
        <w:tc>
          <w:tcPr>
            <w:tcW w:w="1809" w:type="dxa"/>
            <w:tcBorders>
              <w:top w:val="single" w:sz="4" w:space="0" w:color="auto"/>
              <w:left w:val="single" w:sz="4" w:space="0" w:color="auto"/>
              <w:bottom w:val="single" w:sz="4" w:space="0" w:color="auto"/>
              <w:right w:val="single" w:sz="4" w:space="0" w:color="auto"/>
            </w:tcBorders>
            <w:vAlign w:val="center"/>
          </w:tcPr>
          <w:p w14:paraId="679C3D6B">
            <w:pPr>
              <w:spacing w:line="360" w:lineRule="auto"/>
              <w:rPr>
                <w:rFonts w:ascii="宋体" w:hAnsi="宋体"/>
              </w:rPr>
            </w:pPr>
          </w:p>
        </w:tc>
        <w:tc>
          <w:tcPr>
            <w:tcW w:w="1276" w:type="dxa"/>
            <w:tcBorders>
              <w:top w:val="single" w:sz="4" w:space="0" w:color="auto"/>
              <w:left w:val="single" w:sz="4" w:space="0" w:color="auto"/>
              <w:bottom w:val="single" w:sz="4" w:space="0" w:color="auto"/>
              <w:right w:val="single" w:sz="4" w:space="0" w:color="auto"/>
            </w:tcBorders>
            <w:vAlign w:val="center"/>
          </w:tcPr>
          <w:p w14:paraId="6E586D03">
            <w:pPr>
              <w:spacing w:line="360" w:lineRule="auto"/>
              <w:rPr>
                <w:rFonts w:ascii="宋体" w:hAnsi="宋体"/>
              </w:rPr>
            </w:pPr>
          </w:p>
        </w:tc>
        <w:tc>
          <w:tcPr>
            <w:tcW w:w="851" w:type="dxa"/>
            <w:tcBorders>
              <w:top w:val="single" w:sz="4" w:space="0" w:color="auto"/>
              <w:left w:val="single" w:sz="4" w:space="0" w:color="auto"/>
              <w:bottom w:val="single" w:sz="4" w:space="0" w:color="auto"/>
              <w:right w:val="single" w:sz="4" w:space="0" w:color="auto"/>
            </w:tcBorders>
            <w:vAlign w:val="center"/>
          </w:tcPr>
          <w:p w14:paraId="5904AE47">
            <w:pPr>
              <w:spacing w:line="360" w:lineRule="auto"/>
              <w:rPr>
                <w:rFonts w:ascii="宋体" w:hAnsi="宋体"/>
              </w:rPr>
            </w:pPr>
          </w:p>
        </w:tc>
        <w:tc>
          <w:tcPr>
            <w:tcW w:w="850" w:type="dxa"/>
            <w:tcBorders>
              <w:top w:val="single" w:sz="4" w:space="0" w:color="auto"/>
              <w:left w:val="single" w:sz="4" w:space="0" w:color="auto"/>
              <w:bottom w:val="single" w:sz="4" w:space="0" w:color="auto"/>
              <w:right w:val="single" w:sz="4" w:space="0" w:color="auto"/>
            </w:tcBorders>
            <w:vAlign w:val="center"/>
          </w:tcPr>
          <w:p w14:paraId="31E2FBF1">
            <w:pPr>
              <w:spacing w:line="360" w:lineRule="auto"/>
              <w:rPr>
                <w:rFonts w:ascii="宋体" w:hAnsi="宋体"/>
              </w:rPr>
            </w:pPr>
          </w:p>
        </w:tc>
      </w:tr>
    </w:tbl>
    <w:p w14:paraId="661EE4A7">
      <w:pPr>
        <w:spacing w:line="360" w:lineRule="auto"/>
        <w:rPr>
          <w:rFonts w:ascii="宋体" w:hAnsi="宋体"/>
          <w:b/>
        </w:rPr>
        <w:sectPr>
          <w:type w:val="continuous"/>
          <w:pgSz w:w="16838" w:h="11906" w:orient="landscape"/>
          <w:pgMar w:top="1554" w:right="1418" w:bottom="1531" w:left="1418" w:header="851" w:footer="992" w:gutter="0"/>
          <w:cols w:num="1" w:space="720"/>
          <w:docGrid w:type="linesAndChars" w:linePitch="312" w:charSpace="0"/>
        </w:sectPr>
      </w:pPr>
    </w:p>
    <w:p w14:paraId="08528A60">
      <w:pPr>
        <w:spacing w:line="360" w:lineRule="auto"/>
        <w:rPr>
          <w:rFonts w:ascii="宋体" w:hAnsi="宋体"/>
          <w:kern w:val="2"/>
        </w:rPr>
      </w:pPr>
      <w:r>
        <w:rPr>
          <w:rFonts w:ascii="宋体" w:hAnsi="宋体" w:hint="eastAsia"/>
        </w:rPr>
        <w:t>附</w:t>
      </w:r>
      <w:bookmarkStart w:id="1069" w:name="_Toc296347224"/>
      <w:bookmarkStart w:id="1070" w:name="_Toc296891053"/>
      <w:bookmarkStart w:id="1071" w:name="_Toc267261692"/>
      <w:bookmarkStart w:id="1072" w:name="_Toc296944564"/>
      <w:bookmarkStart w:id="1073" w:name="_Toc296503225"/>
      <w:bookmarkStart w:id="1074" w:name="_Toc296346726"/>
      <w:bookmarkStart w:id="1075" w:name="_Toc296891265"/>
      <w:r>
        <w:rPr>
          <w:rFonts w:ascii="宋体" w:hAnsi="宋体" w:hint="eastAsia"/>
        </w:rPr>
        <w:t>件2：</w:t>
      </w:r>
    </w:p>
    <w:bookmarkEnd w:id="1069"/>
    <w:bookmarkEnd w:id="1070"/>
    <w:bookmarkEnd w:id="1071"/>
    <w:bookmarkEnd w:id="1072"/>
    <w:bookmarkEnd w:id="1073"/>
    <w:bookmarkEnd w:id="1074"/>
    <w:bookmarkEnd w:id="1075"/>
    <w:p w14:paraId="78C5FB55">
      <w:pPr>
        <w:spacing w:line="360" w:lineRule="auto"/>
        <w:jc w:val="center"/>
        <w:rPr>
          <w:rFonts w:ascii="宋体" w:hAnsi="宋体"/>
          <w:b/>
          <w:lang w:eastAsia="zh-CN"/>
        </w:rPr>
      </w:pPr>
      <w:r>
        <w:rPr>
          <w:rFonts w:ascii="宋体" w:hAnsi="宋体" w:hint="eastAsia"/>
          <w:b/>
          <w:lang w:eastAsia="zh-CN"/>
        </w:rPr>
        <w:t>发包人供应材料设备一览表</w:t>
      </w: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14:paraId="4F0408D3">
        <w:tblPrEx>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Ex>
        <w:trPr>
          <w:jc w:val="center"/>
        </w:trPr>
        <w:tc>
          <w:tcPr>
            <w:tcW w:w="851" w:type="dxa"/>
            <w:tcBorders>
              <w:top w:val="single" w:sz="12" w:space="0" w:color="auto"/>
              <w:left w:val="single" w:sz="12" w:space="0" w:color="auto"/>
              <w:bottom w:val="double" w:sz="6" w:space="0" w:color="auto"/>
              <w:right w:val="single" w:sz="6" w:space="0" w:color="auto"/>
            </w:tcBorders>
            <w:vAlign w:val="center"/>
          </w:tcPr>
          <w:p w14:paraId="3CE4643B">
            <w:pPr>
              <w:spacing w:line="360" w:lineRule="auto"/>
              <w:jc w:val="center"/>
              <w:rPr>
                <w:rFonts w:ascii="宋体" w:hAnsi="宋体"/>
              </w:rPr>
            </w:pPr>
            <w:r>
              <w:rPr>
                <w:rFonts w:ascii="宋体" w:hAnsi="宋体" w:hint="eastAsia"/>
              </w:rPr>
              <w:t>序号</w:t>
            </w:r>
          </w:p>
        </w:tc>
        <w:tc>
          <w:tcPr>
            <w:tcW w:w="1276" w:type="dxa"/>
            <w:tcBorders>
              <w:top w:val="single" w:sz="12" w:space="0" w:color="auto"/>
              <w:left w:val="single" w:sz="6" w:space="0" w:color="auto"/>
              <w:bottom w:val="double" w:sz="6" w:space="0" w:color="auto"/>
              <w:right w:val="single" w:sz="6" w:space="0" w:color="auto"/>
            </w:tcBorders>
            <w:vAlign w:val="center"/>
          </w:tcPr>
          <w:p w14:paraId="50C61373">
            <w:pPr>
              <w:spacing w:line="360" w:lineRule="auto"/>
              <w:jc w:val="center"/>
              <w:rPr>
                <w:rFonts w:ascii="宋体" w:hAnsi="宋体"/>
              </w:rPr>
            </w:pPr>
            <w:r>
              <w:rPr>
                <w:rFonts w:ascii="宋体" w:hAnsi="宋体" w:hint="eastAsia"/>
              </w:rPr>
              <w:t>材料、</w:t>
            </w:r>
          </w:p>
          <w:p w14:paraId="3C7BF8FE">
            <w:pPr>
              <w:spacing w:line="360" w:lineRule="auto"/>
              <w:jc w:val="center"/>
              <w:rPr>
                <w:rFonts w:ascii="宋体" w:hAnsi="宋体"/>
              </w:rPr>
            </w:pPr>
            <w:r>
              <w:rPr>
                <w:rFonts w:ascii="宋体" w:hAnsi="宋体" w:hint="eastAsia"/>
              </w:rPr>
              <w:t>设备品种</w:t>
            </w:r>
          </w:p>
        </w:tc>
        <w:tc>
          <w:tcPr>
            <w:tcW w:w="1418" w:type="dxa"/>
            <w:tcBorders>
              <w:top w:val="single" w:sz="12" w:space="0" w:color="auto"/>
              <w:left w:val="single" w:sz="6" w:space="0" w:color="auto"/>
              <w:bottom w:val="double" w:sz="6" w:space="0" w:color="auto"/>
              <w:right w:val="single" w:sz="6" w:space="0" w:color="auto"/>
            </w:tcBorders>
            <w:vAlign w:val="center"/>
          </w:tcPr>
          <w:p w14:paraId="2EAFAE6F">
            <w:pPr>
              <w:spacing w:line="360" w:lineRule="auto"/>
              <w:jc w:val="center"/>
              <w:rPr>
                <w:rFonts w:ascii="宋体" w:hAnsi="宋体"/>
              </w:rPr>
            </w:pPr>
            <w:r>
              <w:rPr>
                <w:rFonts w:ascii="宋体" w:hAnsi="宋体" w:hint="eastAsia"/>
              </w:rPr>
              <w:t>规格型号</w:t>
            </w:r>
          </w:p>
        </w:tc>
        <w:tc>
          <w:tcPr>
            <w:tcW w:w="940" w:type="dxa"/>
            <w:tcBorders>
              <w:top w:val="single" w:sz="12" w:space="0" w:color="auto"/>
              <w:left w:val="single" w:sz="6" w:space="0" w:color="auto"/>
              <w:bottom w:val="double" w:sz="6" w:space="0" w:color="auto"/>
              <w:right w:val="single" w:sz="6" w:space="0" w:color="auto"/>
            </w:tcBorders>
            <w:vAlign w:val="center"/>
          </w:tcPr>
          <w:p w14:paraId="62D3AAD3">
            <w:pPr>
              <w:spacing w:line="360" w:lineRule="auto"/>
              <w:jc w:val="center"/>
              <w:rPr>
                <w:rFonts w:ascii="宋体" w:hAnsi="宋体"/>
              </w:rPr>
            </w:pPr>
            <w:r>
              <w:rPr>
                <w:rFonts w:ascii="宋体" w:hAnsi="宋体" w:hint="eastAsia"/>
              </w:rPr>
              <w:t>单位</w:t>
            </w:r>
          </w:p>
        </w:tc>
        <w:tc>
          <w:tcPr>
            <w:tcW w:w="851" w:type="dxa"/>
            <w:tcBorders>
              <w:top w:val="single" w:sz="12" w:space="0" w:color="auto"/>
              <w:left w:val="single" w:sz="6" w:space="0" w:color="auto"/>
              <w:bottom w:val="double" w:sz="6" w:space="0" w:color="auto"/>
              <w:right w:val="single" w:sz="6" w:space="0" w:color="auto"/>
            </w:tcBorders>
            <w:vAlign w:val="center"/>
          </w:tcPr>
          <w:p w14:paraId="05D9A3D6">
            <w:pPr>
              <w:spacing w:line="360" w:lineRule="auto"/>
              <w:jc w:val="center"/>
              <w:rPr>
                <w:rFonts w:ascii="宋体" w:hAnsi="宋体"/>
              </w:rPr>
            </w:pPr>
            <w:r>
              <w:rPr>
                <w:rFonts w:ascii="宋体" w:hAnsi="宋体" w:hint="eastAsia"/>
              </w:rPr>
              <w:t>数量</w:t>
            </w:r>
          </w:p>
        </w:tc>
        <w:tc>
          <w:tcPr>
            <w:tcW w:w="1044" w:type="dxa"/>
            <w:tcBorders>
              <w:top w:val="single" w:sz="12" w:space="0" w:color="auto"/>
              <w:left w:val="single" w:sz="6" w:space="0" w:color="auto"/>
              <w:bottom w:val="double" w:sz="6" w:space="0" w:color="auto"/>
              <w:right w:val="single" w:sz="6" w:space="0" w:color="auto"/>
            </w:tcBorders>
            <w:vAlign w:val="center"/>
          </w:tcPr>
          <w:p w14:paraId="3EB232A6">
            <w:pPr>
              <w:spacing w:line="360" w:lineRule="auto"/>
              <w:jc w:val="center"/>
              <w:rPr>
                <w:rFonts w:ascii="宋体" w:hAnsi="宋体"/>
              </w:rPr>
            </w:pPr>
            <w:r>
              <w:rPr>
                <w:rFonts w:ascii="宋体" w:hAnsi="宋体" w:hint="eastAsia"/>
              </w:rPr>
              <w:t>单价（元）</w:t>
            </w:r>
          </w:p>
        </w:tc>
        <w:tc>
          <w:tcPr>
            <w:tcW w:w="992" w:type="dxa"/>
            <w:tcBorders>
              <w:top w:val="single" w:sz="12" w:space="0" w:color="auto"/>
              <w:left w:val="single" w:sz="6" w:space="0" w:color="auto"/>
              <w:bottom w:val="double" w:sz="6" w:space="0" w:color="auto"/>
              <w:right w:val="single" w:sz="6" w:space="0" w:color="auto"/>
            </w:tcBorders>
            <w:vAlign w:val="center"/>
          </w:tcPr>
          <w:p w14:paraId="1F495EF5">
            <w:pPr>
              <w:spacing w:line="360" w:lineRule="auto"/>
              <w:jc w:val="center"/>
              <w:rPr>
                <w:rFonts w:ascii="宋体" w:hAnsi="宋体"/>
              </w:rPr>
            </w:pPr>
            <w:r>
              <w:rPr>
                <w:rFonts w:ascii="宋体" w:hAnsi="宋体" w:hint="eastAsia"/>
              </w:rPr>
              <w:t>质量</w:t>
            </w:r>
          </w:p>
          <w:p w14:paraId="0FDB46B9">
            <w:pPr>
              <w:spacing w:line="360" w:lineRule="auto"/>
              <w:jc w:val="center"/>
              <w:rPr>
                <w:rFonts w:ascii="宋体" w:hAnsi="宋体"/>
              </w:rPr>
            </w:pPr>
            <w:r>
              <w:rPr>
                <w:rFonts w:ascii="宋体" w:hAnsi="宋体" w:hint="eastAsia"/>
              </w:rPr>
              <w:t>等级</w:t>
            </w:r>
          </w:p>
        </w:tc>
        <w:tc>
          <w:tcPr>
            <w:tcW w:w="851" w:type="dxa"/>
            <w:tcBorders>
              <w:top w:val="single" w:sz="12" w:space="0" w:color="auto"/>
              <w:left w:val="single" w:sz="6" w:space="0" w:color="auto"/>
              <w:bottom w:val="double" w:sz="6" w:space="0" w:color="auto"/>
              <w:right w:val="single" w:sz="6" w:space="0" w:color="auto"/>
            </w:tcBorders>
            <w:vAlign w:val="center"/>
          </w:tcPr>
          <w:p w14:paraId="1F0FB63A">
            <w:pPr>
              <w:spacing w:line="360" w:lineRule="auto"/>
              <w:jc w:val="center"/>
              <w:rPr>
                <w:rFonts w:ascii="宋体" w:hAnsi="宋体"/>
              </w:rPr>
            </w:pPr>
            <w:r>
              <w:rPr>
                <w:rFonts w:ascii="宋体" w:hAnsi="宋体" w:hint="eastAsia"/>
              </w:rPr>
              <w:t>供应</w:t>
            </w:r>
          </w:p>
          <w:p w14:paraId="6AF99E23">
            <w:pPr>
              <w:spacing w:line="360" w:lineRule="auto"/>
              <w:jc w:val="center"/>
              <w:rPr>
                <w:rFonts w:ascii="宋体" w:hAnsi="宋体"/>
              </w:rPr>
            </w:pPr>
            <w:r>
              <w:rPr>
                <w:rFonts w:ascii="宋体" w:hAnsi="宋体" w:hint="eastAsia"/>
              </w:rPr>
              <w:t>时间</w:t>
            </w:r>
          </w:p>
        </w:tc>
        <w:tc>
          <w:tcPr>
            <w:tcW w:w="1487" w:type="dxa"/>
            <w:tcBorders>
              <w:top w:val="single" w:sz="12" w:space="0" w:color="auto"/>
              <w:left w:val="single" w:sz="6" w:space="0" w:color="auto"/>
              <w:bottom w:val="double" w:sz="6" w:space="0" w:color="auto"/>
              <w:right w:val="single" w:sz="6" w:space="0" w:color="auto"/>
            </w:tcBorders>
            <w:vAlign w:val="center"/>
          </w:tcPr>
          <w:p w14:paraId="63ED259B">
            <w:pPr>
              <w:spacing w:line="360" w:lineRule="auto"/>
              <w:jc w:val="center"/>
              <w:rPr>
                <w:rFonts w:ascii="宋体" w:hAnsi="宋体"/>
              </w:rPr>
            </w:pPr>
            <w:r>
              <w:rPr>
                <w:rFonts w:ascii="宋体" w:hAnsi="宋体" w:hint="eastAsia"/>
              </w:rPr>
              <w:t>送达地点</w:t>
            </w:r>
          </w:p>
        </w:tc>
        <w:tc>
          <w:tcPr>
            <w:tcW w:w="992" w:type="dxa"/>
            <w:tcBorders>
              <w:top w:val="single" w:sz="12" w:space="0" w:color="auto"/>
              <w:left w:val="single" w:sz="6" w:space="0" w:color="auto"/>
              <w:bottom w:val="double" w:sz="6" w:space="0" w:color="auto"/>
              <w:right w:val="single" w:sz="12" w:space="0" w:color="auto"/>
            </w:tcBorders>
            <w:vAlign w:val="center"/>
          </w:tcPr>
          <w:p w14:paraId="369F18A7">
            <w:pPr>
              <w:spacing w:line="360" w:lineRule="auto"/>
              <w:jc w:val="center"/>
              <w:rPr>
                <w:rFonts w:ascii="宋体" w:hAnsi="宋体"/>
              </w:rPr>
            </w:pPr>
            <w:r>
              <w:rPr>
                <w:rFonts w:ascii="宋体" w:hAnsi="宋体" w:hint="eastAsia"/>
              </w:rPr>
              <w:t>备注</w:t>
            </w:r>
          </w:p>
        </w:tc>
      </w:tr>
      <w:tr w14:paraId="0CA5EC4A">
        <w:tblPrEx>
          <w:tblW w:w="0" w:type="auto"/>
          <w:jc w:val="center"/>
          <w:tblLayout w:type="fixed"/>
          <w:tblCellMar>
            <w:top w:w="0" w:type="dxa"/>
            <w:left w:w="28" w:type="dxa"/>
            <w:bottom w:w="0" w:type="dxa"/>
            <w:right w:w="28" w:type="dxa"/>
          </w:tblCellMar>
        </w:tblPrEx>
        <w:trPr>
          <w:trHeight w:val="567"/>
          <w:jc w:val="center"/>
        </w:trPr>
        <w:tc>
          <w:tcPr>
            <w:tcW w:w="851" w:type="dxa"/>
            <w:tcBorders>
              <w:top w:val="double" w:sz="6" w:space="0" w:color="auto"/>
              <w:left w:val="single" w:sz="12" w:space="0" w:color="auto"/>
              <w:bottom w:val="single" w:sz="6" w:space="0" w:color="auto"/>
              <w:right w:val="single" w:sz="6" w:space="0" w:color="auto"/>
            </w:tcBorders>
            <w:vAlign w:val="center"/>
          </w:tcPr>
          <w:p w14:paraId="47D68F8A">
            <w:pPr>
              <w:spacing w:line="360" w:lineRule="auto"/>
              <w:rPr>
                <w:rFonts w:ascii="宋体" w:hAnsi="宋体"/>
              </w:rPr>
            </w:pPr>
          </w:p>
        </w:tc>
        <w:tc>
          <w:tcPr>
            <w:tcW w:w="1276" w:type="dxa"/>
            <w:tcBorders>
              <w:top w:val="double" w:sz="6" w:space="0" w:color="auto"/>
              <w:left w:val="single" w:sz="6" w:space="0" w:color="auto"/>
              <w:bottom w:val="single" w:sz="6" w:space="0" w:color="auto"/>
              <w:right w:val="single" w:sz="6" w:space="0" w:color="auto"/>
            </w:tcBorders>
            <w:vAlign w:val="center"/>
          </w:tcPr>
          <w:p w14:paraId="685B8397">
            <w:pPr>
              <w:spacing w:line="360" w:lineRule="auto"/>
              <w:rPr>
                <w:rFonts w:ascii="宋体" w:hAnsi="宋体"/>
              </w:rPr>
            </w:pPr>
          </w:p>
        </w:tc>
        <w:tc>
          <w:tcPr>
            <w:tcW w:w="1418" w:type="dxa"/>
            <w:tcBorders>
              <w:top w:val="double" w:sz="6" w:space="0" w:color="auto"/>
              <w:left w:val="single" w:sz="6" w:space="0" w:color="auto"/>
              <w:bottom w:val="single" w:sz="6" w:space="0" w:color="auto"/>
              <w:right w:val="single" w:sz="6" w:space="0" w:color="auto"/>
            </w:tcBorders>
            <w:vAlign w:val="center"/>
          </w:tcPr>
          <w:p w14:paraId="53DEA2DF">
            <w:pPr>
              <w:spacing w:line="360" w:lineRule="auto"/>
              <w:rPr>
                <w:rFonts w:ascii="宋体" w:hAnsi="宋体"/>
              </w:rPr>
            </w:pPr>
          </w:p>
        </w:tc>
        <w:tc>
          <w:tcPr>
            <w:tcW w:w="940" w:type="dxa"/>
            <w:tcBorders>
              <w:top w:val="double" w:sz="6" w:space="0" w:color="auto"/>
              <w:left w:val="single" w:sz="6" w:space="0" w:color="auto"/>
              <w:bottom w:val="single" w:sz="6" w:space="0" w:color="auto"/>
              <w:right w:val="single" w:sz="6" w:space="0" w:color="auto"/>
            </w:tcBorders>
            <w:vAlign w:val="center"/>
          </w:tcPr>
          <w:p w14:paraId="67D84580">
            <w:pPr>
              <w:spacing w:line="360" w:lineRule="auto"/>
              <w:rPr>
                <w:rFonts w:ascii="宋体" w:hAnsi="宋体"/>
              </w:rPr>
            </w:pPr>
          </w:p>
        </w:tc>
        <w:tc>
          <w:tcPr>
            <w:tcW w:w="851" w:type="dxa"/>
            <w:tcBorders>
              <w:top w:val="double" w:sz="6" w:space="0" w:color="auto"/>
              <w:left w:val="single" w:sz="6" w:space="0" w:color="auto"/>
              <w:bottom w:val="single" w:sz="6" w:space="0" w:color="auto"/>
              <w:right w:val="single" w:sz="6" w:space="0" w:color="auto"/>
            </w:tcBorders>
            <w:vAlign w:val="center"/>
          </w:tcPr>
          <w:p w14:paraId="18B3F4AA">
            <w:pPr>
              <w:spacing w:line="360" w:lineRule="auto"/>
              <w:rPr>
                <w:rFonts w:ascii="宋体" w:hAnsi="宋体"/>
              </w:rPr>
            </w:pPr>
          </w:p>
        </w:tc>
        <w:tc>
          <w:tcPr>
            <w:tcW w:w="1044" w:type="dxa"/>
            <w:tcBorders>
              <w:top w:val="double" w:sz="6" w:space="0" w:color="auto"/>
              <w:left w:val="single" w:sz="6" w:space="0" w:color="auto"/>
              <w:bottom w:val="single" w:sz="6" w:space="0" w:color="auto"/>
              <w:right w:val="single" w:sz="6" w:space="0" w:color="auto"/>
            </w:tcBorders>
            <w:vAlign w:val="center"/>
          </w:tcPr>
          <w:p w14:paraId="4580B4EF">
            <w:pPr>
              <w:spacing w:line="360" w:lineRule="auto"/>
              <w:rPr>
                <w:rFonts w:ascii="宋体" w:hAnsi="宋体"/>
              </w:rPr>
            </w:pPr>
          </w:p>
        </w:tc>
        <w:tc>
          <w:tcPr>
            <w:tcW w:w="992" w:type="dxa"/>
            <w:tcBorders>
              <w:top w:val="double" w:sz="6" w:space="0" w:color="auto"/>
              <w:left w:val="single" w:sz="6" w:space="0" w:color="auto"/>
              <w:bottom w:val="single" w:sz="6" w:space="0" w:color="auto"/>
              <w:right w:val="single" w:sz="6" w:space="0" w:color="auto"/>
            </w:tcBorders>
            <w:vAlign w:val="center"/>
          </w:tcPr>
          <w:p w14:paraId="07BFAB08">
            <w:pPr>
              <w:spacing w:line="360" w:lineRule="auto"/>
              <w:rPr>
                <w:rFonts w:ascii="宋体" w:hAnsi="宋体"/>
              </w:rPr>
            </w:pPr>
          </w:p>
        </w:tc>
        <w:tc>
          <w:tcPr>
            <w:tcW w:w="851" w:type="dxa"/>
            <w:tcBorders>
              <w:top w:val="double" w:sz="6" w:space="0" w:color="auto"/>
              <w:left w:val="single" w:sz="6" w:space="0" w:color="auto"/>
              <w:bottom w:val="single" w:sz="6" w:space="0" w:color="auto"/>
              <w:right w:val="single" w:sz="6" w:space="0" w:color="auto"/>
            </w:tcBorders>
            <w:vAlign w:val="center"/>
          </w:tcPr>
          <w:p w14:paraId="1736780F">
            <w:pPr>
              <w:spacing w:line="360" w:lineRule="auto"/>
              <w:rPr>
                <w:rFonts w:ascii="宋体" w:hAnsi="宋体"/>
              </w:rPr>
            </w:pPr>
          </w:p>
        </w:tc>
        <w:tc>
          <w:tcPr>
            <w:tcW w:w="1487" w:type="dxa"/>
            <w:tcBorders>
              <w:top w:val="double" w:sz="6" w:space="0" w:color="auto"/>
              <w:left w:val="single" w:sz="6" w:space="0" w:color="auto"/>
              <w:bottom w:val="single" w:sz="6" w:space="0" w:color="auto"/>
              <w:right w:val="single" w:sz="6" w:space="0" w:color="auto"/>
            </w:tcBorders>
            <w:vAlign w:val="center"/>
          </w:tcPr>
          <w:p w14:paraId="2E41131E">
            <w:pPr>
              <w:spacing w:line="360" w:lineRule="auto"/>
              <w:rPr>
                <w:rFonts w:ascii="宋体" w:hAnsi="宋体"/>
              </w:rPr>
            </w:pPr>
          </w:p>
        </w:tc>
        <w:tc>
          <w:tcPr>
            <w:tcW w:w="992" w:type="dxa"/>
            <w:tcBorders>
              <w:top w:val="double" w:sz="6" w:space="0" w:color="auto"/>
              <w:left w:val="single" w:sz="6" w:space="0" w:color="auto"/>
              <w:bottom w:val="single" w:sz="6" w:space="0" w:color="auto"/>
              <w:right w:val="single" w:sz="12" w:space="0" w:color="auto"/>
            </w:tcBorders>
            <w:vAlign w:val="center"/>
          </w:tcPr>
          <w:p w14:paraId="4ED4CB15">
            <w:pPr>
              <w:spacing w:line="360" w:lineRule="auto"/>
              <w:rPr>
                <w:rFonts w:ascii="宋体" w:hAnsi="宋体"/>
              </w:rPr>
            </w:pPr>
          </w:p>
        </w:tc>
      </w:tr>
      <w:tr w14:paraId="0727F6E5">
        <w:tblPrEx>
          <w:tblW w:w="0" w:type="auto"/>
          <w:jc w:val="center"/>
          <w:tblLayout w:type="fixed"/>
          <w:tblCellMar>
            <w:top w:w="0" w:type="dxa"/>
            <w:left w:w="28" w:type="dxa"/>
            <w:bottom w:w="0" w:type="dxa"/>
            <w:right w:w="28" w:type="dxa"/>
          </w:tblCellMar>
        </w:tblPrEx>
        <w:trPr>
          <w:trHeight w:val="567"/>
          <w:jc w:val="center"/>
        </w:trPr>
        <w:tc>
          <w:tcPr>
            <w:tcW w:w="851" w:type="dxa"/>
            <w:tcBorders>
              <w:top w:val="nil"/>
              <w:left w:val="single" w:sz="12" w:space="0" w:color="auto"/>
              <w:bottom w:val="single" w:sz="6" w:space="0" w:color="auto"/>
              <w:right w:val="single" w:sz="6" w:space="0" w:color="auto"/>
            </w:tcBorders>
            <w:vAlign w:val="center"/>
          </w:tcPr>
          <w:p w14:paraId="29FC4C59">
            <w:pPr>
              <w:spacing w:line="360" w:lineRule="auto"/>
              <w:rPr>
                <w:rFonts w:ascii="宋体" w:hAnsi="宋体"/>
              </w:rPr>
            </w:pPr>
          </w:p>
        </w:tc>
        <w:tc>
          <w:tcPr>
            <w:tcW w:w="1276" w:type="dxa"/>
            <w:tcBorders>
              <w:top w:val="nil"/>
              <w:left w:val="single" w:sz="6" w:space="0" w:color="auto"/>
              <w:bottom w:val="single" w:sz="6" w:space="0" w:color="auto"/>
              <w:right w:val="single" w:sz="6" w:space="0" w:color="auto"/>
            </w:tcBorders>
            <w:vAlign w:val="center"/>
          </w:tcPr>
          <w:p w14:paraId="34C86CC5">
            <w:pPr>
              <w:spacing w:line="360" w:lineRule="auto"/>
              <w:rPr>
                <w:rFonts w:ascii="宋体" w:hAnsi="宋体"/>
              </w:rPr>
            </w:pPr>
          </w:p>
        </w:tc>
        <w:tc>
          <w:tcPr>
            <w:tcW w:w="1418" w:type="dxa"/>
            <w:tcBorders>
              <w:top w:val="nil"/>
              <w:left w:val="single" w:sz="6" w:space="0" w:color="auto"/>
              <w:bottom w:val="single" w:sz="6" w:space="0" w:color="auto"/>
              <w:right w:val="single" w:sz="6" w:space="0" w:color="auto"/>
            </w:tcBorders>
            <w:vAlign w:val="center"/>
          </w:tcPr>
          <w:p w14:paraId="1CC7647C">
            <w:pPr>
              <w:spacing w:line="360" w:lineRule="auto"/>
              <w:rPr>
                <w:rFonts w:ascii="宋体" w:hAnsi="宋体"/>
              </w:rPr>
            </w:pPr>
          </w:p>
        </w:tc>
        <w:tc>
          <w:tcPr>
            <w:tcW w:w="940" w:type="dxa"/>
            <w:tcBorders>
              <w:top w:val="nil"/>
              <w:left w:val="single" w:sz="6" w:space="0" w:color="auto"/>
              <w:bottom w:val="single" w:sz="6" w:space="0" w:color="auto"/>
              <w:right w:val="single" w:sz="6" w:space="0" w:color="auto"/>
            </w:tcBorders>
            <w:vAlign w:val="center"/>
          </w:tcPr>
          <w:p w14:paraId="6D95FCAF">
            <w:pPr>
              <w:spacing w:line="360" w:lineRule="auto"/>
              <w:rPr>
                <w:rFonts w:ascii="宋体" w:hAnsi="宋体"/>
              </w:rPr>
            </w:pPr>
          </w:p>
        </w:tc>
        <w:tc>
          <w:tcPr>
            <w:tcW w:w="851" w:type="dxa"/>
            <w:tcBorders>
              <w:top w:val="nil"/>
              <w:left w:val="single" w:sz="6" w:space="0" w:color="auto"/>
              <w:bottom w:val="single" w:sz="6" w:space="0" w:color="auto"/>
              <w:right w:val="single" w:sz="6" w:space="0" w:color="auto"/>
            </w:tcBorders>
            <w:vAlign w:val="center"/>
          </w:tcPr>
          <w:p w14:paraId="44C1779D">
            <w:pPr>
              <w:spacing w:line="360" w:lineRule="auto"/>
              <w:rPr>
                <w:rFonts w:ascii="宋体" w:hAnsi="宋体"/>
              </w:rPr>
            </w:pPr>
          </w:p>
        </w:tc>
        <w:tc>
          <w:tcPr>
            <w:tcW w:w="1044" w:type="dxa"/>
            <w:tcBorders>
              <w:top w:val="nil"/>
              <w:left w:val="single" w:sz="6" w:space="0" w:color="auto"/>
              <w:bottom w:val="single" w:sz="6" w:space="0" w:color="auto"/>
              <w:right w:val="single" w:sz="6" w:space="0" w:color="auto"/>
            </w:tcBorders>
            <w:vAlign w:val="center"/>
          </w:tcPr>
          <w:p w14:paraId="5B256527">
            <w:pPr>
              <w:spacing w:line="360" w:lineRule="auto"/>
              <w:rPr>
                <w:rFonts w:ascii="宋体" w:hAnsi="宋体"/>
              </w:rPr>
            </w:pPr>
          </w:p>
        </w:tc>
        <w:tc>
          <w:tcPr>
            <w:tcW w:w="992" w:type="dxa"/>
            <w:tcBorders>
              <w:top w:val="nil"/>
              <w:left w:val="single" w:sz="6" w:space="0" w:color="auto"/>
              <w:bottom w:val="single" w:sz="6" w:space="0" w:color="auto"/>
              <w:right w:val="single" w:sz="6" w:space="0" w:color="auto"/>
            </w:tcBorders>
            <w:vAlign w:val="center"/>
          </w:tcPr>
          <w:p w14:paraId="1F75BDAB">
            <w:pPr>
              <w:spacing w:line="360" w:lineRule="auto"/>
              <w:rPr>
                <w:rFonts w:ascii="宋体" w:hAnsi="宋体"/>
              </w:rPr>
            </w:pPr>
          </w:p>
        </w:tc>
        <w:tc>
          <w:tcPr>
            <w:tcW w:w="851" w:type="dxa"/>
            <w:tcBorders>
              <w:top w:val="nil"/>
              <w:left w:val="single" w:sz="6" w:space="0" w:color="auto"/>
              <w:bottom w:val="single" w:sz="6" w:space="0" w:color="auto"/>
              <w:right w:val="single" w:sz="6" w:space="0" w:color="auto"/>
            </w:tcBorders>
            <w:vAlign w:val="center"/>
          </w:tcPr>
          <w:p w14:paraId="5EFFE012">
            <w:pPr>
              <w:spacing w:line="360" w:lineRule="auto"/>
              <w:rPr>
                <w:rFonts w:ascii="宋体" w:hAnsi="宋体"/>
              </w:rPr>
            </w:pPr>
          </w:p>
        </w:tc>
        <w:tc>
          <w:tcPr>
            <w:tcW w:w="1487" w:type="dxa"/>
            <w:tcBorders>
              <w:top w:val="nil"/>
              <w:left w:val="single" w:sz="6" w:space="0" w:color="auto"/>
              <w:bottom w:val="single" w:sz="6" w:space="0" w:color="auto"/>
              <w:right w:val="single" w:sz="6" w:space="0" w:color="auto"/>
            </w:tcBorders>
            <w:vAlign w:val="center"/>
          </w:tcPr>
          <w:p w14:paraId="6A4E51C3">
            <w:pPr>
              <w:spacing w:line="360" w:lineRule="auto"/>
              <w:rPr>
                <w:rFonts w:ascii="宋体" w:hAnsi="宋体"/>
              </w:rPr>
            </w:pPr>
          </w:p>
        </w:tc>
        <w:tc>
          <w:tcPr>
            <w:tcW w:w="992" w:type="dxa"/>
            <w:tcBorders>
              <w:top w:val="nil"/>
              <w:left w:val="single" w:sz="6" w:space="0" w:color="auto"/>
              <w:bottom w:val="single" w:sz="6" w:space="0" w:color="auto"/>
              <w:right w:val="single" w:sz="12" w:space="0" w:color="auto"/>
            </w:tcBorders>
            <w:vAlign w:val="center"/>
          </w:tcPr>
          <w:p w14:paraId="746C2C98">
            <w:pPr>
              <w:spacing w:line="360" w:lineRule="auto"/>
              <w:rPr>
                <w:rFonts w:ascii="宋体" w:hAnsi="宋体"/>
              </w:rPr>
            </w:pPr>
          </w:p>
        </w:tc>
      </w:tr>
      <w:tr w14:paraId="24EAD547">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1EC9A8BE">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352D0ABB">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272C3F6F">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07CE4BED">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44648EB9">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1557DBE8">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4F7A9A94">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3A83A9BC">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6CF5768C">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50EB52AE">
            <w:pPr>
              <w:spacing w:line="360" w:lineRule="auto"/>
              <w:rPr>
                <w:rFonts w:ascii="宋体" w:hAnsi="宋体"/>
              </w:rPr>
            </w:pPr>
          </w:p>
        </w:tc>
      </w:tr>
      <w:tr w14:paraId="3CBCF449">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721F3877">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76925E0A">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17C22EBF">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1E4F036D">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2ECA0E4D">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44871DA3">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2C0C0305">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36565B6D">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4872E491">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2664C7F7">
            <w:pPr>
              <w:spacing w:line="360" w:lineRule="auto"/>
              <w:rPr>
                <w:rFonts w:ascii="宋体" w:hAnsi="宋体"/>
              </w:rPr>
            </w:pPr>
          </w:p>
        </w:tc>
      </w:tr>
      <w:tr w14:paraId="6A61CFBD">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325CF0AD">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6EE32C3A">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624B596A">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0D70BB4B">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6D208544">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7B1E4B9E">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41AA0E5F">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57B0A1F3">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1BDEEF85">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12943E1D">
            <w:pPr>
              <w:spacing w:line="360" w:lineRule="auto"/>
              <w:rPr>
                <w:rFonts w:ascii="宋体" w:hAnsi="宋体"/>
              </w:rPr>
            </w:pPr>
          </w:p>
        </w:tc>
      </w:tr>
      <w:tr w14:paraId="53B3F6DF">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77770689">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06D5B473">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5272F1AB">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34C2E8D0">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1B45E7EC">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16A0E862">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4EAA825E">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0FD3C62E">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7C31B162">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0943383B">
            <w:pPr>
              <w:spacing w:line="360" w:lineRule="auto"/>
              <w:rPr>
                <w:rFonts w:ascii="宋体" w:hAnsi="宋体"/>
              </w:rPr>
            </w:pPr>
          </w:p>
        </w:tc>
      </w:tr>
      <w:tr w14:paraId="7E82397A">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0EC86DCC">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0326B553">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6F9C6392">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01C6951B">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0BFC97E9">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1E16925B">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05C0F175">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57ACDDD6">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7EACDFD8">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3A7AB4A0">
            <w:pPr>
              <w:spacing w:line="360" w:lineRule="auto"/>
              <w:rPr>
                <w:rFonts w:ascii="宋体" w:hAnsi="宋体"/>
              </w:rPr>
            </w:pPr>
          </w:p>
        </w:tc>
      </w:tr>
      <w:tr w14:paraId="186DBCA3">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26F17015">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267F489E">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09AF9B63">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063F109E">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3ADFF5FD">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0AC6A72E">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4F6EE767">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46E0EE73">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03CCA333">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1850D4D5">
            <w:pPr>
              <w:spacing w:line="360" w:lineRule="auto"/>
              <w:rPr>
                <w:rFonts w:ascii="宋体" w:hAnsi="宋体"/>
              </w:rPr>
            </w:pPr>
          </w:p>
        </w:tc>
      </w:tr>
      <w:tr w14:paraId="114E771B">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1DD0D123">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43F7610D">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1610EC0A">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72E5CD6C">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0315FE8B">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6702FBB6">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168077C6">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394DFAC1">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5CC94060">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131A184B">
            <w:pPr>
              <w:spacing w:line="360" w:lineRule="auto"/>
              <w:rPr>
                <w:rFonts w:ascii="宋体" w:hAnsi="宋体"/>
              </w:rPr>
            </w:pPr>
          </w:p>
        </w:tc>
      </w:tr>
      <w:tr w14:paraId="6F3BE390">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194B0DA9">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26A55F8D">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3515093C">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23CD673C">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2F4D6EB2">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21887C71">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46D41C24">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477E9629">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7F9A7B6D">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6877ABB5">
            <w:pPr>
              <w:spacing w:line="360" w:lineRule="auto"/>
              <w:rPr>
                <w:rFonts w:ascii="宋体" w:hAnsi="宋体"/>
              </w:rPr>
            </w:pPr>
          </w:p>
        </w:tc>
      </w:tr>
      <w:tr w14:paraId="13591157">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28129240">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6F45B0CD">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725C8906">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72F835D2">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27240940">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37B6C95A">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7E51E283">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69C08677">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3D56D923">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2DE50256">
            <w:pPr>
              <w:spacing w:line="360" w:lineRule="auto"/>
              <w:rPr>
                <w:rFonts w:ascii="宋体" w:hAnsi="宋体"/>
              </w:rPr>
            </w:pPr>
          </w:p>
        </w:tc>
      </w:tr>
      <w:tr w14:paraId="2F25E98B">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28F9E304">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52C6BC81">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30580F69">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26F2E109">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3A66EFFE">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7F2FDA6E">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0B1E3050">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4E61FB3B">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4DE44339">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5606F367">
            <w:pPr>
              <w:spacing w:line="360" w:lineRule="auto"/>
              <w:rPr>
                <w:rFonts w:ascii="宋体" w:hAnsi="宋体"/>
              </w:rPr>
            </w:pPr>
          </w:p>
        </w:tc>
      </w:tr>
      <w:tr w14:paraId="37387FFF">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43BF6E77">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212ACFD3">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5D391367">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2239E9A1">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28EA9C73">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2C00ACF8">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526E2156">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6AE99F1F">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01BA4E2B">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4D469728">
            <w:pPr>
              <w:spacing w:line="360" w:lineRule="auto"/>
              <w:rPr>
                <w:rFonts w:ascii="宋体" w:hAnsi="宋体"/>
              </w:rPr>
            </w:pPr>
          </w:p>
        </w:tc>
      </w:tr>
      <w:tr w14:paraId="43AF9FA0">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70E729EE">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09930F14">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5C351609">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12A868AE">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49C27D08">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023F6323">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6CE0591D">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252183B1">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7D7FDBC6">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23CA1A83">
            <w:pPr>
              <w:spacing w:line="360" w:lineRule="auto"/>
              <w:rPr>
                <w:rFonts w:ascii="宋体" w:hAnsi="宋体"/>
              </w:rPr>
            </w:pPr>
          </w:p>
        </w:tc>
      </w:tr>
      <w:tr w14:paraId="1755AE1E">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558BE98B">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3304E270">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5BF7C4CD">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005A33C6">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5638BFA9">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23E1A213">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5F404C25">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7BBE7CDF">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3B1BCAC7">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31C6CA9D">
            <w:pPr>
              <w:spacing w:line="360" w:lineRule="auto"/>
              <w:rPr>
                <w:rFonts w:ascii="宋体" w:hAnsi="宋体"/>
              </w:rPr>
            </w:pPr>
          </w:p>
        </w:tc>
      </w:tr>
      <w:tr w14:paraId="74113F1C">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39C23C3B">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1C53D4A3">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432388DA">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2A3E9844">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1A398050">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66AFA3E0">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31F7B43B">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35B91AB9">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70F3F30B">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0C8EB0A6">
            <w:pPr>
              <w:spacing w:line="360" w:lineRule="auto"/>
              <w:rPr>
                <w:rFonts w:ascii="宋体" w:hAnsi="宋体"/>
              </w:rPr>
            </w:pPr>
          </w:p>
        </w:tc>
      </w:tr>
      <w:tr w14:paraId="317FA981">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6" w:space="0" w:color="auto"/>
              <w:right w:val="single" w:sz="6" w:space="0" w:color="auto"/>
            </w:tcBorders>
            <w:vAlign w:val="center"/>
          </w:tcPr>
          <w:p w14:paraId="7B3E57A0">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660BD696">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591A255B">
            <w:pPr>
              <w:spacing w:line="360" w:lineRule="auto"/>
              <w:rPr>
                <w:rFonts w:ascii="宋体" w:hAnsi="宋体"/>
              </w:rPr>
            </w:pPr>
          </w:p>
        </w:tc>
        <w:tc>
          <w:tcPr>
            <w:tcW w:w="940" w:type="dxa"/>
            <w:tcBorders>
              <w:top w:val="single" w:sz="6" w:space="0" w:color="auto"/>
              <w:left w:val="single" w:sz="6" w:space="0" w:color="auto"/>
              <w:bottom w:val="single" w:sz="6" w:space="0" w:color="auto"/>
              <w:right w:val="single" w:sz="6" w:space="0" w:color="auto"/>
            </w:tcBorders>
            <w:vAlign w:val="center"/>
          </w:tcPr>
          <w:p w14:paraId="0DBCAFD3">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6F7FB4BD">
            <w:pPr>
              <w:spacing w:line="360" w:lineRule="auto"/>
              <w:rPr>
                <w:rFonts w:ascii="宋体" w:hAnsi="宋体"/>
              </w:rPr>
            </w:pPr>
          </w:p>
        </w:tc>
        <w:tc>
          <w:tcPr>
            <w:tcW w:w="1044" w:type="dxa"/>
            <w:tcBorders>
              <w:top w:val="single" w:sz="6" w:space="0" w:color="auto"/>
              <w:left w:val="single" w:sz="6" w:space="0" w:color="auto"/>
              <w:bottom w:val="single" w:sz="6" w:space="0" w:color="auto"/>
              <w:right w:val="single" w:sz="6" w:space="0" w:color="auto"/>
            </w:tcBorders>
            <w:vAlign w:val="center"/>
          </w:tcPr>
          <w:p w14:paraId="5C755383">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6" w:space="0" w:color="auto"/>
            </w:tcBorders>
            <w:vAlign w:val="center"/>
          </w:tcPr>
          <w:p w14:paraId="22BB7782">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5CB4DC2D">
            <w:pPr>
              <w:spacing w:line="360" w:lineRule="auto"/>
              <w:rPr>
                <w:rFonts w:ascii="宋体" w:hAnsi="宋体"/>
              </w:rPr>
            </w:pPr>
          </w:p>
        </w:tc>
        <w:tc>
          <w:tcPr>
            <w:tcW w:w="1487" w:type="dxa"/>
            <w:tcBorders>
              <w:top w:val="single" w:sz="6" w:space="0" w:color="auto"/>
              <w:left w:val="single" w:sz="6" w:space="0" w:color="auto"/>
              <w:bottom w:val="single" w:sz="6" w:space="0" w:color="auto"/>
              <w:right w:val="single" w:sz="6" w:space="0" w:color="auto"/>
            </w:tcBorders>
            <w:vAlign w:val="center"/>
          </w:tcPr>
          <w:p w14:paraId="6E8E30AB">
            <w:pPr>
              <w:spacing w:line="360" w:lineRule="auto"/>
              <w:rPr>
                <w:rFonts w:ascii="宋体" w:hAnsi="宋体"/>
              </w:rPr>
            </w:pPr>
          </w:p>
        </w:tc>
        <w:tc>
          <w:tcPr>
            <w:tcW w:w="992" w:type="dxa"/>
            <w:tcBorders>
              <w:top w:val="single" w:sz="6" w:space="0" w:color="auto"/>
              <w:left w:val="single" w:sz="6" w:space="0" w:color="auto"/>
              <w:bottom w:val="single" w:sz="6" w:space="0" w:color="auto"/>
              <w:right w:val="single" w:sz="12" w:space="0" w:color="auto"/>
            </w:tcBorders>
            <w:vAlign w:val="center"/>
          </w:tcPr>
          <w:p w14:paraId="539FD540">
            <w:pPr>
              <w:spacing w:line="360" w:lineRule="auto"/>
              <w:rPr>
                <w:rFonts w:ascii="宋体" w:hAnsi="宋体"/>
              </w:rPr>
            </w:pPr>
          </w:p>
        </w:tc>
      </w:tr>
      <w:tr w14:paraId="16A384F1">
        <w:tblPrEx>
          <w:tblW w:w="0" w:type="auto"/>
          <w:jc w:val="center"/>
          <w:tblLayout w:type="fixed"/>
          <w:tblCellMar>
            <w:top w:w="0" w:type="dxa"/>
            <w:left w:w="28" w:type="dxa"/>
            <w:bottom w:w="0" w:type="dxa"/>
            <w:right w:w="28" w:type="dxa"/>
          </w:tblCellMar>
        </w:tblPrEx>
        <w:trPr>
          <w:trHeight w:val="567"/>
          <w:jc w:val="center"/>
        </w:trPr>
        <w:tc>
          <w:tcPr>
            <w:tcW w:w="851" w:type="dxa"/>
            <w:tcBorders>
              <w:top w:val="single" w:sz="6" w:space="0" w:color="auto"/>
              <w:left w:val="single" w:sz="12" w:space="0" w:color="auto"/>
              <w:bottom w:val="single" w:sz="12" w:space="0" w:color="auto"/>
              <w:right w:val="single" w:sz="6" w:space="0" w:color="auto"/>
            </w:tcBorders>
            <w:vAlign w:val="center"/>
          </w:tcPr>
          <w:p w14:paraId="497D5B06">
            <w:pPr>
              <w:spacing w:line="360" w:lineRule="auto"/>
              <w:rPr>
                <w:rFonts w:ascii="宋体" w:hAnsi="宋体"/>
              </w:rPr>
            </w:pPr>
          </w:p>
        </w:tc>
        <w:tc>
          <w:tcPr>
            <w:tcW w:w="1276" w:type="dxa"/>
            <w:tcBorders>
              <w:top w:val="single" w:sz="6" w:space="0" w:color="auto"/>
              <w:left w:val="single" w:sz="6" w:space="0" w:color="auto"/>
              <w:bottom w:val="single" w:sz="12" w:space="0" w:color="auto"/>
              <w:right w:val="single" w:sz="6" w:space="0" w:color="auto"/>
            </w:tcBorders>
            <w:vAlign w:val="center"/>
          </w:tcPr>
          <w:p w14:paraId="51407DC8">
            <w:pPr>
              <w:spacing w:line="360" w:lineRule="auto"/>
              <w:rPr>
                <w:rFonts w:ascii="宋体" w:hAnsi="宋体"/>
              </w:rPr>
            </w:pPr>
          </w:p>
        </w:tc>
        <w:tc>
          <w:tcPr>
            <w:tcW w:w="1418" w:type="dxa"/>
            <w:tcBorders>
              <w:top w:val="single" w:sz="6" w:space="0" w:color="auto"/>
              <w:left w:val="single" w:sz="6" w:space="0" w:color="auto"/>
              <w:bottom w:val="single" w:sz="12" w:space="0" w:color="auto"/>
              <w:right w:val="single" w:sz="6" w:space="0" w:color="auto"/>
            </w:tcBorders>
            <w:vAlign w:val="center"/>
          </w:tcPr>
          <w:p w14:paraId="1A7D7F2B">
            <w:pPr>
              <w:spacing w:line="360" w:lineRule="auto"/>
              <w:rPr>
                <w:rFonts w:ascii="宋体" w:hAnsi="宋体"/>
              </w:rPr>
            </w:pPr>
          </w:p>
        </w:tc>
        <w:tc>
          <w:tcPr>
            <w:tcW w:w="940" w:type="dxa"/>
            <w:tcBorders>
              <w:top w:val="single" w:sz="6" w:space="0" w:color="auto"/>
              <w:left w:val="single" w:sz="6" w:space="0" w:color="auto"/>
              <w:bottom w:val="single" w:sz="12" w:space="0" w:color="auto"/>
              <w:right w:val="single" w:sz="6" w:space="0" w:color="auto"/>
            </w:tcBorders>
            <w:vAlign w:val="center"/>
          </w:tcPr>
          <w:p w14:paraId="20A99A6A">
            <w:pPr>
              <w:spacing w:line="360" w:lineRule="auto"/>
              <w:rPr>
                <w:rFonts w:ascii="宋体" w:hAnsi="宋体"/>
              </w:rPr>
            </w:pPr>
          </w:p>
        </w:tc>
        <w:tc>
          <w:tcPr>
            <w:tcW w:w="851" w:type="dxa"/>
            <w:tcBorders>
              <w:top w:val="single" w:sz="6" w:space="0" w:color="auto"/>
              <w:left w:val="single" w:sz="6" w:space="0" w:color="auto"/>
              <w:bottom w:val="single" w:sz="12" w:space="0" w:color="auto"/>
              <w:right w:val="single" w:sz="6" w:space="0" w:color="auto"/>
            </w:tcBorders>
            <w:vAlign w:val="center"/>
          </w:tcPr>
          <w:p w14:paraId="5E3222CF">
            <w:pPr>
              <w:spacing w:line="360" w:lineRule="auto"/>
              <w:rPr>
                <w:rFonts w:ascii="宋体" w:hAnsi="宋体"/>
              </w:rPr>
            </w:pPr>
          </w:p>
        </w:tc>
        <w:tc>
          <w:tcPr>
            <w:tcW w:w="1044" w:type="dxa"/>
            <w:tcBorders>
              <w:top w:val="single" w:sz="6" w:space="0" w:color="auto"/>
              <w:left w:val="single" w:sz="6" w:space="0" w:color="auto"/>
              <w:bottom w:val="single" w:sz="12" w:space="0" w:color="auto"/>
              <w:right w:val="single" w:sz="6" w:space="0" w:color="auto"/>
            </w:tcBorders>
            <w:vAlign w:val="center"/>
          </w:tcPr>
          <w:p w14:paraId="4C01E24F">
            <w:pPr>
              <w:spacing w:line="360" w:lineRule="auto"/>
              <w:rPr>
                <w:rFonts w:ascii="宋体" w:hAnsi="宋体"/>
              </w:rPr>
            </w:pPr>
          </w:p>
        </w:tc>
        <w:tc>
          <w:tcPr>
            <w:tcW w:w="992" w:type="dxa"/>
            <w:tcBorders>
              <w:top w:val="single" w:sz="6" w:space="0" w:color="auto"/>
              <w:left w:val="single" w:sz="6" w:space="0" w:color="auto"/>
              <w:bottom w:val="single" w:sz="12" w:space="0" w:color="auto"/>
              <w:right w:val="single" w:sz="6" w:space="0" w:color="auto"/>
            </w:tcBorders>
            <w:vAlign w:val="center"/>
          </w:tcPr>
          <w:p w14:paraId="524CF690">
            <w:pPr>
              <w:spacing w:line="360" w:lineRule="auto"/>
              <w:rPr>
                <w:rFonts w:ascii="宋体" w:hAnsi="宋体"/>
              </w:rPr>
            </w:pPr>
          </w:p>
        </w:tc>
        <w:tc>
          <w:tcPr>
            <w:tcW w:w="851" w:type="dxa"/>
            <w:tcBorders>
              <w:top w:val="single" w:sz="6" w:space="0" w:color="auto"/>
              <w:left w:val="single" w:sz="6" w:space="0" w:color="auto"/>
              <w:bottom w:val="single" w:sz="12" w:space="0" w:color="auto"/>
              <w:right w:val="single" w:sz="6" w:space="0" w:color="auto"/>
            </w:tcBorders>
            <w:vAlign w:val="center"/>
          </w:tcPr>
          <w:p w14:paraId="2E8B481C">
            <w:pPr>
              <w:spacing w:line="360" w:lineRule="auto"/>
              <w:rPr>
                <w:rFonts w:ascii="宋体" w:hAnsi="宋体"/>
              </w:rPr>
            </w:pPr>
          </w:p>
        </w:tc>
        <w:tc>
          <w:tcPr>
            <w:tcW w:w="1487" w:type="dxa"/>
            <w:tcBorders>
              <w:top w:val="single" w:sz="6" w:space="0" w:color="auto"/>
              <w:left w:val="single" w:sz="6" w:space="0" w:color="auto"/>
              <w:bottom w:val="single" w:sz="12" w:space="0" w:color="auto"/>
              <w:right w:val="single" w:sz="6" w:space="0" w:color="auto"/>
            </w:tcBorders>
            <w:vAlign w:val="center"/>
          </w:tcPr>
          <w:p w14:paraId="75B7A215">
            <w:pPr>
              <w:spacing w:line="360" w:lineRule="auto"/>
              <w:rPr>
                <w:rFonts w:ascii="宋体" w:hAnsi="宋体"/>
              </w:rPr>
            </w:pPr>
          </w:p>
        </w:tc>
        <w:tc>
          <w:tcPr>
            <w:tcW w:w="992" w:type="dxa"/>
            <w:tcBorders>
              <w:top w:val="single" w:sz="6" w:space="0" w:color="auto"/>
              <w:left w:val="single" w:sz="6" w:space="0" w:color="auto"/>
              <w:bottom w:val="single" w:sz="12" w:space="0" w:color="auto"/>
              <w:right w:val="single" w:sz="12" w:space="0" w:color="auto"/>
            </w:tcBorders>
            <w:vAlign w:val="center"/>
          </w:tcPr>
          <w:p w14:paraId="42B94CDA">
            <w:pPr>
              <w:spacing w:line="360" w:lineRule="auto"/>
              <w:rPr>
                <w:rFonts w:ascii="宋体" w:hAnsi="宋体"/>
              </w:rPr>
            </w:pPr>
          </w:p>
        </w:tc>
      </w:tr>
    </w:tbl>
    <w:p w14:paraId="7A425914">
      <w:pPr>
        <w:spacing w:line="360" w:lineRule="auto"/>
        <w:rPr>
          <w:rFonts w:ascii="宋体" w:hAnsi="宋体"/>
          <w:kern w:val="2"/>
        </w:rPr>
      </w:pPr>
    </w:p>
    <w:p w14:paraId="1BD35B26">
      <w:pPr>
        <w:rPr>
          <w:rFonts w:ascii="宋体" w:hAnsi="宋体"/>
        </w:rPr>
      </w:pPr>
      <w:r>
        <w:rPr>
          <w:rFonts w:ascii="宋体" w:hAnsi="宋体" w:hint="eastAsia"/>
        </w:rPr>
        <w:br w:type="page"/>
      </w:r>
    </w:p>
    <w:p w14:paraId="772FC3FF">
      <w:pPr>
        <w:spacing w:line="360" w:lineRule="auto"/>
        <w:rPr>
          <w:rFonts w:ascii="宋体" w:hAnsi="宋体"/>
        </w:rPr>
      </w:pPr>
    </w:p>
    <w:p w14:paraId="6F804DDC">
      <w:pPr>
        <w:spacing w:line="360" w:lineRule="auto"/>
        <w:rPr>
          <w:rFonts w:ascii="宋体" w:hAnsi="宋体"/>
        </w:rPr>
      </w:pPr>
      <w:r>
        <w:rPr>
          <w:rFonts w:ascii="宋体" w:hAnsi="宋体" w:hint="eastAsia"/>
        </w:rPr>
        <w:t>附</w:t>
      </w:r>
      <w:bookmarkStart w:id="1076" w:name="_Toc296891266"/>
      <w:bookmarkStart w:id="1077" w:name="_Toc296891054"/>
      <w:bookmarkStart w:id="1078" w:name="_Toc296944565"/>
      <w:bookmarkStart w:id="1079" w:name="_Toc296347225"/>
      <w:bookmarkStart w:id="1080" w:name="_Toc296346727"/>
      <w:bookmarkStart w:id="1081" w:name="_Toc267261693"/>
      <w:bookmarkStart w:id="1082" w:name="_Toc296503226"/>
      <w:r>
        <w:rPr>
          <w:rFonts w:ascii="宋体" w:hAnsi="宋体" w:hint="eastAsia"/>
        </w:rPr>
        <w:t>件3：</w:t>
      </w:r>
      <w:bookmarkEnd w:id="1076"/>
      <w:bookmarkEnd w:id="1077"/>
      <w:bookmarkEnd w:id="1078"/>
      <w:bookmarkEnd w:id="1079"/>
      <w:bookmarkEnd w:id="1080"/>
      <w:bookmarkEnd w:id="1081"/>
      <w:bookmarkEnd w:id="1082"/>
      <w:r>
        <w:rPr>
          <w:rFonts w:ascii="宋体" w:hAnsi="宋体" w:hint="eastAsia"/>
        </w:rPr>
        <w:t xml:space="preserve">    </w:t>
      </w:r>
    </w:p>
    <w:p w14:paraId="239D38AB">
      <w:pPr>
        <w:spacing w:line="360" w:lineRule="auto"/>
        <w:jc w:val="center"/>
        <w:rPr>
          <w:rFonts w:ascii="宋体" w:hAnsi="宋体"/>
          <w:b/>
        </w:rPr>
      </w:pPr>
      <w:r>
        <w:rPr>
          <w:rFonts w:ascii="宋体" w:hAnsi="宋体" w:hint="eastAsia"/>
          <w:b/>
        </w:rPr>
        <w:t>工程质量保修书</w:t>
      </w:r>
    </w:p>
    <w:p w14:paraId="47A597D4">
      <w:pPr>
        <w:spacing w:line="360" w:lineRule="auto"/>
        <w:jc w:val="center"/>
        <w:rPr>
          <w:rFonts w:ascii="宋体" w:hAnsi="宋体"/>
          <w:b/>
        </w:rPr>
      </w:pPr>
    </w:p>
    <w:p w14:paraId="0C8E8786">
      <w:pPr>
        <w:spacing w:line="360" w:lineRule="auto"/>
        <w:rPr>
          <w:rFonts w:ascii="宋体" w:hAnsi="宋体"/>
        </w:rPr>
      </w:pPr>
      <w:r>
        <w:rPr>
          <w:rFonts w:ascii="宋体" w:hAnsi="宋体" w:hint="eastAsia"/>
        </w:rPr>
        <w:t>发包人（全称）：</w:t>
      </w:r>
      <w:r>
        <w:rPr>
          <w:rFonts w:ascii="宋体" w:hAnsi="宋体" w:hint="eastAsia"/>
          <w:u w:val="single"/>
        </w:rPr>
        <w:t xml:space="preserve">                                </w:t>
      </w:r>
      <w:r>
        <w:rPr>
          <w:rFonts w:ascii="宋体" w:hAnsi="宋体" w:hint="eastAsia"/>
        </w:rPr>
        <w:t xml:space="preserve"> </w:t>
      </w:r>
    </w:p>
    <w:p w14:paraId="6C5FE982">
      <w:pPr>
        <w:spacing w:line="360" w:lineRule="auto"/>
        <w:rPr>
          <w:rFonts w:ascii="宋体" w:hAnsi="宋体"/>
        </w:rPr>
      </w:pPr>
      <w:r>
        <w:rPr>
          <w:rFonts w:ascii="宋体" w:hAnsi="宋体" w:hint="eastAsia"/>
        </w:rPr>
        <w:t>承包人（全称）：</w:t>
      </w:r>
      <w:r>
        <w:rPr>
          <w:rFonts w:ascii="宋体" w:hAnsi="宋体" w:hint="eastAsia"/>
          <w:u w:val="single"/>
        </w:rPr>
        <w:t xml:space="preserve">                                </w:t>
      </w:r>
      <w:r>
        <w:rPr>
          <w:rFonts w:ascii="宋体" w:hAnsi="宋体" w:hint="eastAsia"/>
        </w:rPr>
        <w:t xml:space="preserve"> </w:t>
      </w:r>
    </w:p>
    <w:p w14:paraId="3F87C6AC">
      <w:pPr>
        <w:spacing w:line="360" w:lineRule="auto"/>
        <w:rPr>
          <w:rFonts w:ascii="宋体" w:hAnsi="宋体"/>
        </w:rPr>
      </w:pPr>
    </w:p>
    <w:p w14:paraId="59AA7057">
      <w:pPr>
        <w:spacing w:line="360" w:lineRule="auto"/>
        <w:rPr>
          <w:rFonts w:ascii="宋体" w:hAnsi="宋体"/>
          <w:lang w:eastAsia="zh-CN"/>
        </w:rPr>
      </w:pPr>
      <w:r>
        <w:rPr>
          <w:rFonts w:ascii="宋体" w:hAnsi="宋体" w:hint="eastAsia"/>
          <w:lang w:eastAsia="zh-CN"/>
        </w:rPr>
        <w:t>　　发包人和承包人根据《中华人民共和国建筑法》和《建设工程质量管理条例》，经协商一致就</w:t>
      </w:r>
      <w:r>
        <w:rPr>
          <w:rFonts w:ascii="宋体" w:hAnsi="宋体" w:hint="eastAsia"/>
          <w:u w:val="single"/>
          <w:lang w:eastAsia="zh-CN"/>
        </w:rPr>
        <w:t xml:space="preserve">                </w:t>
      </w:r>
      <w:r>
        <w:rPr>
          <w:rFonts w:ascii="宋体" w:hAnsi="宋体" w:hint="eastAsia"/>
          <w:lang w:eastAsia="zh-CN"/>
        </w:rPr>
        <w:t>（工程全称）签订工程质量保修书。</w:t>
      </w:r>
    </w:p>
    <w:p w14:paraId="2E0CF5C1">
      <w:pPr>
        <w:spacing w:line="360" w:lineRule="auto"/>
        <w:rPr>
          <w:rFonts w:ascii="宋体" w:hAnsi="宋体"/>
          <w:lang w:eastAsia="zh-CN"/>
        </w:rPr>
      </w:pPr>
      <w:r>
        <w:rPr>
          <w:rFonts w:ascii="宋体" w:hAnsi="宋体" w:hint="eastAsia"/>
          <w:lang w:eastAsia="zh-CN"/>
        </w:rPr>
        <w:t>　　一、工程质量保修范围和内容</w:t>
      </w:r>
    </w:p>
    <w:p w14:paraId="54F98A9E">
      <w:pPr>
        <w:spacing w:line="360" w:lineRule="auto"/>
        <w:rPr>
          <w:rFonts w:ascii="宋体" w:hAnsi="宋体"/>
          <w:lang w:eastAsia="zh-CN"/>
        </w:rPr>
      </w:pPr>
      <w:r>
        <w:rPr>
          <w:rFonts w:ascii="宋体" w:hAnsi="宋体" w:hint="eastAsia"/>
          <w:lang w:eastAsia="zh-CN"/>
        </w:rPr>
        <w:t>　　承包人在质量保修期内，按照有关法律规定和合同约定，承担工程质量保修责任。</w:t>
      </w:r>
    </w:p>
    <w:p w14:paraId="1D844E34">
      <w:pPr>
        <w:spacing w:line="360" w:lineRule="auto"/>
        <w:rPr>
          <w:rFonts w:ascii="宋体" w:hAnsi="宋体"/>
          <w:lang w:eastAsia="zh-CN"/>
        </w:rPr>
      </w:pPr>
      <w:r>
        <w:rPr>
          <w:rFonts w:ascii="宋体" w:hAnsi="宋体" w:hint="eastAsia"/>
          <w:lang w:eastAsia="zh-CN"/>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27A6245">
      <w:pPr>
        <w:spacing w:line="360" w:lineRule="auto"/>
        <w:rPr>
          <w:rFonts w:ascii="宋体" w:hAnsi="宋体"/>
          <w:lang w:eastAsia="zh-CN"/>
        </w:rPr>
      </w:pPr>
      <w:r>
        <w:rPr>
          <w:rFonts w:ascii="宋体" w:hAnsi="宋体" w:hint="eastAsia"/>
          <w:lang w:eastAsia="zh-CN"/>
        </w:rPr>
        <w:t>　　</w:t>
      </w:r>
      <w:r>
        <w:rPr>
          <w:rFonts w:ascii="宋体" w:hAnsi="宋体" w:hint="eastAsia"/>
          <w:u w:val="single"/>
          <w:lang w:eastAsia="zh-CN"/>
        </w:rPr>
        <w:t xml:space="preserve">                                                                                                                                                                         </w:t>
      </w:r>
      <w:r>
        <w:rPr>
          <w:rFonts w:ascii="宋体" w:hAnsi="宋体" w:hint="eastAsia"/>
          <w:lang w:eastAsia="zh-CN"/>
        </w:rPr>
        <w:t>。</w:t>
      </w:r>
    </w:p>
    <w:p w14:paraId="1C5B3D74">
      <w:pPr>
        <w:spacing w:line="360" w:lineRule="auto"/>
        <w:rPr>
          <w:rFonts w:ascii="宋体" w:hAnsi="宋体"/>
          <w:lang w:eastAsia="zh-CN"/>
        </w:rPr>
      </w:pPr>
      <w:r>
        <w:rPr>
          <w:rFonts w:ascii="宋体" w:hAnsi="宋体" w:hint="eastAsia"/>
          <w:b/>
          <w:lang w:eastAsia="zh-CN"/>
        </w:rPr>
        <w:t>　　</w:t>
      </w:r>
      <w:r>
        <w:rPr>
          <w:rFonts w:ascii="宋体" w:hAnsi="宋体" w:hint="eastAsia"/>
          <w:lang w:eastAsia="zh-CN"/>
        </w:rPr>
        <w:t>二、质量保修期</w:t>
      </w:r>
    </w:p>
    <w:p w14:paraId="1DDD6F19">
      <w:pPr>
        <w:spacing w:line="360" w:lineRule="auto"/>
        <w:rPr>
          <w:rFonts w:ascii="宋体" w:hAnsi="宋体"/>
          <w:lang w:eastAsia="zh-CN"/>
        </w:rPr>
      </w:pPr>
      <w:r>
        <w:rPr>
          <w:rFonts w:ascii="宋体" w:hAnsi="宋体" w:hint="eastAsia"/>
          <w:lang w:eastAsia="zh-CN"/>
        </w:rPr>
        <w:t>根据《建设工程质量管理条例》及有关规定，工程的质量保修期如下：</w:t>
      </w:r>
    </w:p>
    <w:p w14:paraId="1B598B01">
      <w:pPr>
        <w:spacing w:line="360" w:lineRule="auto"/>
        <w:rPr>
          <w:rFonts w:ascii="宋体" w:hAnsi="宋体"/>
          <w:lang w:eastAsia="zh-CN"/>
        </w:rPr>
      </w:pPr>
      <w:r>
        <w:rPr>
          <w:rFonts w:ascii="宋体" w:hAnsi="宋体" w:hint="eastAsia"/>
          <w:lang w:eastAsia="zh-CN"/>
        </w:rPr>
        <w:t>1．地基基础工程和主体结构工程为设计文件规定的工程合理使用年限；</w:t>
      </w:r>
    </w:p>
    <w:p w14:paraId="645DA0B3">
      <w:pPr>
        <w:spacing w:line="360" w:lineRule="auto"/>
        <w:rPr>
          <w:rFonts w:ascii="宋体" w:hAnsi="宋体"/>
          <w:lang w:eastAsia="zh-CN"/>
        </w:rPr>
      </w:pPr>
      <w:r>
        <w:rPr>
          <w:rFonts w:ascii="宋体" w:hAnsi="宋体" w:hint="eastAsia"/>
          <w:lang w:eastAsia="zh-CN"/>
        </w:rPr>
        <w:t>2．屋面防水工程、有防水要求的卫生间、房间和外墙面的防渗     为</w:t>
      </w:r>
      <w:r>
        <w:rPr>
          <w:rFonts w:ascii="宋体" w:hAnsi="宋体" w:hint="eastAsia"/>
          <w:u w:val="single"/>
          <w:lang w:eastAsia="zh-CN"/>
        </w:rPr>
        <w:t xml:space="preserve">        </w:t>
      </w:r>
      <w:r>
        <w:rPr>
          <w:rFonts w:ascii="宋体" w:hAnsi="宋体" w:hint="eastAsia"/>
          <w:lang w:eastAsia="zh-CN"/>
        </w:rPr>
        <w:t>年；</w:t>
      </w:r>
    </w:p>
    <w:p w14:paraId="053F0D39">
      <w:pPr>
        <w:spacing w:line="360" w:lineRule="auto"/>
        <w:rPr>
          <w:rFonts w:ascii="宋体" w:hAnsi="宋体"/>
          <w:lang w:eastAsia="zh-CN"/>
        </w:rPr>
      </w:pPr>
      <w:r>
        <w:rPr>
          <w:rFonts w:ascii="宋体" w:hAnsi="宋体" w:hint="eastAsia"/>
          <w:lang w:eastAsia="zh-CN"/>
        </w:rPr>
        <w:t>3．装修工程为</w:t>
      </w:r>
      <w:r>
        <w:rPr>
          <w:rFonts w:ascii="宋体" w:hAnsi="宋体" w:hint="eastAsia"/>
          <w:u w:val="single"/>
          <w:lang w:eastAsia="zh-CN"/>
        </w:rPr>
        <w:t xml:space="preserve">         </w:t>
      </w:r>
      <w:r>
        <w:rPr>
          <w:rFonts w:ascii="宋体" w:hAnsi="宋体" w:hint="eastAsia"/>
          <w:lang w:eastAsia="zh-CN"/>
        </w:rPr>
        <w:t>年；</w:t>
      </w:r>
    </w:p>
    <w:p w14:paraId="0610948D">
      <w:pPr>
        <w:spacing w:line="360" w:lineRule="auto"/>
        <w:rPr>
          <w:rFonts w:ascii="宋体" w:hAnsi="宋体"/>
          <w:lang w:eastAsia="zh-CN"/>
        </w:rPr>
      </w:pPr>
      <w:r>
        <w:rPr>
          <w:rFonts w:ascii="宋体" w:hAnsi="宋体" w:hint="eastAsia"/>
          <w:lang w:eastAsia="zh-CN"/>
        </w:rPr>
        <w:t>4．电气管线、给排水管道、设备安装工程为</w:t>
      </w:r>
      <w:r>
        <w:rPr>
          <w:rFonts w:ascii="宋体" w:hAnsi="宋体" w:hint="eastAsia"/>
          <w:u w:val="single"/>
          <w:lang w:eastAsia="zh-CN"/>
        </w:rPr>
        <w:t xml:space="preserve">         </w:t>
      </w:r>
      <w:r>
        <w:rPr>
          <w:rFonts w:ascii="宋体" w:hAnsi="宋体" w:hint="eastAsia"/>
          <w:lang w:eastAsia="zh-CN"/>
        </w:rPr>
        <w:t>年；</w:t>
      </w:r>
    </w:p>
    <w:p w14:paraId="240120AB">
      <w:pPr>
        <w:spacing w:line="360" w:lineRule="auto"/>
        <w:rPr>
          <w:rFonts w:ascii="宋体" w:hAnsi="宋体"/>
          <w:lang w:eastAsia="zh-CN"/>
        </w:rPr>
      </w:pPr>
      <w:r>
        <w:rPr>
          <w:rFonts w:ascii="宋体" w:hAnsi="宋体" w:hint="eastAsia"/>
          <w:lang w:eastAsia="zh-CN"/>
        </w:rPr>
        <w:t>5．供热与供冷系统为</w:t>
      </w:r>
      <w:r>
        <w:rPr>
          <w:rFonts w:ascii="宋体" w:hAnsi="宋体" w:hint="eastAsia"/>
          <w:u w:val="single"/>
          <w:lang w:eastAsia="zh-CN"/>
        </w:rPr>
        <w:t xml:space="preserve">         </w:t>
      </w:r>
      <w:r>
        <w:rPr>
          <w:rFonts w:ascii="宋体" w:hAnsi="宋体" w:hint="eastAsia"/>
          <w:lang w:eastAsia="zh-CN"/>
        </w:rPr>
        <w:t>个采暖期、供冷期；</w:t>
      </w:r>
    </w:p>
    <w:p w14:paraId="14292EDA">
      <w:pPr>
        <w:spacing w:line="360" w:lineRule="auto"/>
        <w:rPr>
          <w:rFonts w:ascii="宋体" w:hAnsi="宋体"/>
          <w:lang w:eastAsia="zh-CN"/>
        </w:rPr>
      </w:pPr>
      <w:r>
        <w:rPr>
          <w:rFonts w:ascii="宋体" w:hAnsi="宋体" w:hint="eastAsia"/>
          <w:lang w:eastAsia="zh-CN"/>
        </w:rPr>
        <w:t>6．住宅小区内的给排水设施、道路等配套工程为</w:t>
      </w:r>
      <w:r>
        <w:rPr>
          <w:rFonts w:ascii="宋体" w:hAnsi="宋体" w:hint="eastAsia"/>
          <w:u w:val="single"/>
          <w:lang w:eastAsia="zh-CN"/>
        </w:rPr>
        <w:t xml:space="preserve">         </w:t>
      </w:r>
      <w:r>
        <w:rPr>
          <w:rFonts w:ascii="宋体" w:hAnsi="宋体" w:hint="eastAsia"/>
          <w:lang w:eastAsia="zh-CN"/>
        </w:rPr>
        <w:t>年；</w:t>
      </w:r>
    </w:p>
    <w:p w14:paraId="1EC81E31">
      <w:pPr>
        <w:spacing w:line="360" w:lineRule="auto"/>
        <w:rPr>
          <w:rFonts w:ascii="宋体" w:hAnsi="宋体"/>
          <w:lang w:eastAsia="zh-CN"/>
        </w:rPr>
      </w:pPr>
      <w:r>
        <w:rPr>
          <w:rFonts w:ascii="宋体" w:hAnsi="宋体" w:hint="eastAsia"/>
          <w:lang w:eastAsia="zh-CN"/>
        </w:rPr>
        <w:t>7．其他项目保修期限约定如下：</w:t>
      </w:r>
    </w:p>
    <w:p w14:paraId="02447F08">
      <w:pPr>
        <w:spacing w:line="360" w:lineRule="auto"/>
        <w:rPr>
          <w:rFonts w:ascii="宋体" w:hAnsi="宋体"/>
          <w:lang w:eastAsia="zh-CN"/>
        </w:rPr>
      </w:pPr>
      <w:r>
        <w:rPr>
          <w:rFonts w:ascii="宋体" w:hAnsi="宋体" w:hint="eastAsia"/>
          <w:u w:val="single"/>
          <w:lang w:eastAsia="zh-CN"/>
        </w:rPr>
        <w:t xml:space="preserve">                                                                                                                                                                             </w:t>
      </w:r>
      <w:r>
        <w:rPr>
          <w:rFonts w:ascii="宋体" w:hAnsi="宋体" w:hint="eastAsia"/>
          <w:lang w:eastAsia="zh-CN"/>
        </w:rPr>
        <w:t>。</w:t>
      </w:r>
    </w:p>
    <w:p w14:paraId="6272F290">
      <w:pPr>
        <w:spacing w:line="360" w:lineRule="auto"/>
        <w:rPr>
          <w:rFonts w:ascii="宋体" w:hAnsi="宋体"/>
          <w:lang w:eastAsia="zh-CN"/>
        </w:rPr>
      </w:pPr>
      <w:r>
        <w:rPr>
          <w:rFonts w:ascii="宋体" w:hAnsi="宋体" w:hint="eastAsia"/>
          <w:lang w:eastAsia="zh-CN"/>
        </w:rPr>
        <w:t>　　质量保修期自工程竣工验收合格之日起计算。</w:t>
      </w:r>
    </w:p>
    <w:p w14:paraId="52C6D5C5">
      <w:pPr>
        <w:spacing w:line="360" w:lineRule="auto"/>
        <w:rPr>
          <w:rFonts w:ascii="宋体" w:hAnsi="宋体"/>
          <w:lang w:eastAsia="zh-CN"/>
        </w:rPr>
      </w:pPr>
      <w:r>
        <w:rPr>
          <w:rFonts w:ascii="宋体" w:hAnsi="宋体" w:hint="eastAsia"/>
          <w:lang w:eastAsia="zh-CN"/>
        </w:rPr>
        <w:t>三、缺陷责任期</w:t>
      </w:r>
    </w:p>
    <w:p w14:paraId="18178A3E">
      <w:pPr>
        <w:spacing w:line="360" w:lineRule="auto"/>
        <w:rPr>
          <w:rFonts w:ascii="宋体" w:hAnsi="宋体"/>
          <w:lang w:eastAsia="zh-CN"/>
        </w:rPr>
      </w:pPr>
      <w:r>
        <w:rPr>
          <w:rFonts w:ascii="宋体" w:hAnsi="宋体" w:hint="eastAsia"/>
          <w:lang w:eastAsia="zh-CN"/>
        </w:rPr>
        <w:t>工程缺陷责任期为</w:t>
      </w:r>
      <w:r>
        <w:rPr>
          <w:rFonts w:ascii="宋体" w:hAnsi="宋体" w:hint="eastAsia"/>
          <w:u w:val="single"/>
          <w:lang w:eastAsia="zh-CN"/>
        </w:rPr>
        <w:t xml:space="preserve">         </w:t>
      </w:r>
      <w:r>
        <w:rPr>
          <w:rFonts w:ascii="宋体" w:hAnsi="宋体" w:hint="eastAsia"/>
          <w:lang w:eastAsia="zh-CN"/>
        </w:rPr>
        <w:t>个月，缺陷责任期自工程通过竣工验收之日起计算。单位工程先于全部工程进行验收，单位工程缺陷责任期自单位工程验收合格之日起算。</w:t>
      </w:r>
    </w:p>
    <w:p w14:paraId="46DD1C2E">
      <w:pPr>
        <w:spacing w:line="360" w:lineRule="auto"/>
        <w:rPr>
          <w:rFonts w:ascii="宋体" w:hAnsi="宋体"/>
          <w:lang w:eastAsia="zh-CN"/>
        </w:rPr>
      </w:pPr>
      <w:r>
        <w:rPr>
          <w:rFonts w:ascii="宋体" w:hAnsi="宋体" w:hint="eastAsia"/>
          <w:lang w:eastAsia="zh-CN"/>
        </w:rPr>
        <w:t>缺陷责任期终止后，发包人应退还剩余的质量保证金。</w:t>
      </w:r>
    </w:p>
    <w:p w14:paraId="73DBDD64">
      <w:pPr>
        <w:spacing w:line="360" w:lineRule="auto"/>
        <w:rPr>
          <w:rFonts w:ascii="宋体" w:hAnsi="宋体"/>
          <w:lang w:eastAsia="zh-CN"/>
        </w:rPr>
      </w:pPr>
      <w:r>
        <w:rPr>
          <w:rFonts w:ascii="宋体" w:hAnsi="宋体" w:hint="eastAsia"/>
          <w:lang w:eastAsia="zh-CN"/>
        </w:rPr>
        <w:t xml:space="preserve">    四、质量保修责任</w:t>
      </w:r>
    </w:p>
    <w:p w14:paraId="6EC59F96">
      <w:pPr>
        <w:spacing w:line="360" w:lineRule="auto"/>
        <w:rPr>
          <w:rFonts w:ascii="宋体" w:hAnsi="宋体"/>
          <w:lang w:eastAsia="zh-CN"/>
        </w:rPr>
      </w:pPr>
      <w:r>
        <w:rPr>
          <w:rFonts w:ascii="宋体" w:hAnsi="宋体" w:hint="eastAsia"/>
          <w:lang w:eastAsia="zh-CN"/>
        </w:rPr>
        <w:t>1．属于保修范围、内容的项目，承包人应当在接到保修通知之日起7天内派人保修。承包人不在约定期限内派人保修的，发包人可以委托他人修理。</w:t>
      </w:r>
    </w:p>
    <w:p w14:paraId="2324B567">
      <w:pPr>
        <w:spacing w:line="360" w:lineRule="auto"/>
        <w:rPr>
          <w:rFonts w:ascii="宋体" w:hAnsi="宋体"/>
          <w:lang w:eastAsia="zh-CN"/>
        </w:rPr>
      </w:pPr>
      <w:r>
        <w:rPr>
          <w:rFonts w:ascii="宋体" w:hAnsi="宋体" w:hint="eastAsia"/>
          <w:lang w:eastAsia="zh-CN"/>
        </w:rPr>
        <w:t>2．发生紧急事故需抢修的，承包人在接到事故通知后，应当立即到达事故现场抢修。</w:t>
      </w:r>
    </w:p>
    <w:p w14:paraId="51BE97A8">
      <w:pPr>
        <w:spacing w:line="360" w:lineRule="auto"/>
        <w:rPr>
          <w:rFonts w:ascii="宋体" w:hAnsi="宋体"/>
          <w:lang w:eastAsia="zh-CN"/>
        </w:rPr>
      </w:pPr>
      <w:r>
        <w:rPr>
          <w:rFonts w:ascii="宋体" w:hAnsi="宋体" w:hint="eastAsia"/>
          <w:lang w:eastAsia="zh-CN"/>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796DB32">
      <w:pPr>
        <w:spacing w:line="360" w:lineRule="auto"/>
        <w:rPr>
          <w:rFonts w:ascii="宋体" w:hAnsi="宋体"/>
          <w:lang w:eastAsia="zh-CN"/>
        </w:rPr>
      </w:pPr>
      <w:r>
        <w:rPr>
          <w:rFonts w:ascii="宋体" w:hAnsi="宋体" w:hint="eastAsia"/>
          <w:lang w:eastAsia="zh-CN"/>
        </w:rPr>
        <w:t>4．质量保修完成后，由发包人组织验收。</w:t>
      </w:r>
    </w:p>
    <w:p w14:paraId="221E0C1C">
      <w:pPr>
        <w:spacing w:line="360" w:lineRule="auto"/>
        <w:rPr>
          <w:rFonts w:ascii="宋体" w:hAnsi="宋体"/>
          <w:lang w:eastAsia="zh-CN"/>
        </w:rPr>
      </w:pPr>
      <w:r>
        <w:rPr>
          <w:rFonts w:ascii="宋体" w:hAnsi="宋体" w:hint="eastAsia"/>
          <w:lang w:eastAsia="zh-CN"/>
        </w:rPr>
        <w:t>　　五、保修费用</w:t>
      </w:r>
    </w:p>
    <w:p w14:paraId="3B31C51B">
      <w:pPr>
        <w:spacing w:line="360" w:lineRule="auto"/>
        <w:rPr>
          <w:rFonts w:ascii="宋体" w:hAnsi="宋体"/>
          <w:lang w:eastAsia="zh-CN"/>
        </w:rPr>
      </w:pPr>
      <w:r>
        <w:rPr>
          <w:rFonts w:ascii="宋体" w:hAnsi="宋体" w:hint="eastAsia"/>
          <w:lang w:eastAsia="zh-CN"/>
        </w:rPr>
        <w:t>　　保修费用由造成质量缺陷的责任方承担。</w:t>
      </w:r>
    </w:p>
    <w:p w14:paraId="481ECECA">
      <w:pPr>
        <w:spacing w:line="360" w:lineRule="auto"/>
        <w:rPr>
          <w:rFonts w:ascii="宋体" w:hAnsi="宋体"/>
          <w:u w:val="single"/>
          <w:lang w:eastAsia="zh-CN"/>
        </w:rPr>
      </w:pPr>
      <w:r>
        <w:rPr>
          <w:rFonts w:ascii="宋体" w:hAnsi="宋体" w:hint="eastAsia"/>
          <w:b/>
          <w:lang w:eastAsia="zh-CN"/>
        </w:rPr>
        <w:t>六</w:t>
      </w:r>
      <w:r>
        <w:rPr>
          <w:rFonts w:ascii="宋体" w:hAnsi="宋体" w:hint="eastAsia"/>
          <w:lang w:eastAsia="zh-CN"/>
        </w:rPr>
        <w:t>、双方约定的其他工程质量保修事项：</w:t>
      </w:r>
      <w:r>
        <w:rPr>
          <w:rFonts w:ascii="宋体" w:hAnsi="宋体" w:hint="eastAsia"/>
          <w:u w:val="single"/>
          <w:lang w:eastAsia="zh-CN"/>
        </w:rPr>
        <w:t xml:space="preserve">                  </w:t>
      </w:r>
    </w:p>
    <w:p w14:paraId="11FC94D8">
      <w:pPr>
        <w:spacing w:line="360" w:lineRule="auto"/>
        <w:rPr>
          <w:rFonts w:ascii="宋体" w:hAnsi="宋体"/>
          <w:lang w:eastAsia="zh-CN"/>
        </w:rPr>
      </w:pPr>
      <w:r>
        <w:rPr>
          <w:rFonts w:ascii="宋体" w:hAnsi="宋体" w:hint="eastAsia"/>
          <w:u w:val="single"/>
          <w:lang w:eastAsia="zh-CN"/>
        </w:rPr>
        <w:t xml:space="preserve">                                                                                                                   </w:t>
      </w:r>
      <w:r>
        <w:rPr>
          <w:rFonts w:ascii="宋体" w:hAnsi="宋体" w:hint="eastAsia"/>
          <w:lang w:eastAsia="zh-CN"/>
        </w:rPr>
        <w:t>。</w:t>
      </w:r>
    </w:p>
    <w:p w14:paraId="5C563324">
      <w:pPr>
        <w:spacing w:line="360" w:lineRule="auto"/>
        <w:rPr>
          <w:rFonts w:ascii="宋体" w:hAnsi="宋体"/>
          <w:lang w:eastAsia="zh-CN"/>
        </w:rPr>
      </w:pPr>
      <w:r>
        <w:rPr>
          <w:rFonts w:ascii="宋体" w:hAnsi="宋体" w:hint="eastAsia"/>
          <w:lang w:eastAsia="zh-CN"/>
        </w:rPr>
        <w:t>工程质量保修书由发包人、承包人在工程竣工验收前共同签署，作为施工合同附件，其有效期限至保修期满。</w:t>
      </w:r>
    </w:p>
    <w:p w14:paraId="778CE6A1">
      <w:pPr>
        <w:spacing w:line="360" w:lineRule="auto"/>
        <w:rPr>
          <w:rFonts w:ascii="宋体" w:hAnsi="宋体"/>
          <w:lang w:eastAsia="zh-CN"/>
        </w:rPr>
      </w:pPr>
    </w:p>
    <w:p w14:paraId="7FEB5E80">
      <w:pPr>
        <w:spacing w:line="360" w:lineRule="auto"/>
        <w:rPr>
          <w:rFonts w:ascii="宋体" w:hAnsi="宋体"/>
          <w:lang w:eastAsia="zh-CN"/>
        </w:rPr>
      </w:pPr>
      <w:r>
        <w:rPr>
          <w:rFonts w:ascii="宋体" w:hAnsi="宋体" w:hint="eastAsia"/>
          <w:lang w:eastAsia="zh-CN"/>
        </w:rPr>
        <w:t>发包人(公章)：</w:t>
      </w:r>
      <w:r>
        <w:rPr>
          <w:rFonts w:ascii="宋体" w:hAnsi="宋体" w:hint="eastAsia"/>
          <w:u w:val="single"/>
          <w:lang w:eastAsia="zh-CN"/>
        </w:rPr>
        <w:t xml:space="preserve">        </w:t>
      </w:r>
      <w:r>
        <w:rPr>
          <w:rFonts w:ascii="宋体" w:hAnsi="宋体" w:hint="eastAsia"/>
          <w:lang w:eastAsia="zh-CN"/>
        </w:rPr>
        <w:t xml:space="preserve"> 承包人(公章)：</w:t>
      </w:r>
      <w:r>
        <w:rPr>
          <w:rFonts w:ascii="宋体" w:hAnsi="宋体"/>
          <w:u w:val="single"/>
        </w:rPr>
        <w:sym w:font="宋体" w:char="F5E5"/>
      </w:r>
      <w:r>
        <w:rPr>
          <w:rFonts w:ascii="宋体" w:hAnsi="宋体" w:hint="eastAsia"/>
          <w:u w:val="single"/>
          <w:lang w:eastAsia="zh-CN"/>
        </w:rPr>
        <w:t xml:space="preserve">          </w:t>
      </w:r>
      <w:r>
        <w:rPr>
          <w:rFonts w:ascii="宋体" w:hAnsi="宋体"/>
          <w:u w:val="single"/>
        </w:rPr>
        <w:sym w:font="宋体" w:char="F5E5"/>
      </w:r>
      <w:r>
        <w:rPr>
          <w:rFonts w:ascii="宋体" w:hAnsi="宋体" w:hint="eastAsia"/>
          <w:u w:val="single"/>
          <w:lang w:eastAsia="zh-CN"/>
        </w:rPr>
        <w:t xml:space="preserve"> </w:t>
      </w:r>
    </w:p>
    <w:p w14:paraId="3E0CA3D1">
      <w:pPr>
        <w:spacing w:line="360" w:lineRule="auto"/>
        <w:rPr>
          <w:rFonts w:ascii="宋体" w:hAnsi="宋体"/>
          <w:lang w:eastAsia="zh-CN"/>
        </w:rPr>
      </w:pPr>
      <w:r>
        <w:rPr>
          <w:rFonts w:ascii="宋体" w:hAnsi="宋体" w:hint="eastAsia"/>
          <w:lang w:eastAsia="zh-CN"/>
        </w:rPr>
        <w:t>地  址：</w:t>
      </w:r>
      <w:r>
        <w:rPr>
          <w:rFonts w:ascii="宋体" w:hAnsi="宋体" w:hint="eastAsia"/>
          <w:u w:val="single"/>
          <w:lang w:eastAsia="zh-CN"/>
        </w:rPr>
        <w:t xml:space="preserve"> </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r>
        <w:rPr>
          <w:rFonts w:ascii="宋体" w:hAnsi="宋体" w:hint="eastAsia"/>
          <w:lang w:eastAsia="zh-CN"/>
        </w:rPr>
        <w:t xml:space="preserve"> 地  址：</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r>
        <w:rPr>
          <w:rFonts w:ascii="宋体" w:hAnsi="宋体"/>
          <w:u w:val="single"/>
        </w:rPr>
        <w:sym w:font="宋体" w:char="F5E5"/>
      </w:r>
      <w:r>
        <w:rPr>
          <w:rFonts w:ascii="宋体" w:hAnsi="宋体" w:hint="eastAsia"/>
          <w:u w:val="single"/>
          <w:lang w:eastAsia="zh-CN"/>
        </w:rPr>
        <w:t xml:space="preserve">      </w:t>
      </w:r>
    </w:p>
    <w:p w14:paraId="00A00A11">
      <w:pPr>
        <w:spacing w:line="360" w:lineRule="auto"/>
        <w:rPr>
          <w:rFonts w:ascii="宋体" w:hAnsi="宋体"/>
          <w:lang w:eastAsia="zh-CN"/>
        </w:rPr>
      </w:pPr>
      <w:r>
        <w:rPr>
          <w:rFonts w:ascii="宋体" w:hAnsi="宋体" w:hint="eastAsia"/>
          <w:lang w:eastAsia="zh-CN"/>
        </w:rPr>
        <w:t>法定代表人(签字)：</w:t>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r>
        <w:rPr>
          <w:rFonts w:ascii="宋体" w:hAnsi="宋体" w:hint="eastAsia"/>
          <w:lang w:eastAsia="zh-CN"/>
        </w:rPr>
        <w:t xml:space="preserve"> 法定代表人(签字)：</w:t>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p>
    <w:p w14:paraId="19903D79">
      <w:pPr>
        <w:spacing w:line="360" w:lineRule="auto"/>
        <w:rPr>
          <w:rFonts w:ascii="宋体" w:hAnsi="宋体"/>
          <w:lang w:eastAsia="zh-CN"/>
        </w:rPr>
      </w:pPr>
      <w:r>
        <w:rPr>
          <w:rFonts w:ascii="宋体" w:hAnsi="宋体" w:hint="eastAsia"/>
          <w:lang w:eastAsia="zh-CN"/>
        </w:rPr>
        <w:t>委托代理人(签字)：</w:t>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r>
        <w:rPr>
          <w:rFonts w:ascii="宋体" w:hAnsi="宋体" w:hint="eastAsia"/>
          <w:lang w:eastAsia="zh-CN"/>
        </w:rPr>
        <w:t xml:space="preserve"> 委托代理人(签字)：</w:t>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p>
    <w:p w14:paraId="0E313F84">
      <w:pPr>
        <w:spacing w:line="360" w:lineRule="auto"/>
        <w:rPr>
          <w:rFonts w:ascii="宋体" w:hAnsi="宋体"/>
          <w:lang w:eastAsia="zh-CN"/>
        </w:rPr>
      </w:pPr>
      <w:r>
        <w:rPr>
          <w:rFonts w:ascii="宋体" w:hAnsi="宋体" w:hint="eastAsia"/>
          <w:lang w:eastAsia="zh-CN"/>
        </w:rPr>
        <w:t>电  话：</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r>
        <w:rPr>
          <w:rFonts w:ascii="宋体" w:hAnsi="宋体" w:hint="eastAsia"/>
          <w:lang w:eastAsia="zh-CN"/>
        </w:rPr>
        <w:t xml:space="preserve"> 电  话：</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p>
    <w:p w14:paraId="40A2F4BB">
      <w:pPr>
        <w:spacing w:line="360" w:lineRule="auto"/>
        <w:rPr>
          <w:rFonts w:ascii="宋体" w:hAnsi="宋体"/>
          <w:lang w:eastAsia="zh-CN"/>
        </w:rPr>
      </w:pPr>
      <w:r>
        <w:rPr>
          <w:rFonts w:ascii="宋体" w:hAnsi="宋体" w:hint="eastAsia"/>
          <w:lang w:eastAsia="zh-CN"/>
        </w:rPr>
        <w:t>传  真：</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r>
        <w:rPr>
          <w:rFonts w:ascii="宋体" w:hAnsi="宋体" w:hint="eastAsia"/>
          <w:lang w:eastAsia="zh-CN"/>
        </w:rPr>
        <w:t xml:space="preserve"> 传  真：</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r>
        <w:rPr>
          <w:rFonts w:ascii="宋体" w:hAnsi="宋体"/>
          <w:u w:val="single"/>
        </w:rPr>
        <w:sym w:font="宋体" w:char="F5E5"/>
      </w:r>
      <w:r>
        <w:rPr>
          <w:rFonts w:ascii="宋体" w:hAnsi="宋体" w:hint="eastAsia"/>
          <w:u w:val="single"/>
          <w:lang w:eastAsia="zh-CN"/>
        </w:rPr>
        <w:t xml:space="preserve">   </w:t>
      </w:r>
    </w:p>
    <w:p w14:paraId="05B67DF6">
      <w:pPr>
        <w:spacing w:line="360" w:lineRule="auto"/>
        <w:rPr>
          <w:rFonts w:ascii="宋体" w:hAnsi="宋体"/>
          <w:lang w:eastAsia="zh-CN"/>
        </w:rPr>
      </w:pPr>
      <w:r>
        <w:rPr>
          <w:rFonts w:ascii="宋体" w:hAnsi="宋体" w:hint="eastAsia"/>
          <w:lang w:eastAsia="zh-CN"/>
        </w:rPr>
        <w:t>开户银行：</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r>
        <w:rPr>
          <w:rFonts w:ascii="宋体" w:hAnsi="宋体" w:hint="eastAsia"/>
          <w:lang w:eastAsia="zh-CN"/>
        </w:rPr>
        <w:t xml:space="preserve"> 开户银行：</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p>
    <w:p w14:paraId="5216C514">
      <w:pPr>
        <w:spacing w:line="360" w:lineRule="auto"/>
        <w:rPr>
          <w:rFonts w:ascii="宋体" w:hAnsi="宋体"/>
          <w:lang w:eastAsia="zh-CN"/>
        </w:rPr>
      </w:pPr>
      <w:r>
        <w:rPr>
          <w:rFonts w:ascii="宋体" w:hAnsi="宋体" w:hint="eastAsia"/>
          <w:lang w:eastAsia="zh-CN"/>
        </w:rPr>
        <w:t>账  号：</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r>
        <w:rPr>
          <w:rFonts w:ascii="宋体" w:hAnsi="宋体"/>
          <w:u w:val="single"/>
        </w:rPr>
        <w:sym w:font="宋体" w:char="F5E5"/>
      </w:r>
      <w:r>
        <w:rPr>
          <w:rFonts w:ascii="宋体" w:hAnsi="宋体" w:hint="eastAsia"/>
          <w:u w:val="single"/>
          <w:lang w:eastAsia="zh-CN"/>
        </w:rPr>
        <w:t xml:space="preserve">      </w:t>
      </w:r>
      <w:r>
        <w:rPr>
          <w:rFonts w:ascii="宋体" w:hAnsi="宋体" w:hint="eastAsia"/>
          <w:lang w:eastAsia="zh-CN"/>
        </w:rPr>
        <w:t xml:space="preserve">  账  号：</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p>
    <w:p w14:paraId="5763AD79">
      <w:pPr>
        <w:spacing w:line="360" w:lineRule="auto"/>
        <w:rPr>
          <w:rFonts w:ascii="宋体" w:hAnsi="宋体"/>
          <w:lang w:eastAsia="zh-CN"/>
        </w:rPr>
      </w:pPr>
      <w:r>
        <w:rPr>
          <w:rFonts w:ascii="宋体" w:hAnsi="宋体" w:hint="eastAsia"/>
          <w:lang w:eastAsia="zh-CN"/>
        </w:rPr>
        <w:t>邮政编码：</w:t>
      </w:r>
      <w:r>
        <w:rPr>
          <w:rFonts w:ascii="宋体" w:hAnsi="宋体" w:hint="eastAsia"/>
          <w:u w:val="single"/>
          <w:lang w:eastAsia="zh-CN"/>
        </w:rPr>
        <w:t xml:space="preserve">     </w:t>
      </w:r>
      <w:r>
        <w:rPr>
          <w:rFonts w:ascii="宋体" w:hAnsi="宋体" w:hint="eastAsia"/>
          <w:lang w:eastAsia="zh-CN"/>
        </w:rPr>
        <w:t xml:space="preserve"> 邮政编码：</w:t>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u w:val="single"/>
        </w:rPr>
        <w:sym w:font="宋体" w:char="F5E5"/>
      </w:r>
      <w:r>
        <w:rPr>
          <w:rFonts w:ascii="宋体" w:hAnsi="宋体" w:hint="eastAsia"/>
          <w:u w:val="single"/>
          <w:lang w:eastAsia="zh-CN"/>
        </w:rPr>
        <w:t xml:space="preserve">   </w:t>
      </w:r>
    </w:p>
    <w:p w14:paraId="0E80E46C">
      <w:pPr>
        <w:spacing w:line="360" w:lineRule="auto"/>
        <w:rPr>
          <w:rFonts w:ascii="宋体" w:hAnsi="宋体"/>
          <w:lang w:eastAsia="zh-CN"/>
        </w:rPr>
      </w:pPr>
      <w:r>
        <w:rPr>
          <w:rFonts w:ascii="宋体" w:hAnsi="宋体" w:hint="eastAsia"/>
          <w:b/>
          <w:lang w:eastAsia="zh-CN"/>
        </w:rPr>
        <w:br w:type="page"/>
      </w:r>
      <w:r>
        <w:rPr>
          <w:rFonts w:ascii="宋体" w:hAnsi="宋体" w:hint="eastAsia"/>
          <w:lang w:eastAsia="zh-CN"/>
        </w:rPr>
        <w:t>附件4：</w:t>
      </w:r>
    </w:p>
    <w:p w14:paraId="4D729E7B">
      <w:pPr>
        <w:spacing w:line="360" w:lineRule="auto"/>
        <w:jc w:val="center"/>
        <w:rPr>
          <w:rFonts w:ascii="宋体" w:hAnsi="宋体"/>
          <w:b/>
          <w:lang w:eastAsia="zh-CN"/>
        </w:rPr>
      </w:pPr>
      <w:r>
        <w:rPr>
          <w:rFonts w:ascii="宋体" w:hAnsi="宋体" w:hint="eastAsia"/>
          <w:b/>
          <w:lang w:eastAsia="zh-CN"/>
        </w:rPr>
        <w:t>主要建设工程文件目录</w:t>
      </w: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
      <w:tblGrid>
        <w:gridCol w:w="1953"/>
        <w:gridCol w:w="1276"/>
        <w:gridCol w:w="1450"/>
        <w:gridCol w:w="1243"/>
        <w:gridCol w:w="1450"/>
        <w:gridCol w:w="1667"/>
      </w:tblGrid>
      <w:tr w14:paraId="37F5D211">
        <w:tblPrEx>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Ex>
        <w:trPr>
          <w:jc w:val="center"/>
        </w:trPr>
        <w:tc>
          <w:tcPr>
            <w:tcW w:w="1953" w:type="dxa"/>
            <w:tcBorders>
              <w:top w:val="single" w:sz="12" w:space="0" w:color="auto"/>
              <w:left w:val="single" w:sz="12" w:space="0" w:color="auto"/>
              <w:bottom w:val="double" w:sz="6" w:space="0" w:color="auto"/>
              <w:right w:val="single" w:sz="6" w:space="0" w:color="auto"/>
            </w:tcBorders>
            <w:vAlign w:val="center"/>
          </w:tcPr>
          <w:p w14:paraId="6688AC43">
            <w:pPr>
              <w:spacing w:line="360" w:lineRule="auto"/>
              <w:jc w:val="center"/>
              <w:rPr>
                <w:rFonts w:ascii="宋体" w:hAnsi="宋体"/>
              </w:rPr>
            </w:pPr>
            <w:r>
              <w:rPr>
                <w:rFonts w:ascii="宋体" w:hAnsi="宋体" w:hint="eastAsia"/>
              </w:rPr>
              <w:t>文件名称</w:t>
            </w:r>
          </w:p>
        </w:tc>
        <w:tc>
          <w:tcPr>
            <w:tcW w:w="1276" w:type="dxa"/>
            <w:tcBorders>
              <w:top w:val="single" w:sz="12" w:space="0" w:color="auto"/>
              <w:left w:val="single" w:sz="6" w:space="0" w:color="auto"/>
              <w:bottom w:val="double" w:sz="6" w:space="0" w:color="auto"/>
              <w:right w:val="single" w:sz="6" w:space="0" w:color="auto"/>
            </w:tcBorders>
            <w:vAlign w:val="center"/>
          </w:tcPr>
          <w:p w14:paraId="5BC6A411">
            <w:pPr>
              <w:spacing w:line="360" w:lineRule="auto"/>
              <w:jc w:val="center"/>
              <w:rPr>
                <w:rFonts w:ascii="宋体" w:hAnsi="宋体"/>
              </w:rPr>
            </w:pPr>
            <w:r>
              <w:rPr>
                <w:rFonts w:ascii="宋体" w:hAnsi="宋体" w:hint="eastAsia"/>
              </w:rPr>
              <w:t>套数</w:t>
            </w:r>
          </w:p>
        </w:tc>
        <w:tc>
          <w:tcPr>
            <w:tcW w:w="1450" w:type="dxa"/>
            <w:tcBorders>
              <w:top w:val="single" w:sz="12" w:space="0" w:color="auto"/>
              <w:left w:val="single" w:sz="6" w:space="0" w:color="auto"/>
              <w:bottom w:val="double" w:sz="6" w:space="0" w:color="auto"/>
              <w:right w:val="single" w:sz="6" w:space="0" w:color="auto"/>
            </w:tcBorders>
            <w:vAlign w:val="center"/>
          </w:tcPr>
          <w:p w14:paraId="6BD5102F">
            <w:pPr>
              <w:spacing w:line="360" w:lineRule="auto"/>
              <w:jc w:val="center"/>
              <w:rPr>
                <w:rFonts w:ascii="宋体" w:hAnsi="宋体"/>
              </w:rPr>
            </w:pPr>
            <w:r>
              <w:rPr>
                <w:rFonts w:ascii="宋体" w:hAnsi="宋体" w:hint="eastAsia"/>
              </w:rPr>
              <w:t>费用（元）</w:t>
            </w:r>
          </w:p>
        </w:tc>
        <w:tc>
          <w:tcPr>
            <w:tcW w:w="1243" w:type="dxa"/>
            <w:tcBorders>
              <w:top w:val="single" w:sz="12" w:space="0" w:color="auto"/>
              <w:left w:val="single" w:sz="6" w:space="0" w:color="auto"/>
              <w:bottom w:val="double" w:sz="6" w:space="0" w:color="auto"/>
              <w:right w:val="single" w:sz="6" w:space="0" w:color="auto"/>
            </w:tcBorders>
            <w:vAlign w:val="center"/>
          </w:tcPr>
          <w:p w14:paraId="2D020B32">
            <w:pPr>
              <w:spacing w:line="360" w:lineRule="auto"/>
              <w:jc w:val="center"/>
              <w:rPr>
                <w:rFonts w:ascii="宋体" w:hAnsi="宋体"/>
              </w:rPr>
            </w:pPr>
            <w:r>
              <w:rPr>
                <w:rFonts w:ascii="宋体" w:hAnsi="宋体" w:hint="eastAsia"/>
              </w:rPr>
              <w:t>质量</w:t>
            </w:r>
          </w:p>
        </w:tc>
        <w:tc>
          <w:tcPr>
            <w:tcW w:w="1450" w:type="dxa"/>
            <w:tcBorders>
              <w:top w:val="single" w:sz="12" w:space="0" w:color="auto"/>
              <w:left w:val="single" w:sz="6" w:space="0" w:color="auto"/>
              <w:bottom w:val="double" w:sz="6" w:space="0" w:color="auto"/>
              <w:right w:val="single" w:sz="6" w:space="0" w:color="auto"/>
            </w:tcBorders>
          </w:tcPr>
          <w:p w14:paraId="5329D514">
            <w:pPr>
              <w:spacing w:line="360" w:lineRule="auto"/>
              <w:jc w:val="center"/>
              <w:rPr>
                <w:rFonts w:ascii="宋体" w:hAnsi="宋体"/>
              </w:rPr>
            </w:pPr>
            <w:r>
              <w:rPr>
                <w:rFonts w:ascii="宋体" w:hAnsi="宋体" w:hint="eastAsia"/>
              </w:rPr>
              <w:t>移交时间</w:t>
            </w:r>
          </w:p>
        </w:tc>
        <w:tc>
          <w:tcPr>
            <w:tcW w:w="1667" w:type="dxa"/>
            <w:tcBorders>
              <w:top w:val="single" w:sz="12" w:space="0" w:color="auto"/>
              <w:left w:val="single" w:sz="6" w:space="0" w:color="auto"/>
              <w:bottom w:val="double" w:sz="6" w:space="0" w:color="auto"/>
              <w:right w:val="single" w:sz="12" w:space="0" w:color="auto"/>
            </w:tcBorders>
          </w:tcPr>
          <w:p w14:paraId="35D07395">
            <w:pPr>
              <w:spacing w:line="360" w:lineRule="auto"/>
              <w:jc w:val="center"/>
              <w:rPr>
                <w:rFonts w:ascii="宋体" w:hAnsi="宋体"/>
              </w:rPr>
            </w:pPr>
            <w:r>
              <w:rPr>
                <w:rFonts w:ascii="宋体" w:hAnsi="宋体" w:hint="eastAsia"/>
              </w:rPr>
              <w:t>责任人</w:t>
            </w:r>
          </w:p>
        </w:tc>
      </w:tr>
      <w:tr w14:paraId="2A38D807">
        <w:tblPrEx>
          <w:tblW w:w="0" w:type="auto"/>
          <w:jc w:val="center"/>
          <w:tblLayout w:type="fixed"/>
          <w:tblCellMar>
            <w:top w:w="0" w:type="dxa"/>
            <w:left w:w="28" w:type="dxa"/>
            <w:bottom w:w="0" w:type="dxa"/>
            <w:right w:w="28" w:type="dxa"/>
          </w:tblCellMar>
        </w:tblPrEx>
        <w:trPr>
          <w:trHeight w:val="567"/>
          <w:jc w:val="center"/>
        </w:trPr>
        <w:tc>
          <w:tcPr>
            <w:tcW w:w="1953" w:type="dxa"/>
            <w:tcBorders>
              <w:top w:val="double" w:sz="6" w:space="0" w:color="auto"/>
              <w:left w:val="single" w:sz="12" w:space="0" w:color="auto"/>
              <w:bottom w:val="single" w:sz="6" w:space="0" w:color="auto"/>
              <w:right w:val="single" w:sz="6" w:space="0" w:color="auto"/>
            </w:tcBorders>
            <w:vAlign w:val="center"/>
          </w:tcPr>
          <w:p w14:paraId="1C4AFC7D">
            <w:pPr>
              <w:spacing w:line="360" w:lineRule="auto"/>
              <w:rPr>
                <w:rFonts w:ascii="宋体" w:hAnsi="宋体"/>
              </w:rPr>
            </w:pPr>
          </w:p>
        </w:tc>
        <w:tc>
          <w:tcPr>
            <w:tcW w:w="1276" w:type="dxa"/>
            <w:tcBorders>
              <w:top w:val="double" w:sz="6" w:space="0" w:color="auto"/>
              <w:left w:val="single" w:sz="6" w:space="0" w:color="auto"/>
              <w:bottom w:val="single" w:sz="6" w:space="0" w:color="auto"/>
              <w:right w:val="single" w:sz="6" w:space="0" w:color="auto"/>
            </w:tcBorders>
            <w:vAlign w:val="center"/>
          </w:tcPr>
          <w:p w14:paraId="2F58B5F7">
            <w:pPr>
              <w:spacing w:line="360" w:lineRule="auto"/>
              <w:rPr>
                <w:rFonts w:ascii="宋体" w:hAnsi="宋体"/>
              </w:rPr>
            </w:pPr>
          </w:p>
        </w:tc>
        <w:tc>
          <w:tcPr>
            <w:tcW w:w="1450" w:type="dxa"/>
            <w:tcBorders>
              <w:top w:val="double" w:sz="6" w:space="0" w:color="auto"/>
              <w:left w:val="single" w:sz="6" w:space="0" w:color="auto"/>
              <w:bottom w:val="single" w:sz="6" w:space="0" w:color="auto"/>
              <w:right w:val="single" w:sz="6" w:space="0" w:color="auto"/>
            </w:tcBorders>
            <w:vAlign w:val="center"/>
          </w:tcPr>
          <w:p w14:paraId="2391E52D">
            <w:pPr>
              <w:spacing w:line="360" w:lineRule="auto"/>
              <w:rPr>
                <w:rFonts w:ascii="宋体" w:hAnsi="宋体"/>
              </w:rPr>
            </w:pPr>
          </w:p>
        </w:tc>
        <w:tc>
          <w:tcPr>
            <w:tcW w:w="1243" w:type="dxa"/>
            <w:tcBorders>
              <w:top w:val="double" w:sz="6" w:space="0" w:color="auto"/>
              <w:left w:val="single" w:sz="6" w:space="0" w:color="auto"/>
              <w:bottom w:val="single" w:sz="6" w:space="0" w:color="auto"/>
              <w:right w:val="single" w:sz="6" w:space="0" w:color="auto"/>
            </w:tcBorders>
            <w:vAlign w:val="center"/>
          </w:tcPr>
          <w:p w14:paraId="150B71C8">
            <w:pPr>
              <w:spacing w:line="360" w:lineRule="auto"/>
              <w:rPr>
                <w:rFonts w:ascii="宋体" w:hAnsi="宋体"/>
              </w:rPr>
            </w:pPr>
          </w:p>
        </w:tc>
        <w:tc>
          <w:tcPr>
            <w:tcW w:w="1450" w:type="dxa"/>
            <w:tcBorders>
              <w:top w:val="double" w:sz="6" w:space="0" w:color="auto"/>
              <w:left w:val="single" w:sz="6" w:space="0" w:color="auto"/>
              <w:bottom w:val="single" w:sz="6" w:space="0" w:color="auto"/>
              <w:right w:val="single" w:sz="6" w:space="0" w:color="auto"/>
            </w:tcBorders>
            <w:vAlign w:val="center"/>
          </w:tcPr>
          <w:p w14:paraId="5207E405">
            <w:pPr>
              <w:spacing w:line="360" w:lineRule="auto"/>
              <w:rPr>
                <w:rFonts w:ascii="宋体" w:hAnsi="宋体"/>
              </w:rPr>
            </w:pPr>
          </w:p>
        </w:tc>
        <w:tc>
          <w:tcPr>
            <w:tcW w:w="1667" w:type="dxa"/>
            <w:tcBorders>
              <w:top w:val="double" w:sz="6" w:space="0" w:color="auto"/>
              <w:left w:val="single" w:sz="6" w:space="0" w:color="auto"/>
              <w:bottom w:val="single" w:sz="6" w:space="0" w:color="auto"/>
              <w:right w:val="single" w:sz="12" w:space="0" w:color="auto"/>
            </w:tcBorders>
            <w:vAlign w:val="center"/>
          </w:tcPr>
          <w:p w14:paraId="0F3F7B01">
            <w:pPr>
              <w:spacing w:line="360" w:lineRule="auto"/>
              <w:rPr>
                <w:rFonts w:ascii="宋体" w:hAnsi="宋体"/>
              </w:rPr>
            </w:pPr>
          </w:p>
        </w:tc>
      </w:tr>
      <w:tr w14:paraId="601286B8">
        <w:tblPrEx>
          <w:tblW w:w="0" w:type="auto"/>
          <w:jc w:val="center"/>
          <w:tblLayout w:type="fixed"/>
          <w:tblCellMar>
            <w:top w:w="0" w:type="dxa"/>
            <w:left w:w="28" w:type="dxa"/>
            <w:bottom w:w="0" w:type="dxa"/>
            <w:right w:w="28" w:type="dxa"/>
          </w:tblCellMar>
        </w:tblPrEx>
        <w:trPr>
          <w:trHeight w:val="567"/>
          <w:jc w:val="center"/>
        </w:trPr>
        <w:tc>
          <w:tcPr>
            <w:tcW w:w="1953" w:type="dxa"/>
            <w:tcBorders>
              <w:top w:val="nil"/>
              <w:left w:val="single" w:sz="12" w:space="0" w:color="auto"/>
              <w:bottom w:val="single" w:sz="6" w:space="0" w:color="auto"/>
              <w:right w:val="single" w:sz="6" w:space="0" w:color="auto"/>
            </w:tcBorders>
            <w:vAlign w:val="center"/>
          </w:tcPr>
          <w:p w14:paraId="7A2B00FA">
            <w:pPr>
              <w:spacing w:line="360" w:lineRule="auto"/>
              <w:rPr>
                <w:rFonts w:ascii="宋体" w:hAnsi="宋体"/>
              </w:rPr>
            </w:pPr>
          </w:p>
        </w:tc>
        <w:tc>
          <w:tcPr>
            <w:tcW w:w="1276" w:type="dxa"/>
            <w:tcBorders>
              <w:top w:val="nil"/>
              <w:left w:val="single" w:sz="6" w:space="0" w:color="auto"/>
              <w:bottom w:val="single" w:sz="6" w:space="0" w:color="auto"/>
              <w:right w:val="single" w:sz="6" w:space="0" w:color="auto"/>
            </w:tcBorders>
            <w:vAlign w:val="center"/>
          </w:tcPr>
          <w:p w14:paraId="774B3F3C">
            <w:pPr>
              <w:spacing w:line="360" w:lineRule="auto"/>
              <w:rPr>
                <w:rFonts w:ascii="宋体" w:hAnsi="宋体"/>
              </w:rPr>
            </w:pPr>
          </w:p>
        </w:tc>
        <w:tc>
          <w:tcPr>
            <w:tcW w:w="1450" w:type="dxa"/>
            <w:tcBorders>
              <w:top w:val="nil"/>
              <w:left w:val="single" w:sz="6" w:space="0" w:color="auto"/>
              <w:bottom w:val="single" w:sz="6" w:space="0" w:color="auto"/>
              <w:right w:val="single" w:sz="6" w:space="0" w:color="auto"/>
            </w:tcBorders>
            <w:vAlign w:val="center"/>
          </w:tcPr>
          <w:p w14:paraId="11645578">
            <w:pPr>
              <w:spacing w:line="360" w:lineRule="auto"/>
              <w:rPr>
                <w:rFonts w:ascii="宋体" w:hAnsi="宋体"/>
              </w:rPr>
            </w:pPr>
          </w:p>
        </w:tc>
        <w:tc>
          <w:tcPr>
            <w:tcW w:w="1243" w:type="dxa"/>
            <w:tcBorders>
              <w:top w:val="nil"/>
              <w:left w:val="single" w:sz="6" w:space="0" w:color="auto"/>
              <w:bottom w:val="single" w:sz="6" w:space="0" w:color="auto"/>
              <w:right w:val="single" w:sz="6" w:space="0" w:color="auto"/>
            </w:tcBorders>
            <w:vAlign w:val="center"/>
          </w:tcPr>
          <w:p w14:paraId="02D2E69F">
            <w:pPr>
              <w:spacing w:line="360" w:lineRule="auto"/>
              <w:rPr>
                <w:rFonts w:ascii="宋体" w:hAnsi="宋体"/>
              </w:rPr>
            </w:pPr>
          </w:p>
        </w:tc>
        <w:tc>
          <w:tcPr>
            <w:tcW w:w="1450" w:type="dxa"/>
            <w:tcBorders>
              <w:top w:val="nil"/>
              <w:left w:val="single" w:sz="6" w:space="0" w:color="auto"/>
              <w:bottom w:val="single" w:sz="6" w:space="0" w:color="auto"/>
              <w:right w:val="single" w:sz="6" w:space="0" w:color="auto"/>
            </w:tcBorders>
            <w:vAlign w:val="center"/>
          </w:tcPr>
          <w:p w14:paraId="4C2A0AC4">
            <w:pPr>
              <w:spacing w:line="360" w:lineRule="auto"/>
              <w:rPr>
                <w:rFonts w:ascii="宋体" w:hAnsi="宋体"/>
              </w:rPr>
            </w:pPr>
          </w:p>
        </w:tc>
        <w:tc>
          <w:tcPr>
            <w:tcW w:w="1667" w:type="dxa"/>
            <w:tcBorders>
              <w:top w:val="nil"/>
              <w:left w:val="single" w:sz="6" w:space="0" w:color="auto"/>
              <w:bottom w:val="single" w:sz="6" w:space="0" w:color="auto"/>
              <w:right w:val="single" w:sz="12" w:space="0" w:color="auto"/>
            </w:tcBorders>
            <w:vAlign w:val="center"/>
          </w:tcPr>
          <w:p w14:paraId="471C43BC">
            <w:pPr>
              <w:spacing w:line="360" w:lineRule="auto"/>
              <w:rPr>
                <w:rFonts w:ascii="宋体" w:hAnsi="宋体"/>
              </w:rPr>
            </w:pPr>
          </w:p>
        </w:tc>
      </w:tr>
      <w:tr w14:paraId="3511FD2F">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vAlign w:val="center"/>
          </w:tcPr>
          <w:p w14:paraId="61C7415A">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2F96D979">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639716B5">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vAlign w:val="center"/>
          </w:tcPr>
          <w:p w14:paraId="05A41F4C">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37E6C1AB">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vAlign w:val="center"/>
          </w:tcPr>
          <w:p w14:paraId="660702F5">
            <w:pPr>
              <w:spacing w:line="360" w:lineRule="auto"/>
              <w:rPr>
                <w:rFonts w:ascii="宋体" w:hAnsi="宋体"/>
              </w:rPr>
            </w:pPr>
          </w:p>
        </w:tc>
      </w:tr>
      <w:tr w14:paraId="4A82256A">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vAlign w:val="center"/>
          </w:tcPr>
          <w:p w14:paraId="7A097B69">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14976C29">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5F0A128B">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vAlign w:val="center"/>
          </w:tcPr>
          <w:p w14:paraId="6FC82AAD">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703C4A80">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vAlign w:val="center"/>
          </w:tcPr>
          <w:p w14:paraId="66C7468E">
            <w:pPr>
              <w:spacing w:line="360" w:lineRule="auto"/>
              <w:rPr>
                <w:rFonts w:ascii="宋体" w:hAnsi="宋体"/>
              </w:rPr>
            </w:pPr>
          </w:p>
        </w:tc>
      </w:tr>
      <w:tr w14:paraId="34A68FBF">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vAlign w:val="center"/>
          </w:tcPr>
          <w:p w14:paraId="44AA36C2">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5597C611">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060765E8">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vAlign w:val="center"/>
          </w:tcPr>
          <w:p w14:paraId="285BBBC9">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6EF90C68">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vAlign w:val="center"/>
          </w:tcPr>
          <w:p w14:paraId="2DDEF1C4">
            <w:pPr>
              <w:spacing w:line="360" w:lineRule="auto"/>
              <w:rPr>
                <w:rFonts w:ascii="宋体" w:hAnsi="宋体"/>
              </w:rPr>
            </w:pPr>
          </w:p>
        </w:tc>
      </w:tr>
      <w:tr w14:paraId="540FBD7B">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vAlign w:val="center"/>
          </w:tcPr>
          <w:p w14:paraId="10BD1D6A">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50141A60">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6E4EC37B">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vAlign w:val="center"/>
          </w:tcPr>
          <w:p w14:paraId="0FDE915F">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1B6989AA">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vAlign w:val="center"/>
          </w:tcPr>
          <w:p w14:paraId="164B4FC6">
            <w:pPr>
              <w:spacing w:line="360" w:lineRule="auto"/>
              <w:rPr>
                <w:rFonts w:ascii="宋体" w:hAnsi="宋体"/>
              </w:rPr>
            </w:pPr>
          </w:p>
        </w:tc>
      </w:tr>
      <w:tr w14:paraId="0498C51D">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vAlign w:val="center"/>
          </w:tcPr>
          <w:p w14:paraId="1BA2CBB3">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395BDAEA">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19B19AB0">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vAlign w:val="center"/>
          </w:tcPr>
          <w:p w14:paraId="0DE1CCCF">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7E9C527F">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vAlign w:val="center"/>
          </w:tcPr>
          <w:p w14:paraId="3EAA6F03">
            <w:pPr>
              <w:spacing w:line="360" w:lineRule="auto"/>
              <w:rPr>
                <w:rFonts w:ascii="宋体" w:hAnsi="宋体"/>
              </w:rPr>
            </w:pPr>
          </w:p>
        </w:tc>
      </w:tr>
      <w:tr w14:paraId="4004C685">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vAlign w:val="center"/>
          </w:tcPr>
          <w:p w14:paraId="1929B7F8">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6EF40C83">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31412E21">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vAlign w:val="center"/>
          </w:tcPr>
          <w:p w14:paraId="306E36FC">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385FF58B">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vAlign w:val="center"/>
          </w:tcPr>
          <w:p w14:paraId="61333432">
            <w:pPr>
              <w:spacing w:line="360" w:lineRule="auto"/>
              <w:rPr>
                <w:rFonts w:ascii="宋体" w:hAnsi="宋体"/>
              </w:rPr>
            </w:pPr>
          </w:p>
        </w:tc>
      </w:tr>
      <w:tr w14:paraId="3BFC3BEE">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tcPr>
          <w:p w14:paraId="4FC945F5">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tcPr>
          <w:p w14:paraId="76CB00B7">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038978B7">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tcPr>
          <w:p w14:paraId="7108537F">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149C359F">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tcPr>
          <w:p w14:paraId="2D76AE0A">
            <w:pPr>
              <w:spacing w:line="360" w:lineRule="auto"/>
              <w:rPr>
                <w:rFonts w:ascii="宋体" w:hAnsi="宋体"/>
              </w:rPr>
            </w:pPr>
          </w:p>
        </w:tc>
      </w:tr>
      <w:tr w14:paraId="505B5A7B">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vAlign w:val="center"/>
          </w:tcPr>
          <w:p w14:paraId="52C9F92B">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vAlign w:val="center"/>
          </w:tcPr>
          <w:p w14:paraId="63B17B55">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7B465E35">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vAlign w:val="center"/>
          </w:tcPr>
          <w:p w14:paraId="74E4032C">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vAlign w:val="center"/>
          </w:tcPr>
          <w:p w14:paraId="548540C1">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vAlign w:val="center"/>
          </w:tcPr>
          <w:p w14:paraId="0B31036C">
            <w:pPr>
              <w:spacing w:line="360" w:lineRule="auto"/>
              <w:rPr>
                <w:rFonts w:ascii="宋体" w:hAnsi="宋体"/>
              </w:rPr>
            </w:pPr>
          </w:p>
        </w:tc>
      </w:tr>
      <w:tr w14:paraId="0B09DACB">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tcPr>
          <w:p w14:paraId="483196E6">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tcPr>
          <w:p w14:paraId="75DD55AA">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28BC6D70">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tcPr>
          <w:p w14:paraId="420E90D1">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2CECD74A">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tcPr>
          <w:p w14:paraId="4B4EB1B9">
            <w:pPr>
              <w:spacing w:line="360" w:lineRule="auto"/>
              <w:rPr>
                <w:rFonts w:ascii="宋体" w:hAnsi="宋体"/>
              </w:rPr>
            </w:pPr>
          </w:p>
        </w:tc>
      </w:tr>
      <w:tr w14:paraId="12242618">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tcPr>
          <w:p w14:paraId="10693CC3">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tcPr>
          <w:p w14:paraId="7D2370D5">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7DC9EDB6">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tcPr>
          <w:p w14:paraId="5AFE2632">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1887B3B4">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tcPr>
          <w:p w14:paraId="0A084D2B">
            <w:pPr>
              <w:spacing w:line="360" w:lineRule="auto"/>
              <w:rPr>
                <w:rFonts w:ascii="宋体" w:hAnsi="宋体"/>
              </w:rPr>
            </w:pPr>
          </w:p>
        </w:tc>
      </w:tr>
      <w:tr w14:paraId="60103FB6">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tcPr>
          <w:p w14:paraId="72526B68">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tcPr>
          <w:p w14:paraId="1156366F">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1937719B">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tcPr>
          <w:p w14:paraId="42BFF5CC">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28743943">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tcPr>
          <w:p w14:paraId="54439573">
            <w:pPr>
              <w:spacing w:line="360" w:lineRule="auto"/>
              <w:rPr>
                <w:rFonts w:ascii="宋体" w:hAnsi="宋体"/>
              </w:rPr>
            </w:pPr>
          </w:p>
        </w:tc>
      </w:tr>
      <w:tr w14:paraId="1074E5CC">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tcPr>
          <w:p w14:paraId="18AE7C37">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tcPr>
          <w:p w14:paraId="3671BC2B">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6E1910D3">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tcPr>
          <w:p w14:paraId="657895AE">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0A3FBB0E">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tcPr>
          <w:p w14:paraId="7EDEF436">
            <w:pPr>
              <w:spacing w:line="360" w:lineRule="auto"/>
              <w:rPr>
                <w:rFonts w:ascii="宋体" w:hAnsi="宋体"/>
              </w:rPr>
            </w:pPr>
          </w:p>
        </w:tc>
      </w:tr>
      <w:tr w14:paraId="16B63566">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tcPr>
          <w:p w14:paraId="27A59A84">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tcPr>
          <w:p w14:paraId="24882826">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25E1B82E">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tcPr>
          <w:p w14:paraId="17CAC9DF">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563FA8B3">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tcPr>
          <w:p w14:paraId="4678AAD9">
            <w:pPr>
              <w:spacing w:line="360" w:lineRule="auto"/>
              <w:rPr>
                <w:rFonts w:ascii="宋体" w:hAnsi="宋体"/>
              </w:rPr>
            </w:pPr>
          </w:p>
        </w:tc>
      </w:tr>
      <w:tr w14:paraId="2C3C2E8E">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tcPr>
          <w:p w14:paraId="5985A958">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tcPr>
          <w:p w14:paraId="61553FA2">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1B114D46">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tcPr>
          <w:p w14:paraId="19F6D0C1">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0A4C1F79">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tcPr>
          <w:p w14:paraId="38FA9406">
            <w:pPr>
              <w:spacing w:line="360" w:lineRule="auto"/>
              <w:rPr>
                <w:rFonts w:ascii="宋体" w:hAnsi="宋体"/>
              </w:rPr>
            </w:pPr>
          </w:p>
        </w:tc>
      </w:tr>
      <w:tr w14:paraId="4CEB9CDF">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tcPr>
          <w:p w14:paraId="6986DAA9">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tcPr>
          <w:p w14:paraId="2E2ED46A">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110C2839">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tcPr>
          <w:p w14:paraId="53C3F1E7">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6B2A6599">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tcPr>
          <w:p w14:paraId="41654507">
            <w:pPr>
              <w:spacing w:line="360" w:lineRule="auto"/>
              <w:rPr>
                <w:rFonts w:ascii="宋体" w:hAnsi="宋体"/>
              </w:rPr>
            </w:pPr>
          </w:p>
        </w:tc>
      </w:tr>
      <w:tr w14:paraId="4CDE1EEA">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6" w:space="0" w:color="auto"/>
              <w:right w:val="single" w:sz="6" w:space="0" w:color="auto"/>
            </w:tcBorders>
          </w:tcPr>
          <w:p w14:paraId="397F3BF4">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6" w:space="0" w:color="auto"/>
            </w:tcBorders>
          </w:tcPr>
          <w:p w14:paraId="3BE47BCB">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2F9B44C5">
            <w:pPr>
              <w:spacing w:line="360" w:lineRule="auto"/>
              <w:rPr>
                <w:rFonts w:ascii="宋体" w:hAnsi="宋体"/>
              </w:rPr>
            </w:pPr>
          </w:p>
        </w:tc>
        <w:tc>
          <w:tcPr>
            <w:tcW w:w="1243" w:type="dxa"/>
            <w:tcBorders>
              <w:top w:val="single" w:sz="6" w:space="0" w:color="auto"/>
              <w:left w:val="single" w:sz="6" w:space="0" w:color="auto"/>
              <w:bottom w:val="single" w:sz="6" w:space="0" w:color="auto"/>
              <w:right w:val="single" w:sz="6" w:space="0" w:color="auto"/>
            </w:tcBorders>
          </w:tcPr>
          <w:p w14:paraId="64BDB8C9">
            <w:pPr>
              <w:spacing w:line="360" w:lineRule="auto"/>
              <w:rPr>
                <w:rFonts w:ascii="宋体" w:hAnsi="宋体"/>
              </w:rPr>
            </w:pPr>
          </w:p>
        </w:tc>
        <w:tc>
          <w:tcPr>
            <w:tcW w:w="1450" w:type="dxa"/>
            <w:tcBorders>
              <w:top w:val="single" w:sz="6" w:space="0" w:color="auto"/>
              <w:left w:val="single" w:sz="6" w:space="0" w:color="auto"/>
              <w:bottom w:val="single" w:sz="6" w:space="0" w:color="auto"/>
              <w:right w:val="single" w:sz="6" w:space="0" w:color="auto"/>
            </w:tcBorders>
          </w:tcPr>
          <w:p w14:paraId="30F8BB9A">
            <w:pPr>
              <w:spacing w:line="360" w:lineRule="auto"/>
              <w:rPr>
                <w:rFonts w:ascii="宋体" w:hAnsi="宋体"/>
              </w:rPr>
            </w:pPr>
          </w:p>
        </w:tc>
        <w:tc>
          <w:tcPr>
            <w:tcW w:w="1667" w:type="dxa"/>
            <w:tcBorders>
              <w:top w:val="single" w:sz="6" w:space="0" w:color="auto"/>
              <w:left w:val="single" w:sz="6" w:space="0" w:color="auto"/>
              <w:bottom w:val="single" w:sz="6" w:space="0" w:color="auto"/>
              <w:right w:val="single" w:sz="12" w:space="0" w:color="auto"/>
            </w:tcBorders>
          </w:tcPr>
          <w:p w14:paraId="165A0CF1">
            <w:pPr>
              <w:spacing w:line="360" w:lineRule="auto"/>
              <w:rPr>
                <w:rFonts w:ascii="宋体" w:hAnsi="宋体"/>
              </w:rPr>
            </w:pPr>
          </w:p>
        </w:tc>
      </w:tr>
      <w:tr w14:paraId="644E6EE0">
        <w:tblPrEx>
          <w:tblW w:w="0" w:type="auto"/>
          <w:jc w:val="center"/>
          <w:tblLayout w:type="fixed"/>
          <w:tblCellMar>
            <w:top w:w="0" w:type="dxa"/>
            <w:left w:w="28" w:type="dxa"/>
            <w:bottom w:w="0" w:type="dxa"/>
            <w:right w:w="28" w:type="dxa"/>
          </w:tblCellMar>
        </w:tblPrEx>
        <w:trPr>
          <w:trHeight w:val="567"/>
          <w:jc w:val="center"/>
        </w:trPr>
        <w:tc>
          <w:tcPr>
            <w:tcW w:w="1953" w:type="dxa"/>
            <w:tcBorders>
              <w:top w:val="single" w:sz="6" w:space="0" w:color="auto"/>
              <w:left w:val="single" w:sz="12" w:space="0" w:color="auto"/>
              <w:bottom w:val="single" w:sz="12" w:space="0" w:color="auto"/>
              <w:right w:val="single" w:sz="6" w:space="0" w:color="auto"/>
            </w:tcBorders>
          </w:tcPr>
          <w:p w14:paraId="499D35CE">
            <w:pPr>
              <w:spacing w:line="360" w:lineRule="auto"/>
              <w:rPr>
                <w:rFonts w:ascii="宋体" w:hAnsi="宋体"/>
              </w:rPr>
            </w:pPr>
          </w:p>
        </w:tc>
        <w:tc>
          <w:tcPr>
            <w:tcW w:w="1276" w:type="dxa"/>
            <w:tcBorders>
              <w:top w:val="single" w:sz="6" w:space="0" w:color="auto"/>
              <w:left w:val="single" w:sz="6" w:space="0" w:color="auto"/>
              <w:bottom w:val="single" w:sz="12" w:space="0" w:color="auto"/>
              <w:right w:val="single" w:sz="6" w:space="0" w:color="auto"/>
            </w:tcBorders>
          </w:tcPr>
          <w:p w14:paraId="00D98372">
            <w:pPr>
              <w:spacing w:line="360" w:lineRule="auto"/>
              <w:rPr>
                <w:rFonts w:ascii="宋体" w:hAnsi="宋体"/>
              </w:rPr>
            </w:pPr>
          </w:p>
        </w:tc>
        <w:tc>
          <w:tcPr>
            <w:tcW w:w="1450" w:type="dxa"/>
            <w:tcBorders>
              <w:top w:val="single" w:sz="6" w:space="0" w:color="auto"/>
              <w:left w:val="single" w:sz="6" w:space="0" w:color="auto"/>
              <w:bottom w:val="single" w:sz="12" w:space="0" w:color="auto"/>
              <w:right w:val="single" w:sz="6" w:space="0" w:color="auto"/>
            </w:tcBorders>
          </w:tcPr>
          <w:p w14:paraId="250CB462">
            <w:pPr>
              <w:spacing w:line="360" w:lineRule="auto"/>
              <w:rPr>
                <w:rFonts w:ascii="宋体" w:hAnsi="宋体"/>
              </w:rPr>
            </w:pPr>
          </w:p>
        </w:tc>
        <w:tc>
          <w:tcPr>
            <w:tcW w:w="1243" w:type="dxa"/>
            <w:tcBorders>
              <w:top w:val="single" w:sz="6" w:space="0" w:color="auto"/>
              <w:left w:val="single" w:sz="6" w:space="0" w:color="auto"/>
              <w:bottom w:val="single" w:sz="12" w:space="0" w:color="auto"/>
              <w:right w:val="single" w:sz="6" w:space="0" w:color="auto"/>
            </w:tcBorders>
          </w:tcPr>
          <w:p w14:paraId="5A95A3AC">
            <w:pPr>
              <w:spacing w:line="360" w:lineRule="auto"/>
              <w:rPr>
                <w:rFonts w:ascii="宋体" w:hAnsi="宋体"/>
              </w:rPr>
            </w:pPr>
          </w:p>
        </w:tc>
        <w:tc>
          <w:tcPr>
            <w:tcW w:w="1450" w:type="dxa"/>
            <w:tcBorders>
              <w:top w:val="single" w:sz="6" w:space="0" w:color="auto"/>
              <w:left w:val="single" w:sz="6" w:space="0" w:color="auto"/>
              <w:bottom w:val="single" w:sz="12" w:space="0" w:color="auto"/>
              <w:right w:val="single" w:sz="6" w:space="0" w:color="auto"/>
            </w:tcBorders>
          </w:tcPr>
          <w:p w14:paraId="2405439E">
            <w:pPr>
              <w:spacing w:line="360" w:lineRule="auto"/>
              <w:rPr>
                <w:rFonts w:ascii="宋体" w:hAnsi="宋体"/>
              </w:rPr>
            </w:pPr>
          </w:p>
        </w:tc>
        <w:tc>
          <w:tcPr>
            <w:tcW w:w="1667" w:type="dxa"/>
            <w:tcBorders>
              <w:top w:val="single" w:sz="6" w:space="0" w:color="auto"/>
              <w:left w:val="single" w:sz="6" w:space="0" w:color="auto"/>
              <w:bottom w:val="single" w:sz="12" w:space="0" w:color="auto"/>
              <w:right w:val="single" w:sz="12" w:space="0" w:color="auto"/>
            </w:tcBorders>
          </w:tcPr>
          <w:p w14:paraId="37C3EB62">
            <w:pPr>
              <w:spacing w:line="360" w:lineRule="auto"/>
              <w:rPr>
                <w:rFonts w:ascii="宋体" w:hAnsi="宋体"/>
              </w:rPr>
            </w:pPr>
          </w:p>
        </w:tc>
      </w:tr>
    </w:tbl>
    <w:p w14:paraId="2C88528F">
      <w:pPr>
        <w:spacing w:line="360" w:lineRule="auto"/>
        <w:rPr>
          <w:rFonts w:ascii="宋体" w:hAnsi="宋体"/>
          <w:kern w:val="2"/>
        </w:rPr>
      </w:pPr>
    </w:p>
    <w:p w14:paraId="3A704983">
      <w:pPr>
        <w:spacing w:line="360" w:lineRule="auto"/>
        <w:rPr>
          <w:rFonts w:ascii="宋体" w:hAnsi="宋体"/>
        </w:rPr>
      </w:pPr>
      <w:r>
        <w:rPr>
          <w:rFonts w:ascii="宋体" w:hAnsi="宋体" w:hint="eastAsia"/>
        </w:rPr>
        <w:br w:type="page"/>
      </w:r>
      <w:r>
        <w:rPr>
          <w:rFonts w:ascii="宋体" w:hAnsi="宋体" w:hint="eastAsia"/>
        </w:rPr>
        <w:t>附</w:t>
      </w:r>
      <w:bookmarkStart w:id="1083" w:name="_Toc296347226"/>
      <w:bookmarkStart w:id="1084" w:name="_Toc267261698"/>
      <w:bookmarkStart w:id="1085" w:name="_Toc296891267"/>
      <w:bookmarkStart w:id="1086" w:name="_Toc296944566"/>
      <w:bookmarkStart w:id="1087" w:name="_Toc296891055"/>
      <w:bookmarkStart w:id="1088" w:name="_Toc296346728"/>
      <w:bookmarkStart w:id="1089" w:name="_Toc296503227"/>
      <w:r>
        <w:rPr>
          <w:rFonts w:ascii="宋体" w:hAnsi="宋体" w:hint="eastAsia"/>
        </w:rPr>
        <w:t>件5：</w:t>
      </w:r>
    </w:p>
    <w:bookmarkEnd w:id="1083"/>
    <w:bookmarkEnd w:id="1084"/>
    <w:bookmarkEnd w:id="1085"/>
    <w:bookmarkEnd w:id="1086"/>
    <w:bookmarkEnd w:id="1087"/>
    <w:bookmarkEnd w:id="1088"/>
    <w:bookmarkEnd w:id="1089"/>
    <w:p w14:paraId="7E6D7465">
      <w:pPr>
        <w:spacing w:line="360" w:lineRule="auto"/>
        <w:jc w:val="center"/>
        <w:rPr>
          <w:rFonts w:ascii="宋体" w:hAnsi="宋体"/>
          <w:b/>
          <w:lang w:eastAsia="zh-CN"/>
        </w:rPr>
      </w:pPr>
      <w:r>
        <w:rPr>
          <w:rFonts w:ascii="宋体" w:hAnsi="宋体" w:hint="eastAsia"/>
          <w:b/>
          <w:lang w:eastAsia="zh-CN"/>
        </w:rPr>
        <w:t>承包人用于本工程施工的机械设备表</w:t>
      </w: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014A053B">
        <w:tblPrEx>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Ex>
        <w:trPr>
          <w:jc w:val="center"/>
        </w:trPr>
        <w:tc>
          <w:tcPr>
            <w:tcW w:w="1162" w:type="dxa"/>
            <w:tcBorders>
              <w:top w:val="single" w:sz="12" w:space="0" w:color="auto"/>
              <w:left w:val="single" w:sz="12" w:space="0" w:color="auto"/>
              <w:bottom w:val="double" w:sz="6" w:space="0" w:color="auto"/>
              <w:right w:val="single" w:sz="6" w:space="0" w:color="auto"/>
            </w:tcBorders>
            <w:vAlign w:val="center"/>
          </w:tcPr>
          <w:p w14:paraId="2C1BE7A6">
            <w:pPr>
              <w:spacing w:line="360" w:lineRule="auto"/>
              <w:rPr>
                <w:rFonts w:ascii="宋体" w:hAnsi="宋体"/>
              </w:rPr>
            </w:pPr>
            <w:r>
              <w:rPr>
                <w:rFonts w:ascii="宋体" w:hAnsi="宋体" w:hint="eastAsia"/>
              </w:rPr>
              <w:t>序号</w:t>
            </w:r>
          </w:p>
        </w:tc>
        <w:tc>
          <w:tcPr>
            <w:tcW w:w="1418" w:type="dxa"/>
            <w:tcBorders>
              <w:top w:val="single" w:sz="12" w:space="0" w:color="auto"/>
              <w:left w:val="single" w:sz="6" w:space="0" w:color="auto"/>
              <w:bottom w:val="double" w:sz="6" w:space="0" w:color="auto"/>
              <w:right w:val="single" w:sz="6" w:space="0" w:color="auto"/>
            </w:tcBorders>
            <w:vAlign w:val="center"/>
          </w:tcPr>
          <w:p w14:paraId="3595F660">
            <w:pPr>
              <w:spacing w:line="360" w:lineRule="auto"/>
              <w:rPr>
                <w:rFonts w:ascii="宋体" w:hAnsi="宋体"/>
              </w:rPr>
            </w:pPr>
            <w:r>
              <w:rPr>
                <w:rFonts w:ascii="宋体" w:hAnsi="宋体" w:hint="eastAsia"/>
              </w:rPr>
              <w:t>机械或设备名称</w:t>
            </w:r>
          </w:p>
        </w:tc>
        <w:tc>
          <w:tcPr>
            <w:tcW w:w="850" w:type="dxa"/>
            <w:tcBorders>
              <w:top w:val="single" w:sz="12" w:space="0" w:color="auto"/>
              <w:left w:val="single" w:sz="6" w:space="0" w:color="auto"/>
              <w:bottom w:val="double" w:sz="6" w:space="0" w:color="auto"/>
              <w:right w:val="single" w:sz="6" w:space="0" w:color="auto"/>
            </w:tcBorders>
            <w:vAlign w:val="center"/>
          </w:tcPr>
          <w:p w14:paraId="58CD1FA3">
            <w:pPr>
              <w:spacing w:line="360" w:lineRule="auto"/>
              <w:rPr>
                <w:rFonts w:ascii="宋体" w:hAnsi="宋体"/>
              </w:rPr>
            </w:pPr>
            <w:r>
              <w:rPr>
                <w:rFonts w:ascii="宋体" w:hAnsi="宋体" w:hint="eastAsia"/>
              </w:rPr>
              <w:t>规格型号</w:t>
            </w:r>
          </w:p>
        </w:tc>
        <w:tc>
          <w:tcPr>
            <w:tcW w:w="1058" w:type="dxa"/>
            <w:tcBorders>
              <w:top w:val="single" w:sz="12" w:space="0" w:color="auto"/>
              <w:left w:val="single" w:sz="6" w:space="0" w:color="auto"/>
              <w:bottom w:val="double" w:sz="6" w:space="0" w:color="auto"/>
              <w:right w:val="single" w:sz="6" w:space="0" w:color="auto"/>
            </w:tcBorders>
            <w:vAlign w:val="center"/>
          </w:tcPr>
          <w:p w14:paraId="154AD0CF">
            <w:pPr>
              <w:spacing w:line="360" w:lineRule="auto"/>
              <w:rPr>
                <w:rFonts w:ascii="宋体" w:hAnsi="宋体"/>
              </w:rPr>
            </w:pPr>
            <w:r>
              <w:rPr>
                <w:rFonts w:ascii="宋体" w:hAnsi="宋体" w:hint="eastAsia"/>
              </w:rPr>
              <w:t>数量</w:t>
            </w:r>
          </w:p>
        </w:tc>
        <w:tc>
          <w:tcPr>
            <w:tcW w:w="880" w:type="dxa"/>
            <w:tcBorders>
              <w:top w:val="single" w:sz="12" w:space="0" w:color="auto"/>
              <w:left w:val="single" w:sz="6" w:space="0" w:color="auto"/>
              <w:bottom w:val="double" w:sz="6" w:space="0" w:color="auto"/>
              <w:right w:val="single" w:sz="6" w:space="0" w:color="auto"/>
            </w:tcBorders>
            <w:vAlign w:val="center"/>
          </w:tcPr>
          <w:p w14:paraId="1F01A204">
            <w:pPr>
              <w:spacing w:line="360" w:lineRule="auto"/>
              <w:rPr>
                <w:rFonts w:ascii="宋体" w:hAnsi="宋体"/>
              </w:rPr>
            </w:pPr>
            <w:r>
              <w:rPr>
                <w:rFonts w:ascii="宋体" w:hAnsi="宋体" w:hint="eastAsia"/>
              </w:rPr>
              <w:t>产地</w:t>
            </w:r>
          </w:p>
        </w:tc>
        <w:tc>
          <w:tcPr>
            <w:tcW w:w="1020" w:type="dxa"/>
            <w:tcBorders>
              <w:top w:val="single" w:sz="12" w:space="0" w:color="auto"/>
              <w:left w:val="single" w:sz="6" w:space="0" w:color="auto"/>
              <w:bottom w:val="double" w:sz="6" w:space="0" w:color="auto"/>
              <w:right w:val="single" w:sz="6" w:space="0" w:color="auto"/>
            </w:tcBorders>
            <w:vAlign w:val="center"/>
          </w:tcPr>
          <w:p w14:paraId="3D14ACAE">
            <w:pPr>
              <w:spacing w:line="360" w:lineRule="auto"/>
              <w:rPr>
                <w:rFonts w:ascii="宋体" w:hAnsi="宋体"/>
              </w:rPr>
            </w:pPr>
            <w:r>
              <w:rPr>
                <w:rFonts w:ascii="宋体" w:hAnsi="宋体" w:hint="eastAsia"/>
              </w:rPr>
              <w:t>制造年份</w:t>
            </w:r>
          </w:p>
        </w:tc>
        <w:tc>
          <w:tcPr>
            <w:tcW w:w="1480" w:type="dxa"/>
            <w:tcBorders>
              <w:top w:val="single" w:sz="12" w:space="0" w:color="auto"/>
              <w:left w:val="single" w:sz="6" w:space="0" w:color="auto"/>
              <w:bottom w:val="double" w:sz="6" w:space="0" w:color="auto"/>
              <w:right w:val="single" w:sz="6" w:space="0" w:color="auto"/>
            </w:tcBorders>
            <w:vAlign w:val="center"/>
          </w:tcPr>
          <w:p w14:paraId="179326A9">
            <w:pPr>
              <w:spacing w:line="360" w:lineRule="auto"/>
              <w:rPr>
                <w:rFonts w:ascii="宋体" w:hAnsi="宋体"/>
              </w:rPr>
            </w:pPr>
            <w:r>
              <w:rPr>
                <w:rFonts w:ascii="宋体" w:hAnsi="宋体" w:hint="eastAsia"/>
              </w:rPr>
              <w:t>额定功率(kW)</w:t>
            </w:r>
          </w:p>
        </w:tc>
        <w:tc>
          <w:tcPr>
            <w:tcW w:w="1020" w:type="dxa"/>
            <w:tcBorders>
              <w:top w:val="single" w:sz="12" w:space="0" w:color="auto"/>
              <w:left w:val="single" w:sz="6" w:space="0" w:color="auto"/>
              <w:bottom w:val="double" w:sz="6" w:space="0" w:color="auto"/>
              <w:right w:val="single" w:sz="6" w:space="0" w:color="auto"/>
            </w:tcBorders>
            <w:vAlign w:val="center"/>
          </w:tcPr>
          <w:p w14:paraId="7E3A5BBF">
            <w:pPr>
              <w:spacing w:line="360" w:lineRule="auto"/>
              <w:rPr>
                <w:rFonts w:ascii="宋体" w:hAnsi="宋体"/>
              </w:rPr>
            </w:pPr>
            <w:r>
              <w:rPr>
                <w:rFonts w:ascii="宋体" w:hAnsi="宋体" w:hint="eastAsia"/>
              </w:rPr>
              <w:t>生产能力</w:t>
            </w:r>
          </w:p>
        </w:tc>
        <w:tc>
          <w:tcPr>
            <w:tcW w:w="921" w:type="dxa"/>
            <w:tcBorders>
              <w:top w:val="single" w:sz="12" w:space="0" w:color="auto"/>
              <w:left w:val="single" w:sz="6" w:space="0" w:color="auto"/>
              <w:bottom w:val="double" w:sz="6" w:space="0" w:color="auto"/>
              <w:right w:val="single" w:sz="12" w:space="0" w:color="auto"/>
            </w:tcBorders>
            <w:vAlign w:val="center"/>
          </w:tcPr>
          <w:p w14:paraId="56E1EB2E">
            <w:pPr>
              <w:spacing w:line="360" w:lineRule="auto"/>
              <w:rPr>
                <w:rFonts w:ascii="宋体" w:hAnsi="宋体"/>
              </w:rPr>
            </w:pPr>
            <w:r>
              <w:rPr>
                <w:rFonts w:ascii="宋体" w:hAnsi="宋体" w:hint="eastAsia"/>
              </w:rPr>
              <w:t>备注</w:t>
            </w:r>
          </w:p>
        </w:tc>
      </w:tr>
      <w:tr w14:paraId="7E53AAD0">
        <w:tblPrEx>
          <w:tblW w:w="0" w:type="auto"/>
          <w:jc w:val="center"/>
          <w:tblLayout w:type="fixed"/>
          <w:tblCellMar>
            <w:top w:w="0" w:type="dxa"/>
            <w:left w:w="28" w:type="dxa"/>
            <w:bottom w:w="0" w:type="dxa"/>
            <w:right w:w="28" w:type="dxa"/>
          </w:tblCellMar>
        </w:tblPrEx>
        <w:trPr>
          <w:trHeight w:val="567"/>
          <w:jc w:val="center"/>
        </w:trPr>
        <w:tc>
          <w:tcPr>
            <w:tcW w:w="1162" w:type="dxa"/>
            <w:tcBorders>
              <w:top w:val="double" w:sz="6" w:space="0" w:color="auto"/>
              <w:left w:val="single" w:sz="12" w:space="0" w:color="auto"/>
              <w:bottom w:val="single" w:sz="6" w:space="0" w:color="auto"/>
              <w:right w:val="single" w:sz="6" w:space="0" w:color="auto"/>
            </w:tcBorders>
            <w:vAlign w:val="center"/>
          </w:tcPr>
          <w:p w14:paraId="0932274D">
            <w:pPr>
              <w:spacing w:line="360" w:lineRule="auto"/>
              <w:rPr>
                <w:rFonts w:ascii="宋体" w:hAnsi="宋体"/>
              </w:rPr>
            </w:pPr>
          </w:p>
        </w:tc>
        <w:tc>
          <w:tcPr>
            <w:tcW w:w="1418" w:type="dxa"/>
            <w:tcBorders>
              <w:top w:val="double" w:sz="6" w:space="0" w:color="auto"/>
              <w:left w:val="single" w:sz="6" w:space="0" w:color="auto"/>
              <w:bottom w:val="single" w:sz="6" w:space="0" w:color="auto"/>
              <w:right w:val="single" w:sz="6" w:space="0" w:color="auto"/>
            </w:tcBorders>
            <w:vAlign w:val="center"/>
          </w:tcPr>
          <w:p w14:paraId="07ECB8DF">
            <w:pPr>
              <w:spacing w:line="360" w:lineRule="auto"/>
              <w:rPr>
                <w:rFonts w:ascii="宋体" w:hAnsi="宋体"/>
              </w:rPr>
            </w:pPr>
          </w:p>
        </w:tc>
        <w:tc>
          <w:tcPr>
            <w:tcW w:w="850" w:type="dxa"/>
            <w:tcBorders>
              <w:top w:val="double" w:sz="6" w:space="0" w:color="auto"/>
              <w:left w:val="single" w:sz="6" w:space="0" w:color="auto"/>
              <w:bottom w:val="single" w:sz="6" w:space="0" w:color="auto"/>
              <w:right w:val="single" w:sz="6" w:space="0" w:color="auto"/>
            </w:tcBorders>
            <w:vAlign w:val="center"/>
          </w:tcPr>
          <w:p w14:paraId="50E35E2C">
            <w:pPr>
              <w:spacing w:line="360" w:lineRule="auto"/>
              <w:rPr>
                <w:rFonts w:ascii="宋体" w:hAnsi="宋体"/>
              </w:rPr>
            </w:pPr>
          </w:p>
        </w:tc>
        <w:tc>
          <w:tcPr>
            <w:tcW w:w="1058" w:type="dxa"/>
            <w:tcBorders>
              <w:top w:val="double" w:sz="6" w:space="0" w:color="auto"/>
              <w:left w:val="single" w:sz="6" w:space="0" w:color="auto"/>
              <w:bottom w:val="single" w:sz="6" w:space="0" w:color="auto"/>
              <w:right w:val="single" w:sz="6" w:space="0" w:color="auto"/>
            </w:tcBorders>
            <w:vAlign w:val="center"/>
          </w:tcPr>
          <w:p w14:paraId="2B813F5F">
            <w:pPr>
              <w:spacing w:line="360" w:lineRule="auto"/>
              <w:rPr>
                <w:rFonts w:ascii="宋体" w:hAnsi="宋体"/>
              </w:rPr>
            </w:pPr>
          </w:p>
        </w:tc>
        <w:tc>
          <w:tcPr>
            <w:tcW w:w="880" w:type="dxa"/>
            <w:tcBorders>
              <w:top w:val="double" w:sz="6" w:space="0" w:color="auto"/>
              <w:left w:val="single" w:sz="6" w:space="0" w:color="auto"/>
              <w:bottom w:val="single" w:sz="6" w:space="0" w:color="auto"/>
              <w:right w:val="single" w:sz="6" w:space="0" w:color="auto"/>
            </w:tcBorders>
            <w:vAlign w:val="center"/>
          </w:tcPr>
          <w:p w14:paraId="69280D2C">
            <w:pPr>
              <w:spacing w:line="360" w:lineRule="auto"/>
              <w:rPr>
                <w:rFonts w:ascii="宋体" w:hAnsi="宋体"/>
              </w:rPr>
            </w:pPr>
          </w:p>
        </w:tc>
        <w:tc>
          <w:tcPr>
            <w:tcW w:w="1020" w:type="dxa"/>
            <w:tcBorders>
              <w:top w:val="double" w:sz="6" w:space="0" w:color="auto"/>
              <w:left w:val="single" w:sz="6" w:space="0" w:color="auto"/>
              <w:bottom w:val="single" w:sz="6" w:space="0" w:color="auto"/>
              <w:right w:val="single" w:sz="6" w:space="0" w:color="auto"/>
            </w:tcBorders>
            <w:vAlign w:val="center"/>
          </w:tcPr>
          <w:p w14:paraId="216A8DCE">
            <w:pPr>
              <w:spacing w:line="360" w:lineRule="auto"/>
              <w:rPr>
                <w:rFonts w:ascii="宋体" w:hAnsi="宋体"/>
              </w:rPr>
            </w:pPr>
          </w:p>
        </w:tc>
        <w:tc>
          <w:tcPr>
            <w:tcW w:w="1480" w:type="dxa"/>
            <w:tcBorders>
              <w:top w:val="double" w:sz="6" w:space="0" w:color="auto"/>
              <w:left w:val="single" w:sz="6" w:space="0" w:color="auto"/>
              <w:bottom w:val="single" w:sz="6" w:space="0" w:color="auto"/>
              <w:right w:val="single" w:sz="6" w:space="0" w:color="auto"/>
            </w:tcBorders>
            <w:vAlign w:val="center"/>
          </w:tcPr>
          <w:p w14:paraId="58454507">
            <w:pPr>
              <w:spacing w:line="360" w:lineRule="auto"/>
              <w:rPr>
                <w:rFonts w:ascii="宋体" w:hAnsi="宋体"/>
              </w:rPr>
            </w:pPr>
          </w:p>
        </w:tc>
        <w:tc>
          <w:tcPr>
            <w:tcW w:w="1020" w:type="dxa"/>
            <w:tcBorders>
              <w:top w:val="double" w:sz="6" w:space="0" w:color="auto"/>
              <w:left w:val="single" w:sz="6" w:space="0" w:color="auto"/>
              <w:bottom w:val="single" w:sz="6" w:space="0" w:color="auto"/>
              <w:right w:val="single" w:sz="6" w:space="0" w:color="auto"/>
            </w:tcBorders>
            <w:vAlign w:val="center"/>
          </w:tcPr>
          <w:p w14:paraId="0E94287F">
            <w:pPr>
              <w:spacing w:line="360" w:lineRule="auto"/>
              <w:rPr>
                <w:rFonts w:ascii="宋体" w:hAnsi="宋体"/>
              </w:rPr>
            </w:pPr>
          </w:p>
        </w:tc>
        <w:tc>
          <w:tcPr>
            <w:tcW w:w="921" w:type="dxa"/>
            <w:tcBorders>
              <w:top w:val="double" w:sz="6" w:space="0" w:color="auto"/>
              <w:left w:val="single" w:sz="6" w:space="0" w:color="auto"/>
              <w:bottom w:val="single" w:sz="6" w:space="0" w:color="auto"/>
              <w:right w:val="single" w:sz="12" w:space="0" w:color="auto"/>
            </w:tcBorders>
            <w:vAlign w:val="center"/>
          </w:tcPr>
          <w:p w14:paraId="4CE50ED3">
            <w:pPr>
              <w:spacing w:line="360" w:lineRule="auto"/>
              <w:rPr>
                <w:rFonts w:ascii="宋体" w:hAnsi="宋体"/>
              </w:rPr>
            </w:pPr>
          </w:p>
        </w:tc>
      </w:tr>
      <w:tr w14:paraId="05B958F0">
        <w:tblPrEx>
          <w:tblW w:w="0" w:type="auto"/>
          <w:jc w:val="center"/>
          <w:tblLayout w:type="fixed"/>
          <w:tblCellMar>
            <w:top w:w="0" w:type="dxa"/>
            <w:left w:w="28" w:type="dxa"/>
            <w:bottom w:w="0" w:type="dxa"/>
            <w:right w:w="28" w:type="dxa"/>
          </w:tblCellMar>
        </w:tblPrEx>
        <w:trPr>
          <w:trHeight w:val="567"/>
          <w:jc w:val="center"/>
        </w:trPr>
        <w:tc>
          <w:tcPr>
            <w:tcW w:w="1162" w:type="dxa"/>
            <w:tcBorders>
              <w:top w:val="nil"/>
              <w:left w:val="single" w:sz="12" w:space="0" w:color="auto"/>
              <w:bottom w:val="single" w:sz="6" w:space="0" w:color="auto"/>
              <w:right w:val="single" w:sz="6" w:space="0" w:color="auto"/>
            </w:tcBorders>
            <w:vAlign w:val="center"/>
          </w:tcPr>
          <w:p w14:paraId="04B9CAEC">
            <w:pPr>
              <w:spacing w:line="360" w:lineRule="auto"/>
              <w:rPr>
                <w:rFonts w:ascii="宋体" w:hAnsi="宋体"/>
              </w:rPr>
            </w:pPr>
          </w:p>
        </w:tc>
        <w:tc>
          <w:tcPr>
            <w:tcW w:w="1418" w:type="dxa"/>
            <w:tcBorders>
              <w:top w:val="nil"/>
              <w:left w:val="single" w:sz="6" w:space="0" w:color="auto"/>
              <w:bottom w:val="single" w:sz="6" w:space="0" w:color="auto"/>
              <w:right w:val="single" w:sz="6" w:space="0" w:color="auto"/>
            </w:tcBorders>
            <w:vAlign w:val="center"/>
          </w:tcPr>
          <w:p w14:paraId="0774655D">
            <w:pPr>
              <w:spacing w:line="360" w:lineRule="auto"/>
              <w:rPr>
                <w:rFonts w:ascii="宋体" w:hAnsi="宋体"/>
              </w:rPr>
            </w:pPr>
          </w:p>
        </w:tc>
        <w:tc>
          <w:tcPr>
            <w:tcW w:w="850" w:type="dxa"/>
            <w:tcBorders>
              <w:top w:val="nil"/>
              <w:left w:val="single" w:sz="6" w:space="0" w:color="auto"/>
              <w:bottom w:val="single" w:sz="6" w:space="0" w:color="auto"/>
              <w:right w:val="single" w:sz="6" w:space="0" w:color="auto"/>
            </w:tcBorders>
            <w:vAlign w:val="center"/>
          </w:tcPr>
          <w:p w14:paraId="1B89F988">
            <w:pPr>
              <w:spacing w:line="360" w:lineRule="auto"/>
              <w:rPr>
                <w:rFonts w:ascii="宋体" w:hAnsi="宋体"/>
              </w:rPr>
            </w:pPr>
          </w:p>
        </w:tc>
        <w:tc>
          <w:tcPr>
            <w:tcW w:w="1058" w:type="dxa"/>
            <w:tcBorders>
              <w:top w:val="nil"/>
              <w:left w:val="single" w:sz="6" w:space="0" w:color="auto"/>
              <w:bottom w:val="single" w:sz="6" w:space="0" w:color="auto"/>
              <w:right w:val="single" w:sz="6" w:space="0" w:color="auto"/>
            </w:tcBorders>
            <w:vAlign w:val="center"/>
          </w:tcPr>
          <w:p w14:paraId="231254D4">
            <w:pPr>
              <w:spacing w:line="360" w:lineRule="auto"/>
              <w:rPr>
                <w:rFonts w:ascii="宋体" w:hAnsi="宋体"/>
              </w:rPr>
            </w:pPr>
          </w:p>
        </w:tc>
        <w:tc>
          <w:tcPr>
            <w:tcW w:w="880" w:type="dxa"/>
            <w:tcBorders>
              <w:top w:val="nil"/>
              <w:left w:val="single" w:sz="6" w:space="0" w:color="auto"/>
              <w:bottom w:val="single" w:sz="6" w:space="0" w:color="auto"/>
              <w:right w:val="single" w:sz="6" w:space="0" w:color="auto"/>
            </w:tcBorders>
            <w:vAlign w:val="center"/>
          </w:tcPr>
          <w:p w14:paraId="0AE885FA">
            <w:pPr>
              <w:spacing w:line="360" w:lineRule="auto"/>
              <w:rPr>
                <w:rFonts w:ascii="宋体" w:hAnsi="宋体"/>
              </w:rPr>
            </w:pPr>
          </w:p>
        </w:tc>
        <w:tc>
          <w:tcPr>
            <w:tcW w:w="1020" w:type="dxa"/>
            <w:tcBorders>
              <w:top w:val="nil"/>
              <w:left w:val="single" w:sz="6" w:space="0" w:color="auto"/>
              <w:bottom w:val="single" w:sz="6" w:space="0" w:color="auto"/>
              <w:right w:val="single" w:sz="6" w:space="0" w:color="auto"/>
            </w:tcBorders>
            <w:vAlign w:val="center"/>
          </w:tcPr>
          <w:p w14:paraId="47E15A50">
            <w:pPr>
              <w:spacing w:line="360" w:lineRule="auto"/>
              <w:rPr>
                <w:rFonts w:ascii="宋体" w:hAnsi="宋体"/>
              </w:rPr>
            </w:pPr>
          </w:p>
        </w:tc>
        <w:tc>
          <w:tcPr>
            <w:tcW w:w="1480" w:type="dxa"/>
            <w:tcBorders>
              <w:top w:val="nil"/>
              <w:left w:val="single" w:sz="6" w:space="0" w:color="auto"/>
              <w:bottom w:val="single" w:sz="6" w:space="0" w:color="auto"/>
              <w:right w:val="single" w:sz="6" w:space="0" w:color="auto"/>
            </w:tcBorders>
            <w:vAlign w:val="center"/>
          </w:tcPr>
          <w:p w14:paraId="509F62D1">
            <w:pPr>
              <w:spacing w:line="360" w:lineRule="auto"/>
              <w:rPr>
                <w:rFonts w:ascii="宋体" w:hAnsi="宋体"/>
              </w:rPr>
            </w:pPr>
          </w:p>
        </w:tc>
        <w:tc>
          <w:tcPr>
            <w:tcW w:w="1020" w:type="dxa"/>
            <w:tcBorders>
              <w:top w:val="nil"/>
              <w:left w:val="single" w:sz="6" w:space="0" w:color="auto"/>
              <w:bottom w:val="single" w:sz="6" w:space="0" w:color="auto"/>
              <w:right w:val="single" w:sz="6" w:space="0" w:color="auto"/>
            </w:tcBorders>
            <w:vAlign w:val="center"/>
          </w:tcPr>
          <w:p w14:paraId="136BF891">
            <w:pPr>
              <w:spacing w:line="360" w:lineRule="auto"/>
              <w:rPr>
                <w:rFonts w:ascii="宋体" w:hAnsi="宋体"/>
              </w:rPr>
            </w:pPr>
          </w:p>
        </w:tc>
        <w:tc>
          <w:tcPr>
            <w:tcW w:w="921" w:type="dxa"/>
            <w:tcBorders>
              <w:top w:val="nil"/>
              <w:left w:val="single" w:sz="6" w:space="0" w:color="auto"/>
              <w:bottom w:val="single" w:sz="6" w:space="0" w:color="auto"/>
              <w:right w:val="single" w:sz="12" w:space="0" w:color="auto"/>
            </w:tcBorders>
            <w:vAlign w:val="center"/>
          </w:tcPr>
          <w:p w14:paraId="674D71C3">
            <w:pPr>
              <w:spacing w:line="360" w:lineRule="auto"/>
              <w:rPr>
                <w:rFonts w:ascii="宋体" w:hAnsi="宋体"/>
              </w:rPr>
            </w:pPr>
          </w:p>
        </w:tc>
      </w:tr>
      <w:tr w14:paraId="189DC2A7">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vAlign w:val="center"/>
          </w:tcPr>
          <w:p w14:paraId="3C080A8A">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32F1716D">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vAlign w:val="center"/>
          </w:tcPr>
          <w:p w14:paraId="11EE1FEF">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vAlign w:val="center"/>
          </w:tcPr>
          <w:p w14:paraId="28097EAA">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vAlign w:val="center"/>
          </w:tcPr>
          <w:p w14:paraId="7A88B4AC">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7F6D1067">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vAlign w:val="center"/>
          </w:tcPr>
          <w:p w14:paraId="5DDEBF8D">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11E6FAD8">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vAlign w:val="center"/>
          </w:tcPr>
          <w:p w14:paraId="3FF7A3F2">
            <w:pPr>
              <w:spacing w:line="360" w:lineRule="auto"/>
              <w:rPr>
                <w:rFonts w:ascii="宋体" w:hAnsi="宋体"/>
              </w:rPr>
            </w:pPr>
          </w:p>
        </w:tc>
      </w:tr>
      <w:tr w14:paraId="77EB7421">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vAlign w:val="center"/>
          </w:tcPr>
          <w:p w14:paraId="794C26D5">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05680C91">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vAlign w:val="center"/>
          </w:tcPr>
          <w:p w14:paraId="733254B7">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vAlign w:val="center"/>
          </w:tcPr>
          <w:p w14:paraId="3CC6B37E">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vAlign w:val="center"/>
          </w:tcPr>
          <w:p w14:paraId="67AE1AAB">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0B94B2B0">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vAlign w:val="center"/>
          </w:tcPr>
          <w:p w14:paraId="655F0C09">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01768DD2">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vAlign w:val="center"/>
          </w:tcPr>
          <w:p w14:paraId="2E73415F">
            <w:pPr>
              <w:spacing w:line="360" w:lineRule="auto"/>
              <w:rPr>
                <w:rFonts w:ascii="宋体" w:hAnsi="宋体"/>
              </w:rPr>
            </w:pPr>
          </w:p>
        </w:tc>
      </w:tr>
      <w:tr w14:paraId="296417A2">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vAlign w:val="center"/>
          </w:tcPr>
          <w:p w14:paraId="65EB1AEE">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5CF44296">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vAlign w:val="center"/>
          </w:tcPr>
          <w:p w14:paraId="20A8BC82">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vAlign w:val="center"/>
          </w:tcPr>
          <w:p w14:paraId="5327F8DC">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vAlign w:val="center"/>
          </w:tcPr>
          <w:p w14:paraId="72B63DC3">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2DE64CB6">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vAlign w:val="center"/>
          </w:tcPr>
          <w:p w14:paraId="2D38DB21">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38F19103">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vAlign w:val="center"/>
          </w:tcPr>
          <w:p w14:paraId="32F16DC6">
            <w:pPr>
              <w:spacing w:line="360" w:lineRule="auto"/>
              <w:rPr>
                <w:rFonts w:ascii="宋体" w:hAnsi="宋体"/>
              </w:rPr>
            </w:pPr>
          </w:p>
        </w:tc>
      </w:tr>
      <w:tr w14:paraId="0C031E01">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vAlign w:val="center"/>
          </w:tcPr>
          <w:p w14:paraId="5019BBCA">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622BD066">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vAlign w:val="center"/>
          </w:tcPr>
          <w:p w14:paraId="5639F02A">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vAlign w:val="center"/>
          </w:tcPr>
          <w:p w14:paraId="1ABEF534">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vAlign w:val="center"/>
          </w:tcPr>
          <w:p w14:paraId="27EB3445">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31989B40">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vAlign w:val="center"/>
          </w:tcPr>
          <w:p w14:paraId="0A97545B">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0EA1D50D">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vAlign w:val="center"/>
          </w:tcPr>
          <w:p w14:paraId="259FDE50">
            <w:pPr>
              <w:spacing w:line="360" w:lineRule="auto"/>
              <w:rPr>
                <w:rFonts w:ascii="宋体" w:hAnsi="宋体"/>
              </w:rPr>
            </w:pPr>
          </w:p>
        </w:tc>
      </w:tr>
      <w:tr w14:paraId="67CA6B2A">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vAlign w:val="center"/>
          </w:tcPr>
          <w:p w14:paraId="42F81A6C">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1A4285FE">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vAlign w:val="center"/>
          </w:tcPr>
          <w:p w14:paraId="6A0F4EF6">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vAlign w:val="center"/>
          </w:tcPr>
          <w:p w14:paraId="457D92D1">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vAlign w:val="center"/>
          </w:tcPr>
          <w:p w14:paraId="551B04E8">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7488FAA2">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vAlign w:val="center"/>
          </w:tcPr>
          <w:p w14:paraId="38A82D19">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199DA271">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vAlign w:val="center"/>
          </w:tcPr>
          <w:p w14:paraId="1954EE91">
            <w:pPr>
              <w:spacing w:line="360" w:lineRule="auto"/>
              <w:rPr>
                <w:rFonts w:ascii="宋体" w:hAnsi="宋体"/>
              </w:rPr>
            </w:pPr>
          </w:p>
        </w:tc>
      </w:tr>
      <w:tr w14:paraId="71FC6094">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vAlign w:val="center"/>
          </w:tcPr>
          <w:p w14:paraId="3E75930C">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0341C302">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vAlign w:val="center"/>
          </w:tcPr>
          <w:p w14:paraId="2FC39043">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vAlign w:val="center"/>
          </w:tcPr>
          <w:p w14:paraId="360D65F1">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vAlign w:val="center"/>
          </w:tcPr>
          <w:p w14:paraId="4D456CEF">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1B6092B0">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vAlign w:val="center"/>
          </w:tcPr>
          <w:p w14:paraId="35F494AB">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59909B68">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vAlign w:val="center"/>
          </w:tcPr>
          <w:p w14:paraId="0E17C4BB">
            <w:pPr>
              <w:spacing w:line="360" w:lineRule="auto"/>
              <w:rPr>
                <w:rFonts w:ascii="宋体" w:hAnsi="宋体"/>
              </w:rPr>
            </w:pPr>
          </w:p>
        </w:tc>
      </w:tr>
      <w:tr w14:paraId="4D7C9C73">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tcPr>
          <w:p w14:paraId="4BDFEFD5">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4A2EA5B7">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tcPr>
          <w:p w14:paraId="160D6021">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tcPr>
          <w:p w14:paraId="6E9D439D">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tcPr>
          <w:p w14:paraId="28201CBE">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4CFA1909">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tcPr>
          <w:p w14:paraId="601C6CD1">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45B3050F">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tcPr>
          <w:p w14:paraId="4E87C2E7">
            <w:pPr>
              <w:spacing w:line="360" w:lineRule="auto"/>
              <w:rPr>
                <w:rFonts w:ascii="宋体" w:hAnsi="宋体"/>
              </w:rPr>
            </w:pPr>
          </w:p>
        </w:tc>
      </w:tr>
      <w:tr w14:paraId="1E530519">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vAlign w:val="center"/>
          </w:tcPr>
          <w:p w14:paraId="49291146">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086F1C4D">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vAlign w:val="center"/>
          </w:tcPr>
          <w:p w14:paraId="180F6E83">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vAlign w:val="center"/>
          </w:tcPr>
          <w:p w14:paraId="41E31322">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vAlign w:val="center"/>
          </w:tcPr>
          <w:p w14:paraId="74CC8758">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36C2B804">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vAlign w:val="center"/>
          </w:tcPr>
          <w:p w14:paraId="2491A08D">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vAlign w:val="center"/>
          </w:tcPr>
          <w:p w14:paraId="66773291">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vAlign w:val="center"/>
          </w:tcPr>
          <w:p w14:paraId="7F3DC036">
            <w:pPr>
              <w:spacing w:line="360" w:lineRule="auto"/>
              <w:rPr>
                <w:rFonts w:ascii="宋体" w:hAnsi="宋体"/>
              </w:rPr>
            </w:pPr>
          </w:p>
        </w:tc>
      </w:tr>
      <w:tr w14:paraId="3ADB9F55">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tcPr>
          <w:p w14:paraId="240AC84F">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74CD9E93">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tcPr>
          <w:p w14:paraId="78EA7F7A">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tcPr>
          <w:p w14:paraId="2EED1A44">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tcPr>
          <w:p w14:paraId="3CD013ED">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7EAACB72">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tcPr>
          <w:p w14:paraId="62B3B349">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4E179C6B">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tcPr>
          <w:p w14:paraId="19F5D16E">
            <w:pPr>
              <w:spacing w:line="360" w:lineRule="auto"/>
              <w:rPr>
                <w:rFonts w:ascii="宋体" w:hAnsi="宋体"/>
              </w:rPr>
            </w:pPr>
          </w:p>
        </w:tc>
      </w:tr>
      <w:tr w14:paraId="55591FF6">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tcPr>
          <w:p w14:paraId="3A9B48FE">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568AAFD8">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tcPr>
          <w:p w14:paraId="5D55EEF4">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tcPr>
          <w:p w14:paraId="66F08C42">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tcPr>
          <w:p w14:paraId="720A1C5E">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2E54B148">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tcPr>
          <w:p w14:paraId="62FD5EF9">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223CFE14">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tcPr>
          <w:p w14:paraId="17091F57">
            <w:pPr>
              <w:spacing w:line="360" w:lineRule="auto"/>
              <w:rPr>
                <w:rFonts w:ascii="宋体" w:hAnsi="宋体"/>
              </w:rPr>
            </w:pPr>
          </w:p>
        </w:tc>
      </w:tr>
      <w:tr w14:paraId="6088948A">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tcPr>
          <w:p w14:paraId="6507E6E6">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25F83500">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tcPr>
          <w:p w14:paraId="626CF6D7">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tcPr>
          <w:p w14:paraId="345A3780">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tcPr>
          <w:p w14:paraId="70E9A67F">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7F8D2FC4">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tcPr>
          <w:p w14:paraId="5ABAB09C">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4E42CE8F">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tcPr>
          <w:p w14:paraId="7470E314">
            <w:pPr>
              <w:spacing w:line="360" w:lineRule="auto"/>
              <w:rPr>
                <w:rFonts w:ascii="宋体" w:hAnsi="宋体"/>
              </w:rPr>
            </w:pPr>
          </w:p>
        </w:tc>
      </w:tr>
      <w:tr w14:paraId="4BB268B0">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tcPr>
          <w:p w14:paraId="531A3191">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7CAD5DBE">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tcPr>
          <w:p w14:paraId="53094BBE">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tcPr>
          <w:p w14:paraId="31481CD9">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tcPr>
          <w:p w14:paraId="4582A831">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5B408B7A">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tcPr>
          <w:p w14:paraId="275B70E6">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50767090">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tcPr>
          <w:p w14:paraId="6DD5A231">
            <w:pPr>
              <w:spacing w:line="360" w:lineRule="auto"/>
              <w:rPr>
                <w:rFonts w:ascii="宋体" w:hAnsi="宋体"/>
              </w:rPr>
            </w:pPr>
          </w:p>
        </w:tc>
      </w:tr>
      <w:tr w14:paraId="3DD45445">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tcPr>
          <w:p w14:paraId="6559024E">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150D6494">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tcPr>
          <w:p w14:paraId="51A22E98">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tcPr>
          <w:p w14:paraId="74D452ED">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tcPr>
          <w:p w14:paraId="68C0DF67">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236A74B7">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tcPr>
          <w:p w14:paraId="0EBCFB41">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2A59B818">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tcPr>
          <w:p w14:paraId="7248A85B">
            <w:pPr>
              <w:spacing w:line="360" w:lineRule="auto"/>
              <w:rPr>
                <w:rFonts w:ascii="宋体" w:hAnsi="宋体"/>
              </w:rPr>
            </w:pPr>
          </w:p>
        </w:tc>
      </w:tr>
      <w:tr w14:paraId="64DB1909">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tcPr>
          <w:p w14:paraId="5F1A1615">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42D71426">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tcPr>
          <w:p w14:paraId="3CE36995">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tcPr>
          <w:p w14:paraId="734D13CF">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tcPr>
          <w:p w14:paraId="0068E223">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188350B1">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tcPr>
          <w:p w14:paraId="5AD9A8C6">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72321F70">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tcPr>
          <w:p w14:paraId="59F1D01C">
            <w:pPr>
              <w:spacing w:line="360" w:lineRule="auto"/>
              <w:rPr>
                <w:rFonts w:ascii="宋体" w:hAnsi="宋体"/>
              </w:rPr>
            </w:pPr>
          </w:p>
        </w:tc>
      </w:tr>
      <w:tr w14:paraId="7516F221">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tcPr>
          <w:p w14:paraId="3662460E">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0BDA6263">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tcPr>
          <w:p w14:paraId="3B597CDD">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tcPr>
          <w:p w14:paraId="61E5CB30">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tcPr>
          <w:p w14:paraId="6AAB04CD">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3D1D9A35">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tcPr>
          <w:p w14:paraId="63550D9F">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1C6C16D3">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tcPr>
          <w:p w14:paraId="224F8879">
            <w:pPr>
              <w:spacing w:line="360" w:lineRule="auto"/>
              <w:rPr>
                <w:rFonts w:ascii="宋体" w:hAnsi="宋体"/>
              </w:rPr>
            </w:pPr>
          </w:p>
        </w:tc>
      </w:tr>
      <w:tr w14:paraId="45B9BB22">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6" w:space="0" w:color="auto"/>
              <w:right w:val="single" w:sz="6" w:space="0" w:color="auto"/>
            </w:tcBorders>
          </w:tcPr>
          <w:p w14:paraId="04C4DE4F">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4F14968A">
            <w:pPr>
              <w:spacing w:line="360" w:lineRule="auto"/>
              <w:rPr>
                <w:rFonts w:ascii="宋体" w:hAnsi="宋体"/>
              </w:rPr>
            </w:pPr>
          </w:p>
        </w:tc>
        <w:tc>
          <w:tcPr>
            <w:tcW w:w="850" w:type="dxa"/>
            <w:tcBorders>
              <w:top w:val="single" w:sz="6" w:space="0" w:color="auto"/>
              <w:left w:val="single" w:sz="6" w:space="0" w:color="auto"/>
              <w:bottom w:val="single" w:sz="6" w:space="0" w:color="auto"/>
              <w:right w:val="single" w:sz="6" w:space="0" w:color="auto"/>
            </w:tcBorders>
          </w:tcPr>
          <w:p w14:paraId="2E5C4FCB">
            <w:pPr>
              <w:spacing w:line="360" w:lineRule="auto"/>
              <w:rPr>
                <w:rFonts w:ascii="宋体" w:hAnsi="宋体"/>
              </w:rPr>
            </w:pPr>
          </w:p>
        </w:tc>
        <w:tc>
          <w:tcPr>
            <w:tcW w:w="1058" w:type="dxa"/>
            <w:tcBorders>
              <w:top w:val="single" w:sz="6" w:space="0" w:color="auto"/>
              <w:left w:val="single" w:sz="6" w:space="0" w:color="auto"/>
              <w:bottom w:val="single" w:sz="6" w:space="0" w:color="auto"/>
              <w:right w:val="single" w:sz="6" w:space="0" w:color="auto"/>
            </w:tcBorders>
          </w:tcPr>
          <w:p w14:paraId="2CC4CD28">
            <w:pPr>
              <w:spacing w:line="360" w:lineRule="auto"/>
              <w:rPr>
                <w:rFonts w:ascii="宋体" w:hAnsi="宋体"/>
              </w:rPr>
            </w:pPr>
          </w:p>
        </w:tc>
        <w:tc>
          <w:tcPr>
            <w:tcW w:w="880" w:type="dxa"/>
            <w:tcBorders>
              <w:top w:val="single" w:sz="6" w:space="0" w:color="auto"/>
              <w:left w:val="single" w:sz="6" w:space="0" w:color="auto"/>
              <w:bottom w:val="single" w:sz="6" w:space="0" w:color="auto"/>
              <w:right w:val="single" w:sz="6" w:space="0" w:color="auto"/>
            </w:tcBorders>
          </w:tcPr>
          <w:p w14:paraId="13E17284">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7D41D56E">
            <w:pPr>
              <w:spacing w:line="360" w:lineRule="auto"/>
              <w:rPr>
                <w:rFonts w:ascii="宋体" w:hAnsi="宋体"/>
              </w:rPr>
            </w:pPr>
          </w:p>
        </w:tc>
        <w:tc>
          <w:tcPr>
            <w:tcW w:w="1480" w:type="dxa"/>
            <w:tcBorders>
              <w:top w:val="single" w:sz="6" w:space="0" w:color="auto"/>
              <w:left w:val="single" w:sz="6" w:space="0" w:color="auto"/>
              <w:bottom w:val="single" w:sz="6" w:space="0" w:color="auto"/>
              <w:right w:val="single" w:sz="6" w:space="0" w:color="auto"/>
            </w:tcBorders>
          </w:tcPr>
          <w:p w14:paraId="5E0B1E41">
            <w:pPr>
              <w:spacing w:line="360" w:lineRule="auto"/>
              <w:rPr>
                <w:rFonts w:ascii="宋体" w:hAnsi="宋体"/>
              </w:rPr>
            </w:pPr>
          </w:p>
        </w:tc>
        <w:tc>
          <w:tcPr>
            <w:tcW w:w="1020" w:type="dxa"/>
            <w:tcBorders>
              <w:top w:val="single" w:sz="6" w:space="0" w:color="auto"/>
              <w:left w:val="single" w:sz="6" w:space="0" w:color="auto"/>
              <w:bottom w:val="single" w:sz="6" w:space="0" w:color="auto"/>
              <w:right w:val="single" w:sz="6" w:space="0" w:color="auto"/>
            </w:tcBorders>
          </w:tcPr>
          <w:p w14:paraId="334568D8">
            <w:pPr>
              <w:spacing w:line="360" w:lineRule="auto"/>
              <w:rPr>
                <w:rFonts w:ascii="宋体" w:hAnsi="宋体"/>
              </w:rPr>
            </w:pPr>
          </w:p>
        </w:tc>
        <w:tc>
          <w:tcPr>
            <w:tcW w:w="921" w:type="dxa"/>
            <w:tcBorders>
              <w:top w:val="single" w:sz="6" w:space="0" w:color="auto"/>
              <w:left w:val="single" w:sz="6" w:space="0" w:color="auto"/>
              <w:bottom w:val="single" w:sz="6" w:space="0" w:color="auto"/>
              <w:right w:val="single" w:sz="12" w:space="0" w:color="auto"/>
            </w:tcBorders>
          </w:tcPr>
          <w:p w14:paraId="6D0FA6C9">
            <w:pPr>
              <w:spacing w:line="360" w:lineRule="auto"/>
              <w:rPr>
                <w:rFonts w:ascii="宋体" w:hAnsi="宋体"/>
              </w:rPr>
            </w:pPr>
          </w:p>
        </w:tc>
      </w:tr>
      <w:tr w14:paraId="5646222F">
        <w:tblPrEx>
          <w:tblW w:w="0" w:type="auto"/>
          <w:jc w:val="center"/>
          <w:tblLayout w:type="fixed"/>
          <w:tblCellMar>
            <w:top w:w="0" w:type="dxa"/>
            <w:left w:w="28" w:type="dxa"/>
            <w:bottom w:w="0" w:type="dxa"/>
            <w:right w:w="28" w:type="dxa"/>
          </w:tblCellMar>
        </w:tblPrEx>
        <w:trPr>
          <w:trHeight w:val="567"/>
          <w:jc w:val="center"/>
        </w:trPr>
        <w:tc>
          <w:tcPr>
            <w:tcW w:w="1162" w:type="dxa"/>
            <w:tcBorders>
              <w:top w:val="single" w:sz="6" w:space="0" w:color="auto"/>
              <w:left w:val="single" w:sz="12" w:space="0" w:color="auto"/>
              <w:bottom w:val="single" w:sz="12" w:space="0" w:color="auto"/>
              <w:right w:val="single" w:sz="6" w:space="0" w:color="auto"/>
            </w:tcBorders>
          </w:tcPr>
          <w:p w14:paraId="5D40FE59">
            <w:pPr>
              <w:spacing w:line="360" w:lineRule="auto"/>
              <w:rPr>
                <w:rFonts w:ascii="宋体" w:hAnsi="宋体"/>
              </w:rPr>
            </w:pPr>
          </w:p>
        </w:tc>
        <w:tc>
          <w:tcPr>
            <w:tcW w:w="1418" w:type="dxa"/>
            <w:tcBorders>
              <w:top w:val="single" w:sz="6" w:space="0" w:color="auto"/>
              <w:left w:val="single" w:sz="6" w:space="0" w:color="auto"/>
              <w:bottom w:val="single" w:sz="12" w:space="0" w:color="auto"/>
              <w:right w:val="single" w:sz="6" w:space="0" w:color="auto"/>
            </w:tcBorders>
          </w:tcPr>
          <w:p w14:paraId="2CAE3545">
            <w:pPr>
              <w:spacing w:line="360" w:lineRule="auto"/>
              <w:rPr>
                <w:rFonts w:ascii="宋体" w:hAnsi="宋体"/>
              </w:rPr>
            </w:pPr>
          </w:p>
        </w:tc>
        <w:tc>
          <w:tcPr>
            <w:tcW w:w="850" w:type="dxa"/>
            <w:tcBorders>
              <w:top w:val="single" w:sz="6" w:space="0" w:color="auto"/>
              <w:left w:val="single" w:sz="6" w:space="0" w:color="auto"/>
              <w:bottom w:val="single" w:sz="12" w:space="0" w:color="auto"/>
              <w:right w:val="single" w:sz="6" w:space="0" w:color="auto"/>
            </w:tcBorders>
          </w:tcPr>
          <w:p w14:paraId="0C3EB5B2">
            <w:pPr>
              <w:spacing w:line="360" w:lineRule="auto"/>
              <w:rPr>
                <w:rFonts w:ascii="宋体" w:hAnsi="宋体"/>
              </w:rPr>
            </w:pPr>
          </w:p>
        </w:tc>
        <w:tc>
          <w:tcPr>
            <w:tcW w:w="1058" w:type="dxa"/>
            <w:tcBorders>
              <w:top w:val="single" w:sz="6" w:space="0" w:color="auto"/>
              <w:left w:val="single" w:sz="6" w:space="0" w:color="auto"/>
              <w:bottom w:val="single" w:sz="12" w:space="0" w:color="auto"/>
              <w:right w:val="single" w:sz="6" w:space="0" w:color="auto"/>
            </w:tcBorders>
          </w:tcPr>
          <w:p w14:paraId="26588969">
            <w:pPr>
              <w:spacing w:line="360" w:lineRule="auto"/>
              <w:rPr>
                <w:rFonts w:ascii="宋体" w:hAnsi="宋体"/>
              </w:rPr>
            </w:pPr>
          </w:p>
        </w:tc>
        <w:tc>
          <w:tcPr>
            <w:tcW w:w="880" w:type="dxa"/>
            <w:tcBorders>
              <w:top w:val="single" w:sz="6" w:space="0" w:color="auto"/>
              <w:left w:val="single" w:sz="6" w:space="0" w:color="auto"/>
              <w:bottom w:val="single" w:sz="12" w:space="0" w:color="auto"/>
              <w:right w:val="single" w:sz="6" w:space="0" w:color="auto"/>
            </w:tcBorders>
          </w:tcPr>
          <w:p w14:paraId="7F21C3D0">
            <w:pPr>
              <w:spacing w:line="360" w:lineRule="auto"/>
              <w:rPr>
                <w:rFonts w:ascii="宋体" w:hAnsi="宋体"/>
              </w:rPr>
            </w:pPr>
          </w:p>
        </w:tc>
        <w:tc>
          <w:tcPr>
            <w:tcW w:w="1020" w:type="dxa"/>
            <w:tcBorders>
              <w:top w:val="single" w:sz="6" w:space="0" w:color="auto"/>
              <w:left w:val="single" w:sz="6" w:space="0" w:color="auto"/>
              <w:bottom w:val="single" w:sz="12" w:space="0" w:color="auto"/>
              <w:right w:val="single" w:sz="6" w:space="0" w:color="auto"/>
            </w:tcBorders>
          </w:tcPr>
          <w:p w14:paraId="308952E3">
            <w:pPr>
              <w:spacing w:line="360" w:lineRule="auto"/>
              <w:rPr>
                <w:rFonts w:ascii="宋体" w:hAnsi="宋体"/>
              </w:rPr>
            </w:pPr>
          </w:p>
        </w:tc>
        <w:tc>
          <w:tcPr>
            <w:tcW w:w="1480" w:type="dxa"/>
            <w:tcBorders>
              <w:top w:val="single" w:sz="6" w:space="0" w:color="auto"/>
              <w:left w:val="single" w:sz="6" w:space="0" w:color="auto"/>
              <w:bottom w:val="single" w:sz="12" w:space="0" w:color="auto"/>
              <w:right w:val="single" w:sz="6" w:space="0" w:color="auto"/>
            </w:tcBorders>
          </w:tcPr>
          <w:p w14:paraId="2128E59C">
            <w:pPr>
              <w:spacing w:line="360" w:lineRule="auto"/>
              <w:rPr>
                <w:rFonts w:ascii="宋体" w:hAnsi="宋体"/>
              </w:rPr>
            </w:pPr>
          </w:p>
        </w:tc>
        <w:tc>
          <w:tcPr>
            <w:tcW w:w="1020" w:type="dxa"/>
            <w:tcBorders>
              <w:top w:val="single" w:sz="6" w:space="0" w:color="auto"/>
              <w:left w:val="single" w:sz="6" w:space="0" w:color="auto"/>
              <w:bottom w:val="single" w:sz="12" w:space="0" w:color="auto"/>
              <w:right w:val="single" w:sz="6" w:space="0" w:color="auto"/>
            </w:tcBorders>
          </w:tcPr>
          <w:p w14:paraId="0B88BA31">
            <w:pPr>
              <w:spacing w:line="360" w:lineRule="auto"/>
              <w:rPr>
                <w:rFonts w:ascii="宋体" w:hAnsi="宋体"/>
              </w:rPr>
            </w:pPr>
          </w:p>
        </w:tc>
        <w:tc>
          <w:tcPr>
            <w:tcW w:w="921" w:type="dxa"/>
            <w:tcBorders>
              <w:top w:val="single" w:sz="6" w:space="0" w:color="auto"/>
              <w:left w:val="single" w:sz="6" w:space="0" w:color="auto"/>
              <w:bottom w:val="single" w:sz="12" w:space="0" w:color="auto"/>
              <w:right w:val="single" w:sz="12" w:space="0" w:color="auto"/>
            </w:tcBorders>
          </w:tcPr>
          <w:p w14:paraId="22509AB3">
            <w:pPr>
              <w:spacing w:line="360" w:lineRule="auto"/>
              <w:rPr>
                <w:rFonts w:ascii="宋体" w:hAnsi="宋体"/>
              </w:rPr>
            </w:pPr>
          </w:p>
        </w:tc>
      </w:tr>
    </w:tbl>
    <w:p w14:paraId="30988137">
      <w:pPr>
        <w:spacing w:line="360" w:lineRule="auto"/>
        <w:rPr>
          <w:rFonts w:ascii="宋体" w:hAnsi="宋体"/>
          <w:kern w:val="2"/>
        </w:rPr>
      </w:pPr>
    </w:p>
    <w:p w14:paraId="66B4F45B">
      <w:pPr>
        <w:rPr>
          <w:rFonts w:ascii="宋体" w:hAnsi="宋体"/>
        </w:rPr>
      </w:pPr>
      <w:r>
        <w:rPr>
          <w:rFonts w:ascii="宋体" w:hAnsi="宋体" w:hint="eastAsia"/>
        </w:rPr>
        <w:br w:type="page"/>
      </w:r>
    </w:p>
    <w:p w14:paraId="3177B960">
      <w:pPr>
        <w:rPr>
          <w:rFonts w:ascii="宋体" w:hAnsi="宋体"/>
        </w:rPr>
      </w:pPr>
    </w:p>
    <w:p w14:paraId="0ECAEA63">
      <w:pPr>
        <w:spacing w:line="360" w:lineRule="auto"/>
        <w:rPr>
          <w:rFonts w:ascii="宋体" w:hAnsi="宋体"/>
        </w:rPr>
      </w:pPr>
      <w:r>
        <w:rPr>
          <w:rFonts w:ascii="宋体" w:hAnsi="宋体" w:hint="eastAsia"/>
        </w:rPr>
        <w:t>附</w:t>
      </w:r>
      <w:bookmarkStart w:id="1090" w:name="_Toc296944567"/>
      <w:bookmarkStart w:id="1091" w:name="_Toc296346729"/>
      <w:bookmarkStart w:id="1092" w:name="_Toc296891056"/>
      <w:bookmarkStart w:id="1093" w:name="_Toc267261699"/>
      <w:bookmarkStart w:id="1094" w:name="_Toc296891268"/>
      <w:bookmarkStart w:id="1095" w:name="_Toc296503228"/>
      <w:bookmarkStart w:id="1096" w:name="_Toc296347227"/>
      <w:r>
        <w:rPr>
          <w:rFonts w:ascii="宋体" w:hAnsi="宋体" w:hint="eastAsia"/>
        </w:rPr>
        <w:t>件6：</w:t>
      </w:r>
    </w:p>
    <w:bookmarkEnd w:id="1090"/>
    <w:bookmarkEnd w:id="1091"/>
    <w:bookmarkEnd w:id="1092"/>
    <w:bookmarkEnd w:id="1093"/>
    <w:bookmarkEnd w:id="1094"/>
    <w:bookmarkEnd w:id="1095"/>
    <w:bookmarkEnd w:id="1096"/>
    <w:p w14:paraId="6D2AEAEF">
      <w:pPr>
        <w:spacing w:line="360" w:lineRule="auto"/>
        <w:jc w:val="center"/>
        <w:rPr>
          <w:rFonts w:ascii="宋体" w:hAnsi="宋体"/>
          <w:b/>
          <w:lang w:eastAsia="zh-CN"/>
        </w:rPr>
      </w:pPr>
      <w:r>
        <w:rPr>
          <w:rFonts w:ascii="宋体" w:hAnsi="宋体" w:hint="eastAsia"/>
          <w:b/>
          <w:lang w:eastAsia="zh-CN"/>
        </w:rPr>
        <w:t>承包人主要施工管理人员表</w:t>
      </w: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
      <w:tblGrid>
        <w:gridCol w:w="1871"/>
        <w:gridCol w:w="1418"/>
        <w:gridCol w:w="1134"/>
        <w:gridCol w:w="1134"/>
        <w:gridCol w:w="4252"/>
      </w:tblGrid>
      <w:tr w14:paraId="172F423C">
        <w:tblPrEx>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Ex>
        <w:trPr>
          <w:jc w:val="center"/>
        </w:trPr>
        <w:tc>
          <w:tcPr>
            <w:tcW w:w="1871" w:type="dxa"/>
            <w:tcBorders>
              <w:top w:val="single" w:sz="12" w:space="0" w:color="auto"/>
              <w:left w:val="single" w:sz="12" w:space="0" w:color="auto"/>
              <w:bottom w:val="double" w:sz="6" w:space="0" w:color="auto"/>
              <w:right w:val="single" w:sz="6" w:space="0" w:color="auto"/>
            </w:tcBorders>
            <w:vAlign w:val="center"/>
          </w:tcPr>
          <w:p w14:paraId="488EEA8C">
            <w:pPr>
              <w:spacing w:line="360" w:lineRule="auto"/>
              <w:rPr>
                <w:rFonts w:ascii="宋体" w:hAnsi="宋体"/>
              </w:rPr>
            </w:pPr>
            <w:r>
              <w:rPr>
                <w:rFonts w:ascii="宋体" w:hAnsi="宋体" w:hint="eastAsia"/>
              </w:rPr>
              <w:t>名    称</w:t>
            </w:r>
          </w:p>
        </w:tc>
        <w:tc>
          <w:tcPr>
            <w:tcW w:w="1418" w:type="dxa"/>
            <w:tcBorders>
              <w:top w:val="single" w:sz="12" w:space="0" w:color="auto"/>
              <w:left w:val="single" w:sz="6" w:space="0" w:color="auto"/>
              <w:bottom w:val="double" w:sz="6" w:space="0" w:color="auto"/>
              <w:right w:val="single" w:sz="6" w:space="0" w:color="auto"/>
            </w:tcBorders>
            <w:vAlign w:val="center"/>
          </w:tcPr>
          <w:p w14:paraId="5D472383">
            <w:pPr>
              <w:spacing w:line="360" w:lineRule="auto"/>
              <w:rPr>
                <w:rFonts w:ascii="宋体" w:hAnsi="宋体"/>
              </w:rPr>
            </w:pPr>
            <w:r>
              <w:rPr>
                <w:rFonts w:ascii="宋体" w:hAnsi="宋体" w:hint="eastAsia"/>
              </w:rPr>
              <w:t>姓名</w:t>
            </w:r>
          </w:p>
        </w:tc>
        <w:tc>
          <w:tcPr>
            <w:tcW w:w="1134" w:type="dxa"/>
            <w:tcBorders>
              <w:top w:val="single" w:sz="12" w:space="0" w:color="auto"/>
              <w:left w:val="single" w:sz="6" w:space="0" w:color="auto"/>
              <w:bottom w:val="double" w:sz="6" w:space="0" w:color="auto"/>
              <w:right w:val="single" w:sz="6" w:space="0" w:color="auto"/>
            </w:tcBorders>
            <w:vAlign w:val="center"/>
          </w:tcPr>
          <w:p w14:paraId="6E738A04">
            <w:pPr>
              <w:spacing w:line="360" w:lineRule="auto"/>
              <w:rPr>
                <w:rFonts w:ascii="宋体" w:hAnsi="宋体"/>
              </w:rPr>
            </w:pPr>
            <w:r>
              <w:rPr>
                <w:rFonts w:ascii="宋体" w:hAnsi="宋体" w:hint="eastAsia"/>
              </w:rPr>
              <w:t>职务</w:t>
            </w:r>
          </w:p>
        </w:tc>
        <w:tc>
          <w:tcPr>
            <w:tcW w:w="1134" w:type="dxa"/>
            <w:tcBorders>
              <w:top w:val="single" w:sz="12" w:space="0" w:color="auto"/>
              <w:left w:val="single" w:sz="6" w:space="0" w:color="auto"/>
              <w:bottom w:val="double" w:sz="6" w:space="0" w:color="auto"/>
              <w:right w:val="single" w:sz="6" w:space="0" w:color="auto"/>
            </w:tcBorders>
            <w:vAlign w:val="center"/>
          </w:tcPr>
          <w:p w14:paraId="7FCFAA10">
            <w:pPr>
              <w:spacing w:line="360" w:lineRule="auto"/>
              <w:jc w:val="center"/>
              <w:rPr>
                <w:rFonts w:ascii="宋体" w:hAnsi="宋体"/>
              </w:rPr>
            </w:pPr>
            <w:r>
              <w:rPr>
                <w:rFonts w:ascii="宋体" w:hAnsi="宋体" w:hint="eastAsia"/>
              </w:rPr>
              <w:t>专业技术职称</w:t>
            </w:r>
          </w:p>
        </w:tc>
        <w:tc>
          <w:tcPr>
            <w:tcW w:w="4252" w:type="dxa"/>
            <w:tcBorders>
              <w:top w:val="single" w:sz="12" w:space="0" w:color="auto"/>
              <w:left w:val="single" w:sz="6" w:space="0" w:color="auto"/>
              <w:bottom w:val="double" w:sz="6" w:space="0" w:color="auto"/>
              <w:right w:val="single" w:sz="12" w:space="0" w:color="auto"/>
            </w:tcBorders>
            <w:vAlign w:val="center"/>
          </w:tcPr>
          <w:p w14:paraId="3116DACE">
            <w:pPr>
              <w:spacing w:line="360" w:lineRule="auto"/>
              <w:rPr>
                <w:rFonts w:ascii="宋体" w:hAnsi="宋体"/>
                <w:lang w:eastAsia="zh-CN"/>
              </w:rPr>
            </w:pPr>
            <w:r>
              <w:rPr>
                <w:rFonts w:ascii="宋体" w:hAnsi="宋体" w:hint="eastAsia"/>
                <w:lang w:eastAsia="zh-CN"/>
              </w:rPr>
              <w:t>主要资历、经验及承担过的项目</w:t>
            </w:r>
          </w:p>
        </w:tc>
      </w:tr>
      <w:tr w14:paraId="2489DF16">
        <w:tblPrEx>
          <w:tblW w:w="0" w:type="auto"/>
          <w:jc w:val="center"/>
          <w:tblLayout w:type="fixed"/>
          <w:tblCellMar>
            <w:top w:w="0" w:type="dxa"/>
            <w:left w:w="28" w:type="dxa"/>
            <w:bottom w:w="0" w:type="dxa"/>
            <w:right w:w="28" w:type="dxa"/>
          </w:tblCellMar>
        </w:tblPrEx>
        <w:trPr>
          <w:jc w:val="center"/>
        </w:trPr>
        <w:tc>
          <w:tcPr>
            <w:tcW w:w="9809" w:type="dxa"/>
            <w:gridSpan w:val="5"/>
            <w:tcBorders>
              <w:top w:val="double" w:sz="6" w:space="0" w:color="auto"/>
              <w:left w:val="single" w:sz="12" w:space="0" w:color="auto"/>
              <w:bottom w:val="single" w:sz="6" w:space="0" w:color="auto"/>
              <w:right w:val="single" w:sz="12" w:space="0" w:color="auto"/>
            </w:tcBorders>
            <w:vAlign w:val="center"/>
          </w:tcPr>
          <w:p w14:paraId="7CF15671">
            <w:pPr>
              <w:spacing w:line="360" w:lineRule="auto"/>
              <w:rPr>
                <w:rFonts w:ascii="宋体" w:hAnsi="宋体"/>
              </w:rPr>
            </w:pPr>
            <w:r>
              <w:rPr>
                <w:rFonts w:ascii="宋体" w:hAnsi="宋体" w:hint="eastAsia"/>
              </w:rPr>
              <w:t>一、总部人员</w:t>
            </w:r>
          </w:p>
        </w:tc>
      </w:tr>
      <w:tr w14:paraId="625D4423">
        <w:tblPrEx>
          <w:tblW w:w="0" w:type="auto"/>
          <w:jc w:val="center"/>
          <w:tblLayout w:type="fixed"/>
          <w:tblCellMar>
            <w:top w:w="0" w:type="dxa"/>
            <w:left w:w="28" w:type="dxa"/>
            <w:bottom w:w="0" w:type="dxa"/>
            <w:right w:w="28" w:type="dxa"/>
          </w:tblCellMar>
        </w:tblPrEx>
        <w:trPr>
          <w:jc w:val="center"/>
        </w:trPr>
        <w:tc>
          <w:tcPr>
            <w:tcW w:w="1871" w:type="dxa"/>
            <w:tcBorders>
              <w:top w:val="nil"/>
              <w:left w:val="single" w:sz="12" w:space="0" w:color="auto"/>
              <w:bottom w:val="nil"/>
              <w:right w:val="single" w:sz="6" w:space="0" w:color="auto"/>
            </w:tcBorders>
            <w:vAlign w:val="center"/>
          </w:tcPr>
          <w:p w14:paraId="4E6D1DBC">
            <w:pPr>
              <w:spacing w:line="360" w:lineRule="auto"/>
              <w:rPr>
                <w:rFonts w:ascii="宋体" w:hAnsi="宋体"/>
              </w:rPr>
            </w:pPr>
            <w:r>
              <w:rPr>
                <w:rFonts w:ascii="宋体" w:hAnsi="宋体" w:hint="eastAsia"/>
              </w:rPr>
              <w:t>项目主管</w:t>
            </w:r>
          </w:p>
        </w:tc>
        <w:tc>
          <w:tcPr>
            <w:tcW w:w="1418" w:type="dxa"/>
            <w:tcBorders>
              <w:top w:val="nil"/>
              <w:left w:val="single" w:sz="6" w:space="0" w:color="auto"/>
              <w:bottom w:val="single" w:sz="6" w:space="0" w:color="auto"/>
              <w:right w:val="single" w:sz="6" w:space="0" w:color="auto"/>
            </w:tcBorders>
            <w:vAlign w:val="center"/>
          </w:tcPr>
          <w:p w14:paraId="45EE9770">
            <w:pPr>
              <w:spacing w:line="360" w:lineRule="auto"/>
              <w:rPr>
                <w:rFonts w:ascii="宋体" w:hAnsi="宋体"/>
              </w:rPr>
            </w:pPr>
          </w:p>
        </w:tc>
        <w:tc>
          <w:tcPr>
            <w:tcW w:w="1134" w:type="dxa"/>
            <w:tcBorders>
              <w:top w:val="nil"/>
              <w:left w:val="single" w:sz="6" w:space="0" w:color="auto"/>
              <w:bottom w:val="single" w:sz="6" w:space="0" w:color="auto"/>
              <w:right w:val="single" w:sz="6" w:space="0" w:color="auto"/>
            </w:tcBorders>
            <w:vAlign w:val="center"/>
          </w:tcPr>
          <w:p w14:paraId="25DD13B7">
            <w:pPr>
              <w:spacing w:line="360" w:lineRule="auto"/>
              <w:rPr>
                <w:rFonts w:ascii="宋体" w:hAnsi="宋体"/>
              </w:rPr>
            </w:pPr>
          </w:p>
        </w:tc>
        <w:tc>
          <w:tcPr>
            <w:tcW w:w="1134" w:type="dxa"/>
            <w:tcBorders>
              <w:top w:val="nil"/>
              <w:left w:val="single" w:sz="6" w:space="0" w:color="auto"/>
              <w:bottom w:val="single" w:sz="6" w:space="0" w:color="auto"/>
              <w:right w:val="single" w:sz="6" w:space="0" w:color="auto"/>
            </w:tcBorders>
            <w:vAlign w:val="center"/>
          </w:tcPr>
          <w:p w14:paraId="06D1FC4B">
            <w:pPr>
              <w:spacing w:line="360" w:lineRule="auto"/>
              <w:rPr>
                <w:rFonts w:ascii="宋体" w:hAnsi="宋体"/>
              </w:rPr>
            </w:pPr>
          </w:p>
        </w:tc>
        <w:tc>
          <w:tcPr>
            <w:tcW w:w="4252" w:type="dxa"/>
            <w:tcBorders>
              <w:top w:val="nil"/>
              <w:left w:val="single" w:sz="6" w:space="0" w:color="auto"/>
              <w:bottom w:val="single" w:sz="6" w:space="0" w:color="auto"/>
              <w:right w:val="single" w:sz="12" w:space="0" w:color="auto"/>
            </w:tcBorders>
            <w:vAlign w:val="center"/>
          </w:tcPr>
          <w:p w14:paraId="1AE23B0B">
            <w:pPr>
              <w:spacing w:line="360" w:lineRule="auto"/>
              <w:rPr>
                <w:rFonts w:ascii="宋体" w:hAnsi="宋体"/>
              </w:rPr>
            </w:pPr>
          </w:p>
        </w:tc>
      </w:tr>
      <w:tr w14:paraId="09E46A08">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nil"/>
              <w:right w:val="single" w:sz="6" w:space="0" w:color="auto"/>
            </w:tcBorders>
            <w:vAlign w:val="center"/>
          </w:tcPr>
          <w:p w14:paraId="59616A1F">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5678C2E3">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150DB1DF">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3B8AD99E">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70BA902C">
            <w:pPr>
              <w:spacing w:line="360" w:lineRule="auto"/>
              <w:rPr>
                <w:rFonts w:ascii="宋体" w:hAnsi="宋体"/>
              </w:rPr>
            </w:pPr>
          </w:p>
        </w:tc>
      </w:tr>
      <w:tr w14:paraId="46F7A8FD">
        <w:tblPrEx>
          <w:tblW w:w="0" w:type="auto"/>
          <w:jc w:val="center"/>
          <w:tblLayout w:type="fixed"/>
          <w:tblCellMar>
            <w:top w:w="0" w:type="dxa"/>
            <w:left w:w="28" w:type="dxa"/>
            <w:bottom w:w="0" w:type="dxa"/>
            <w:right w:w="28" w:type="dxa"/>
          </w:tblCellMar>
        </w:tblPrEx>
        <w:trPr>
          <w:jc w:val="center"/>
        </w:trPr>
        <w:tc>
          <w:tcPr>
            <w:tcW w:w="1871" w:type="dxa"/>
            <w:tcBorders>
              <w:top w:val="nil"/>
              <w:left w:val="single" w:sz="12" w:space="0" w:color="auto"/>
              <w:bottom w:val="nil"/>
              <w:right w:val="single" w:sz="6" w:space="0" w:color="auto"/>
            </w:tcBorders>
            <w:vAlign w:val="center"/>
          </w:tcPr>
          <w:p w14:paraId="5FFB2577">
            <w:pPr>
              <w:spacing w:line="360" w:lineRule="auto"/>
              <w:rPr>
                <w:rFonts w:ascii="宋体" w:hAnsi="宋体"/>
              </w:rPr>
            </w:pPr>
            <w:r>
              <w:rPr>
                <w:rFonts w:ascii="宋体" w:hAnsi="宋体" w:hint="eastAsia"/>
              </w:rPr>
              <w:t>其他人员</w:t>
            </w:r>
          </w:p>
        </w:tc>
        <w:tc>
          <w:tcPr>
            <w:tcW w:w="1418" w:type="dxa"/>
            <w:tcBorders>
              <w:top w:val="single" w:sz="6" w:space="0" w:color="auto"/>
              <w:left w:val="single" w:sz="6" w:space="0" w:color="auto"/>
              <w:bottom w:val="single" w:sz="6" w:space="0" w:color="auto"/>
              <w:right w:val="single" w:sz="6" w:space="0" w:color="auto"/>
            </w:tcBorders>
            <w:vAlign w:val="center"/>
          </w:tcPr>
          <w:p w14:paraId="47B3B053">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5DB2EF90">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7795D684">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45DAB3A3">
            <w:pPr>
              <w:spacing w:line="360" w:lineRule="auto"/>
              <w:rPr>
                <w:rFonts w:ascii="宋体" w:hAnsi="宋体"/>
              </w:rPr>
            </w:pPr>
          </w:p>
        </w:tc>
      </w:tr>
      <w:tr w14:paraId="010900AC">
        <w:tblPrEx>
          <w:tblW w:w="0" w:type="auto"/>
          <w:jc w:val="center"/>
          <w:tblLayout w:type="fixed"/>
          <w:tblCellMar>
            <w:top w:w="0" w:type="dxa"/>
            <w:left w:w="28" w:type="dxa"/>
            <w:bottom w:w="0" w:type="dxa"/>
            <w:right w:w="28" w:type="dxa"/>
          </w:tblCellMar>
        </w:tblPrEx>
        <w:trPr>
          <w:jc w:val="center"/>
        </w:trPr>
        <w:tc>
          <w:tcPr>
            <w:tcW w:w="1871" w:type="dxa"/>
            <w:tcBorders>
              <w:top w:val="nil"/>
              <w:left w:val="single" w:sz="12" w:space="0" w:color="auto"/>
              <w:bottom w:val="nil"/>
              <w:right w:val="single" w:sz="6" w:space="0" w:color="auto"/>
            </w:tcBorders>
            <w:vAlign w:val="center"/>
          </w:tcPr>
          <w:p w14:paraId="29786E07">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222B4DAF">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2448A188">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02BCD3D1">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23C96BA6">
            <w:pPr>
              <w:spacing w:line="360" w:lineRule="auto"/>
              <w:rPr>
                <w:rFonts w:ascii="宋体" w:hAnsi="宋体"/>
              </w:rPr>
            </w:pPr>
          </w:p>
        </w:tc>
      </w:tr>
      <w:tr w14:paraId="2F6795B7">
        <w:tblPrEx>
          <w:tblW w:w="0" w:type="auto"/>
          <w:jc w:val="center"/>
          <w:tblLayout w:type="fixed"/>
          <w:tblCellMar>
            <w:top w:w="0" w:type="dxa"/>
            <w:left w:w="28" w:type="dxa"/>
            <w:bottom w:w="0" w:type="dxa"/>
            <w:right w:w="28" w:type="dxa"/>
          </w:tblCellMar>
        </w:tblPrEx>
        <w:trPr>
          <w:jc w:val="center"/>
        </w:trPr>
        <w:tc>
          <w:tcPr>
            <w:tcW w:w="9809" w:type="dxa"/>
            <w:gridSpan w:val="5"/>
            <w:tcBorders>
              <w:top w:val="single" w:sz="6" w:space="0" w:color="auto"/>
              <w:left w:val="single" w:sz="12" w:space="0" w:color="auto"/>
              <w:bottom w:val="single" w:sz="6" w:space="0" w:color="auto"/>
              <w:right w:val="single" w:sz="12" w:space="0" w:color="auto"/>
            </w:tcBorders>
            <w:vAlign w:val="center"/>
          </w:tcPr>
          <w:p w14:paraId="7DA30832">
            <w:pPr>
              <w:spacing w:line="360" w:lineRule="auto"/>
              <w:rPr>
                <w:rFonts w:ascii="宋体" w:hAnsi="宋体"/>
              </w:rPr>
            </w:pPr>
            <w:r>
              <w:rPr>
                <w:rFonts w:ascii="宋体" w:hAnsi="宋体" w:hint="eastAsia"/>
              </w:rPr>
              <w:t>二、现场人员</w:t>
            </w:r>
          </w:p>
        </w:tc>
      </w:tr>
      <w:tr w14:paraId="471ADB48">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6691BCCD">
            <w:pPr>
              <w:spacing w:line="360" w:lineRule="auto"/>
              <w:rPr>
                <w:rFonts w:ascii="宋体" w:hAnsi="宋体"/>
              </w:rPr>
            </w:pPr>
            <w:r>
              <w:rPr>
                <w:rFonts w:ascii="宋体" w:hAnsi="宋体" w:hint="eastAsia"/>
              </w:rPr>
              <w:t>项目经理</w:t>
            </w:r>
          </w:p>
        </w:tc>
        <w:tc>
          <w:tcPr>
            <w:tcW w:w="1418" w:type="dxa"/>
            <w:tcBorders>
              <w:top w:val="single" w:sz="6" w:space="0" w:color="auto"/>
              <w:left w:val="single" w:sz="6" w:space="0" w:color="auto"/>
              <w:bottom w:val="single" w:sz="6" w:space="0" w:color="auto"/>
              <w:right w:val="single" w:sz="6" w:space="0" w:color="auto"/>
            </w:tcBorders>
            <w:vAlign w:val="center"/>
          </w:tcPr>
          <w:p w14:paraId="09E9B338">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36878D34">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26B28834">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7345BBF8">
            <w:pPr>
              <w:spacing w:line="360" w:lineRule="auto"/>
              <w:rPr>
                <w:rFonts w:ascii="宋体" w:hAnsi="宋体"/>
              </w:rPr>
            </w:pPr>
          </w:p>
        </w:tc>
      </w:tr>
      <w:tr w14:paraId="4D26A44B">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32068671">
            <w:pPr>
              <w:spacing w:line="360" w:lineRule="auto"/>
              <w:rPr>
                <w:rFonts w:ascii="宋体" w:hAnsi="宋体"/>
              </w:rPr>
            </w:pPr>
            <w:r>
              <w:rPr>
                <w:rFonts w:ascii="宋体" w:hAnsi="宋体" w:hint="eastAsia"/>
              </w:rPr>
              <w:t>项目副经理</w:t>
            </w:r>
          </w:p>
        </w:tc>
        <w:tc>
          <w:tcPr>
            <w:tcW w:w="1418" w:type="dxa"/>
            <w:tcBorders>
              <w:top w:val="single" w:sz="6" w:space="0" w:color="auto"/>
              <w:left w:val="single" w:sz="6" w:space="0" w:color="auto"/>
              <w:bottom w:val="single" w:sz="6" w:space="0" w:color="auto"/>
              <w:right w:val="single" w:sz="6" w:space="0" w:color="auto"/>
            </w:tcBorders>
            <w:vAlign w:val="center"/>
          </w:tcPr>
          <w:p w14:paraId="14CC15A0">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1F3EC061">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488E8A45">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1EEADBDB">
            <w:pPr>
              <w:spacing w:line="360" w:lineRule="auto"/>
              <w:rPr>
                <w:rFonts w:ascii="宋体" w:hAnsi="宋体"/>
              </w:rPr>
            </w:pPr>
          </w:p>
        </w:tc>
      </w:tr>
      <w:tr w14:paraId="5E661BC8">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49709F56">
            <w:pPr>
              <w:spacing w:line="360" w:lineRule="auto"/>
              <w:rPr>
                <w:rFonts w:ascii="宋体" w:hAnsi="宋体"/>
              </w:rPr>
            </w:pPr>
            <w:r>
              <w:rPr>
                <w:rFonts w:ascii="宋体" w:hAnsi="宋体" w:hint="eastAsia"/>
              </w:rPr>
              <w:t>技术负责人</w:t>
            </w:r>
          </w:p>
        </w:tc>
        <w:tc>
          <w:tcPr>
            <w:tcW w:w="1418" w:type="dxa"/>
            <w:tcBorders>
              <w:top w:val="single" w:sz="6" w:space="0" w:color="auto"/>
              <w:left w:val="single" w:sz="6" w:space="0" w:color="auto"/>
              <w:bottom w:val="single" w:sz="6" w:space="0" w:color="auto"/>
              <w:right w:val="single" w:sz="6" w:space="0" w:color="auto"/>
            </w:tcBorders>
            <w:vAlign w:val="center"/>
          </w:tcPr>
          <w:p w14:paraId="054F719D">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316A3087">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53559179">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4553D9BC">
            <w:pPr>
              <w:spacing w:line="360" w:lineRule="auto"/>
              <w:rPr>
                <w:rFonts w:ascii="宋体" w:hAnsi="宋体"/>
              </w:rPr>
            </w:pPr>
          </w:p>
        </w:tc>
      </w:tr>
      <w:tr w14:paraId="299FB637">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179C1B34">
            <w:pPr>
              <w:spacing w:line="360" w:lineRule="auto"/>
              <w:rPr>
                <w:rFonts w:ascii="宋体" w:hAnsi="宋体"/>
              </w:rPr>
            </w:pPr>
            <w:r>
              <w:rPr>
                <w:rFonts w:ascii="宋体" w:hAnsi="宋体" w:hint="eastAsia"/>
              </w:rPr>
              <w:t>造价管理</w:t>
            </w:r>
          </w:p>
        </w:tc>
        <w:tc>
          <w:tcPr>
            <w:tcW w:w="1418" w:type="dxa"/>
            <w:tcBorders>
              <w:top w:val="single" w:sz="6" w:space="0" w:color="auto"/>
              <w:left w:val="single" w:sz="6" w:space="0" w:color="auto"/>
              <w:bottom w:val="single" w:sz="6" w:space="0" w:color="auto"/>
              <w:right w:val="single" w:sz="6" w:space="0" w:color="auto"/>
            </w:tcBorders>
            <w:vAlign w:val="center"/>
          </w:tcPr>
          <w:p w14:paraId="692DDF9B">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29E2CDED">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53EED605">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202BFC5E">
            <w:pPr>
              <w:spacing w:line="360" w:lineRule="auto"/>
              <w:rPr>
                <w:rFonts w:ascii="宋体" w:hAnsi="宋体"/>
              </w:rPr>
            </w:pPr>
          </w:p>
        </w:tc>
      </w:tr>
      <w:tr w14:paraId="2FD7D538">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40771A9F">
            <w:pPr>
              <w:spacing w:line="360" w:lineRule="auto"/>
              <w:rPr>
                <w:rFonts w:ascii="宋体" w:hAnsi="宋体"/>
              </w:rPr>
            </w:pPr>
            <w:r>
              <w:rPr>
                <w:rFonts w:ascii="宋体" w:hAnsi="宋体" w:hint="eastAsia"/>
              </w:rPr>
              <w:t>质量管理</w:t>
            </w:r>
          </w:p>
        </w:tc>
        <w:tc>
          <w:tcPr>
            <w:tcW w:w="1418" w:type="dxa"/>
            <w:tcBorders>
              <w:top w:val="single" w:sz="6" w:space="0" w:color="auto"/>
              <w:left w:val="single" w:sz="6" w:space="0" w:color="auto"/>
              <w:bottom w:val="single" w:sz="6" w:space="0" w:color="auto"/>
              <w:right w:val="single" w:sz="6" w:space="0" w:color="auto"/>
            </w:tcBorders>
            <w:vAlign w:val="center"/>
          </w:tcPr>
          <w:p w14:paraId="0BB2684F">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26FE2E8A">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3E694A6B">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505434FB">
            <w:pPr>
              <w:spacing w:line="360" w:lineRule="auto"/>
              <w:rPr>
                <w:rFonts w:ascii="宋体" w:hAnsi="宋体"/>
              </w:rPr>
            </w:pPr>
          </w:p>
        </w:tc>
      </w:tr>
      <w:tr w14:paraId="71396C65">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43BE6D9F">
            <w:pPr>
              <w:spacing w:line="360" w:lineRule="auto"/>
              <w:rPr>
                <w:rFonts w:ascii="宋体" w:hAnsi="宋体"/>
              </w:rPr>
            </w:pPr>
            <w:r>
              <w:rPr>
                <w:rFonts w:ascii="宋体" w:hAnsi="宋体" w:hint="eastAsia"/>
              </w:rPr>
              <w:t>材料管理</w:t>
            </w:r>
          </w:p>
        </w:tc>
        <w:tc>
          <w:tcPr>
            <w:tcW w:w="1418" w:type="dxa"/>
            <w:tcBorders>
              <w:top w:val="single" w:sz="6" w:space="0" w:color="auto"/>
              <w:left w:val="single" w:sz="6" w:space="0" w:color="auto"/>
              <w:bottom w:val="single" w:sz="6" w:space="0" w:color="auto"/>
              <w:right w:val="single" w:sz="6" w:space="0" w:color="auto"/>
            </w:tcBorders>
            <w:vAlign w:val="center"/>
          </w:tcPr>
          <w:p w14:paraId="403CC973">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56D8BD0A">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7C4B1D96">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25815441">
            <w:pPr>
              <w:spacing w:line="360" w:lineRule="auto"/>
              <w:rPr>
                <w:rFonts w:ascii="宋体" w:hAnsi="宋体"/>
              </w:rPr>
            </w:pPr>
          </w:p>
        </w:tc>
      </w:tr>
      <w:tr w14:paraId="64DACC4C">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56EB5342">
            <w:pPr>
              <w:spacing w:line="360" w:lineRule="auto"/>
              <w:rPr>
                <w:rFonts w:ascii="宋体" w:hAnsi="宋体"/>
              </w:rPr>
            </w:pPr>
            <w:r>
              <w:rPr>
                <w:rFonts w:ascii="宋体" w:hAnsi="宋体" w:hint="eastAsia"/>
              </w:rPr>
              <w:t>计划管理</w:t>
            </w:r>
          </w:p>
        </w:tc>
        <w:tc>
          <w:tcPr>
            <w:tcW w:w="1418" w:type="dxa"/>
            <w:tcBorders>
              <w:top w:val="single" w:sz="6" w:space="0" w:color="auto"/>
              <w:left w:val="single" w:sz="6" w:space="0" w:color="auto"/>
              <w:bottom w:val="single" w:sz="6" w:space="0" w:color="auto"/>
              <w:right w:val="single" w:sz="6" w:space="0" w:color="auto"/>
            </w:tcBorders>
            <w:vAlign w:val="center"/>
          </w:tcPr>
          <w:p w14:paraId="7D86C99A">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0F810A82">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048F54B8">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5AEB5A48">
            <w:pPr>
              <w:spacing w:line="360" w:lineRule="auto"/>
              <w:rPr>
                <w:rFonts w:ascii="宋体" w:hAnsi="宋体"/>
              </w:rPr>
            </w:pPr>
          </w:p>
        </w:tc>
      </w:tr>
      <w:tr w14:paraId="30A68C45">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75B92888">
            <w:pPr>
              <w:spacing w:line="360" w:lineRule="auto"/>
              <w:rPr>
                <w:rFonts w:ascii="宋体" w:hAnsi="宋体"/>
              </w:rPr>
            </w:pPr>
            <w:r>
              <w:rPr>
                <w:rFonts w:ascii="宋体" w:hAnsi="宋体" w:hint="eastAsia"/>
              </w:rPr>
              <w:t>安全管理</w:t>
            </w:r>
          </w:p>
        </w:tc>
        <w:tc>
          <w:tcPr>
            <w:tcW w:w="1418" w:type="dxa"/>
            <w:tcBorders>
              <w:top w:val="single" w:sz="6" w:space="0" w:color="auto"/>
              <w:left w:val="single" w:sz="6" w:space="0" w:color="auto"/>
              <w:bottom w:val="single" w:sz="6" w:space="0" w:color="auto"/>
              <w:right w:val="single" w:sz="6" w:space="0" w:color="auto"/>
            </w:tcBorders>
            <w:vAlign w:val="center"/>
          </w:tcPr>
          <w:p w14:paraId="50C8769C">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44D7727E">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39050EEB">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0C9F0183">
            <w:pPr>
              <w:spacing w:line="360" w:lineRule="auto"/>
              <w:rPr>
                <w:rFonts w:ascii="宋体" w:hAnsi="宋体"/>
              </w:rPr>
            </w:pPr>
          </w:p>
        </w:tc>
      </w:tr>
      <w:tr w14:paraId="31F1F854">
        <w:tblPrEx>
          <w:tblW w:w="0" w:type="auto"/>
          <w:jc w:val="center"/>
          <w:tblLayout w:type="fixed"/>
          <w:tblCellMar>
            <w:top w:w="0" w:type="dxa"/>
            <w:left w:w="28" w:type="dxa"/>
            <w:bottom w:w="0" w:type="dxa"/>
            <w:right w:w="28" w:type="dxa"/>
          </w:tblCellMar>
        </w:tblPrEx>
        <w:trPr>
          <w:jc w:val="center"/>
        </w:trPr>
        <w:tc>
          <w:tcPr>
            <w:tcW w:w="1871" w:type="dxa"/>
            <w:vMerge w:val="restart"/>
            <w:tcBorders>
              <w:top w:val="single" w:sz="6" w:space="0" w:color="auto"/>
              <w:left w:val="single" w:sz="12" w:space="0" w:color="auto"/>
              <w:bottom w:val="single" w:sz="12" w:space="0" w:color="auto"/>
              <w:right w:val="single" w:sz="6" w:space="0" w:color="auto"/>
            </w:tcBorders>
            <w:vAlign w:val="center"/>
          </w:tcPr>
          <w:p w14:paraId="7BBC4E59">
            <w:pPr>
              <w:spacing w:line="360" w:lineRule="auto"/>
              <w:rPr>
                <w:rFonts w:ascii="宋体" w:hAnsi="宋体"/>
              </w:rPr>
            </w:pPr>
            <w:r>
              <w:rPr>
                <w:rFonts w:ascii="宋体" w:hAnsi="宋体" w:hint="eastAsia"/>
              </w:rPr>
              <w:t>其他人员</w:t>
            </w:r>
          </w:p>
        </w:tc>
        <w:tc>
          <w:tcPr>
            <w:tcW w:w="1418" w:type="dxa"/>
            <w:tcBorders>
              <w:top w:val="single" w:sz="6" w:space="0" w:color="auto"/>
              <w:left w:val="single" w:sz="6" w:space="0" w:color="auto"/>
              <w:bottom w:val="single" w:sz="6" w:space="0" w:color="auto"/>
              <w:right w:val="single" w:sz="6" w:space="0" w:color="auto"/>
            </w:tcBorders>
            <w:vAlign w:val="center"/>
          </w:tcPr>
          <w:p w14:paraId="0C9E9F25">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2932D462">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7BE70A33">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50FCA5A9">
            <w:pPr>
              <w:spacing w:line="360" w:lineRule="auto"/>
              <w:rPr>
                <w:rFonts w:ascii="宋体" w:hAnsi="宋体"/>
              </w:rPr>
            </w:pPr>
          </w:p>
        </w:tc>
      </w:tr>
      <w:tr w14:paraId="374A2563">
        <w:tblPrEx>
          <w:tblW w:w="0" w:type="auto"/>
          <w:jc w:val="center"/>
          <w:tblLayout w:type="fixed"/>
          <w:tblCellMar>
            <w:top w:w="0" w:type="dxa"/>
            <w:left w:w="28" w:type="dxa"/>
            <w:bottom w:w="0" w:type="dxa"/>
            <w:right w:w="28" w:type="dxa"/>
          </w:tblCellMar>
        </w:tblPrEx>
        <w:trPr>
          <w:jc w:val="center"/>
        </w:trPr>
        <w:tc>
          <w:tcPr>
            <w:tcW w:w="9809" w:type="dxa"/>
            <w:vMerge/>
            <w:tcBorders>
              <w:top w:val="single" w:sz="6" w:space="0" w:color="auto"/>
              <w:left w:val="single" w:sz="12" w:space="0" w:color="auto"/>
              <w:bottom w:val="single" w:sz="12" w:space="0" w:color="auto"/>
              <w:right w:val="single" w:sz="6" w:space="0" w:color="auto"/>
            </w:tcBorders>
            <w:vAlign w:val="center"/>
          </w:tcPr>
          <w:p w14:paraId="20F26ECD">
            <w:pPr>
              <w:rPr>
                <w:rFonts w:ascii="宋体" w:eastAsia="宋体" w:hAnsi="宋体"/>
                <w:kern w:val="2"/>
              </w:rPr>
            </w:pPr>
          </w:p>
        </w:tc>
        <w:tc>
          <w:tcPr>
            <w:tcW w:w="1418" w:type="dxa"/>
            <w:tcBorders>
              <w:top w:val="single" w:sz="6" w:space="0" w:color="auto"/>
              <w:left w:val="single" w:sz="6" w:space="0" w:color="auto"/>
              <w:bottom w:val="nil"/>
              <w:right w:val="single" w:sz="6" w:space="0" w:color="auto"/>
            </w:tcBorders>
            <w:vAlign w:val="center"/>
          </w:tcPr>
          <w:p w14:paraId="74A4CDF7">
            <w:pPr>
              <w:spacing w:line="360" w:lineRule="auto"/>
              <w:rPr>
                <w:rFonts w:ascii="宋体" w:hAnsi="宋体"/>
              </w:rPr>
            </w:pPr>
          </w:p>
        </w:tc>
        <w:tc>
          <w:tcPr>
            <w:tcW w:w="1134" w:type="dxa"/>
            <w:tcBorders>
              <w:top w:val="single" w:sz="6" w:space="0" w:color="auto"/>
              <w:left w:val="single" w:sz="6" w:space="0" w:color="auto"/>
              <w:bottom w:val="nil"/>
              <w:right w:val="single" w:sz="6" w:space="0" w:color="auto"/>
            </w:tcBorders>
            <w:vAlign w:val="center"/>
          </w:tcPr>
          <w:p w14:paraId="269F696A">
            <w:pPr>
              <w:spacing w:line="360" w:lineRule="auto"/>
              <w:rPr>
                <w:rFonts w:ascii="宋体" w:hAnsi="宋体"/>
              </w:rPr>
            </w:pPr>
          </w:p>
        </w:tc>
        <w:tc>
          <w:tcPr>
            <w:tcW w:w="1134" w:type="dxa"/>
            <w:tcBorders>
              <w:top w:val="single" w:sz="6" w:space="0" w:color="auto"/>
              <w:left w:val="single" w:sz="6" w:space="0" w:color="auto"/>
              <w:bottom w:val="nil"/>
              <w:right w:val="single" w:sz="6" w:space="0" w:color="auto"/>
            </w:tcBorders>
            <w:vAlign w:val="center"/>
          </w:tcPr>
          <w:p w14:paraId="51B61CD3">
            <w:pPr>
              <w:spacing w:line="360" w:lineRule="auto"/>
              <w:rPr>
                <w:rFonts w:ascii="宋体" w:hAnsi="宋体"/>
              </w:rPr>
            </w:pPr>
          </w:p>
        </w:tc>
        <w:tc>
          <w:tcPr>
            <w:tcW w:w="4252" w:type="dxa"/>
            <w:tcBorders>
              <w:top w:val="single" w:sz="6" w:space="0" w:color="auto"/>
              <w:left w:val="single" w:sz="6" w:space="0" w:color="auto"/>
              <w:bottom w:val="nil"/>
              <w:right w:val="single" w:sz="12" w:space="0" w:color="auto"/>
            </w:tcBorders>
            <w:vAlign w:val="center"/>
          </w:tcPr>
          <w:p w14:paraId="10138268">
            <w:pPr>
              <w:spacing w:line="360" w:lineRule="auto"/>
              <w:rPr>
                <w:rFonts w:ascii="宋体" w:hAnsi="宋体"/>
              </w:rPr>
            </w:pPr>
          </w:p>
        </w:tc>
      </w:tr>
      <w:tr w14:paraId="6CB1F7E9">
        <w:tblPrEx>
          <w:tblW w:w="0" w:type="auto"/>
          <w:jc w:val="center"/>
          <w:tblLayout w:type="fixed"/>
          <w:tblCellMar>
            <w:top w:w="0" w:type="dxa"/>
            <w:left w:w="28" w:type="dxa"/>
            <w:bottom w:w="0" w:type="dxa"/>
            <w:right w:w="28" w:type="dxa"/>
          </w:tblCellMar>
        </w:tblPrEx>
        <w:trPr>
          <w:jc w:val="center"/>
        </w:trPr>
        <w:tc>
          <w:tcPr>
            <w:tcW w:w="9809" w:type="dxa"/>
            <w:vMerge/>
            <w:tcBorders>
              <w:top w:val="single" w:sz="6" w:space="0" w:color="auto"/>
              <w:left w:val="single" w:sz="12" w:space="0" w:color="auto"/>
              <w:bottom w:val="single" w:sz="12" w:space="0" w:color="auto"/>
              <w:right w:val="single" w:sz="6" w:space="0" w:color="auto"/>
            </w:tcBorders>
            <w:vAlign w:val="center"/>
          </w:tcPr>
          <w:p w14:paraId="0668FB49">
            <w:pPr>
              <w:rPr>
                <w:rFonts w:ascii="宋体" w:eastAsia="宋体" w:hAnsi="宋体"/>
                <w:kern w:val="2"/>
              </w:rPr>
            </w:pPr>
          </w:p>
        </w:tc>
        <w:tc>
          <w:tcPr>
            <w:tcW w:w="1418" w:type="dxa"/>
            <w:tcBorders>
              <w:top w:val="single" w:sz="6" w:space="0" w:color="auto"/>
              <w:left w:val="single" w:sz="6" w:space="0" w:color="auto"/>
              <w:bottom w:val="single" w:sz="6" w:space="0" w:color="auto"/>
              <w:right w:val="single" w:sz="6" w:space="0" w:color="auto"/>
            </w:tcBorders>
            <w:vAlign w:val="center"/>
          </w:tcPr>
          <w:p w14:paraId="1DC4AD7B">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7406A51D">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2C4CD91C">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75377F73">
            <w:pPr>
              <w:spacing w:line="360" w:lineRule="auto"/>
              <w:rPr>
                <w:rFonts w:ascii="宋体" w:hAnsi="宋体"/>
              </w:rPr>
            </w:pPr>
          </w:p>
        </w:tc>
      </w:tr>
      <w:tr w14:paraId="09390B8C">
        <w:tblPrEx>
          <w:tblW w:w="0" w:type="auto"/>
          <w:jc w:val="center"/>
          <w:tblLayout w:type="fixed"/>
          <w:tblCellMar>
            <w:top w:w="0" w:type="dxa"/>
            <w:left w:w="28" w:type="dxa"/>
            <w:bottom w:w="0" w:type="dxa"/>
            <w:right w:w="28" w:type="dxa"/>
          </w:tblCellMar>
        </w:tblPrEx>
        <w:trPr>
          <w:jc w:val="center"/>
        </w:trPr>
        <w:tc>
          <w:tcPr>
            <w:tcW w:w="9809" w:type="dxa"/>
            <w:vMerge/>
            <w:tcBorders>
              <w:top w:val="single" w:sz="6" w:space="0" w:color="auto"/>
              <w:left w:val="single" w:sz="12" w:space="0" w:color="auto"/>
              <w:bottom w:val="single" w:sz="12" w:space="0" w:color="auto"/>
              <w:right w:val="single" w:sz="6" w:space="0" w:color="auto"/>
            </w:tcBorders>
            <w:vAlign w:val="center"/>
          </w:tcPr>
          <w:p w14:paraId="657AAF81">
            <w:pPr>
              <w:rPr>
                <w:rFonts w:ascii="宋体" w:eastAsia="宋体" w:hAnsi="宋体"/>
                <w:kern w:val="2"/>
              </w:rPr>
            </w:pPr>
          </w:p>
        </w:tc>
        <w:tc>
          <w:tcPr>
            <w:tcW w:w="1418" w:type="dxa"/>
            <w:tcBorders>
              <w:top w:val="single" w:sz="6" w:space="0" w:color="auto"/>
              <w:left w:val="single" w:sz="6" w:space="0" w:color="auto"/>
              <w:bottom w:val="single" w:sz="6" w:space="0" w:color="auto"/>
              <w:right w:val="single" w:sz="6" w:space="0" w:color="auto"/>
            </w:tcBorders>
            <w:vAlign w:val="center"/>
          </w:tcPr>
          <w:p w14:paraId="525A2F02">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232F4E72">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604229F1">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42A2B8FE">
            <w:pPr>
              <w:spacing w:line="360" w:lineRule="auto"/>
              <w:rPr>
                <w:rFonts w:ascii="宋体" w:hAnsi="宋体"/>
              </w:rPr>
            </w:pPr>
          </w:p>
        </w:tc>
      </w:tr>
      <w:tr w14:paraId="0B5A5762">
        <w:tblPrEx>
          <w:tblW w:w="0" w:type="auto"/>
          <w:jc w:val="center"/>
          <w:tblLayout w:type="fixed"/>
          <w:tblCellMar>
            <w:top w:w="0" w:type="dxa"/>
            <w:left w:w="28" w:type="dxa"/>
            <w:bottom w:w="0" w:type="dxa"/>
            <w:right w:w="28" w:type="dxa"/>
          </w:tblCellMar>
        </w:tblPrEx>
        <w:trPr>
          <w:jc w:val="center"/>
        </w:trPr>
        <w:tc>
          <w:tcPr>
            <w:tcW w:w="9809" w:type="dxa"/>
            <w:vMerge/>
            <w:tcBorders>
              <w:top w:val="single" w:sz="6" w:space="0" w:color="auto"/>
              <w:left w:val="single" w:sz="12" w:space="0" w:color="auto"/>
              <w:bottom w:val="single" w:sz="12" w:space="0" w:color="auto"/>
              <w:right w:val="single" w:sz="6" w:space="0" w:color="auto"/>
            </w:tcBorders>
            <w:vAlign w:val="center"/>
          </w:tcPr>
          <w:p w14:paraId="01CD3CBA">
            <w:pPr>
              <w:rPr>
                <w:rFonts w:ascii="宋体" w:eastAsia="宋体" w:hAnsi="宋体"/>
                <w:kern w:val="2"/>
              </w:rPr>
            </w:pPr>
          </w:p>
        </w:tc>
        <w:tc>
          <w:tcPr>
            <w:tcW w:w="1418" w:type="dxa"/>
            <w:tcBorders>
              <w:top w:val="single" w:sz="6" w:space="0" w:color="auto"/>
              <w:left w:val="single" w:sz="6" w:space="0" w:color="auto"/>
              <w:bottom w:val="single" w:sz="6" w:space="0" w:color="auto"/>
              <w:right w:val="single" w:sz="6" w:space="0" w:color="auto"/>
            </w:tcBorders>
            <w:vAlign w:val="center"/>
          </w:tcPr>
          <w:p w14:paraId="3E48BF5D">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1A8B13CB">
            <w:pPr>
              <w:spacing w:line="360" w:lineRule="auto"/>
              <w:rPr>
                <w:rFonts w:ascii="宋体" w:hAnsi="宋体"/>
              </w:rPr>
            </w:pPr>
          </w:p>
        </w:tc>
        <w:tc>
          <w:tcPr>
            <w:tcW w:w="1134" w:type="dxa"/>
            <w:tcBorders>
              <w:top w:val="single" w:sz="6" w:space="0" w:color="auto"/>
              <w:left w:val="single" w:sz="6" w:space="0" w:color="auto"/>
              <w:bottom w:val="single" w:sz="6" w:space="0" w:color="auto"/>
              <w:right w:val="single" w:sz="6" w:space="0" w:color="auto"/>
            </w:tcBorders>
            <w:vAlign w:val="center"/>
          </w:tcPr>
          <w:p w14:paraId="27D59A9B">
            <w:pPr>
              <w:spacing w:line="360" w:lineRule="auto"/>
              <w:rPr>
                <w:rFonts w:ascii="宋体" w:hAnsi="宋体"/>
              </w:rPr>
            </w:pPr>
          </w:p>
        </w:tc>
        <w:tc>
          <w:tcPr>
            <w:tcW w:w="4252" w:type="dxa"/>
            <w:tcBorders>
              <w:top w:val="single" w:sz="6" w:space="0" w:color="auto"/>
              <w:left w:val="single" w:sz="6" w:space="0" w:color="auto"/>
              <w:bottom w:val="single" w:sz="6" w:space="0" w:color="auto"/>
              <w:right w:val="single" w:sz="12" w:space="0" w:color="auto"/>
            </w:tcBorders>
            <w:vAlign w:val="center"/>
          </w:tcPr>
          <w:p w14:paraId="5641A143">
            <w:pPr>
              <w:spacing w:line="360" w:lineRule="auto"/>
              <w:rPr>
                <w:rFonts w:ascii="宋体" w:hAnsi="宋体"/>
              </w:rPr>
            </w:pPr>
          </w:p>
        </w:tc>
      </w:tr>
      <w:tr w14:paraId="74723C2B">
        <w:tblPrEx>
          <w:tblW w:w="0" w:type="auto"/>
          <w:jc w:val="center"/>
          <w:tblLayout w:type="fixed"/>
          <w:tblCellMar>
            <w:top w:w="0" w:type="dxa"/>
            <w:left w:w="28" w:type="dxa"/>
            <w:bottom w:w="0" w:type="dxa"/>
            <w:right w:w="28" w:type="dxa"/>
          </w:tblCellMar>
        </w:tblPrEx>
        <w:trPr>
          <w:jc w:val="center"/>
        </w:trPr>
        <w:tc>
          <w:tcPr>
            <w:tcW w:w="9809" w:type="dxa"/>
            <w:vMerge/>
            <w:tcBorders>
              <w:top w:val="single" w:sz="6" w:space="0" w:color="auto"/>
              <w:left w:val="single" w:sz="12" w:space="0" w:color="auto"/>
              <w:bottom w:val="single" w:sz="12" w:space="0" w:color="auto"/>
              <w:right w:val="single" w:sz="6" w:space="0" w:color="auto"/>
            </w:tcBorders>
            <w:vAlign w:val="center"/>
          </w:tcPr>
          <w:p w14:paraId="7B22007D">
            <w:pPr>
              <w:rPr>
                <w:rFonts w:ascii="宋体" w:eastAsia="宋体" w:hAnsi="宋体"/>
                <w:kern w:val="2"/>
              </w:rPr>
            </w:pPr>
          </w:p>
        </w:tc>
        <w:tc>
          <w:tcPr>
            <w:tcW w:w="1418" w:type="dxa"/>
            <w:tcBorders>
              <w:top w:val="single" w:sz="6" w:space="0" w:color="auto"/>
              <w:left w:val="single" w:sz="6" w:space="0" w:color="auto"/>
              <w:bottom w:val="single" w:sz="12" w:space="0" w:color="auto"/>
              <w:right w:val="single" w:sz="6" w:space="0" w:color="auto"/>
            </w:tcBorders>
            <w:vAlign w:val="center"/>
          </w:tcPr>
          <w:p w14:paraId="501B009F">
            <w:pPr>
              <w:spacing w:line="360" w:lineRule="auto"/>
              <w:rPr>
                <w:rFonts w:ascii="宋体" w:hAnsi="宋体"/>
              </w:rPr>
            </w:pPr>
          </w:p>
        </w:tc>
        <w:tc>
          <w:tcPr>
            <w:tcW w:w="1134" w:type="dxa"/>
            <w:tcBorders>
              <w:top w:val="single" w:sz="6" w:space="0" w:color="auto"/>
              <w:left w:val="single" w:sz="6" w:space="0" w:color="auto"/>
              <w:bottom w:val="single" w:sz="12" w:space="0" w:color="auto"/>
              <w:right w:val="single" w:sz="6" w:space="0" w:color="auto"/>
            </w:tcBorders>
            <w:vAlign w:val="center"/>
          </w:tcPr>
          <w:p w14:paraId="05D09ED2">
            <w:pPr>
              <w:spacing w:line="360" w:lineRule="auto"/>
              <w:rPr>
                <w:rFonts w:ascii="宋体" w:hAnsi="宋体"/>
              </w:rPr>
            </w:pPr>
          </w:p>
        </w:tc>
        <w:tc>
          <w:tcPr>
            <w:tcW w:w="1134" w:type="dxa"/>
            <w:tcBorders>
              <w:top w:val="single" w:sz="6" w:space="0" w:color="auto"/>
              <w:left w:val="single" w:sz="6" w:space="0" w:color="auto"/>
              <w:bottom w:val="single" w:sz="12" w:space="0" w:color="auto"/>
              <w:right w:val="single" w:sz="6" w:space="0" w:color="auto"/>
            </w:tcBorders>
            <w:vAlign w:val="center"/>
          </w:tcPr>
          <w:p w14:paraId="44AF227B">
            <w:pPr>
              <w:spacing w:line="360" w:lineRule="auto"/>
              <w:rPr>
                <w:rFonts w:ascii="宋体" w:hAnsi="宋体"/>
              </w:rPr>
            </w:pPr>
          </w:p>
        </w:tc>
        <w:tc>
          <w:tcPr>
            <w:tcW w:w="4252" w:type="dxa"/>
            <w:tcBorders>
              <w:top w:val="single" w:sz="6" w:space="0" w:color="auto"/>
              <w:left w:val="single" w:sz="6" w:space="0" w:color="auto"/>
              <w:bottom w:val="single" w:sz="12" w:space="0" w:color="auto"/>
              <w:right w:val="single" w:sz="12" w:space="0" w:color="auto"/>
            </w:tcBorders>
            <w:vAlign w:val="center"/>
          </w:tcPr>
          <w:p w14:paraId="3A641319">
            <w:pPr>
              <w:spacing w:line="360" w:lineRule="auto"/>
              <w:rPr>
                <w:rFonts w:ascii="宋体" w:hAnsi="宋体"/>
              </w:rPr>
            </w:pPr>
          </w:p>
        </w:tc>
      </w:tr>
    </w:tbl>
    <w:p w14:paraId="780F4CAD">
      <w:pPr>
        <w:spacing w:line="360" w:lineRule="auto"/>
        <w:rPr>
          <w:rFonts w:ascii="宋体" w:hAnsi="宋体"/>
          <w:kern w:val="2"/>
        </w:rPr>
      </w:pPr>
      <w:r>
        <w:rPr>
          <w:rFonts w:ascii="宋体" w:hAnsi="宋体" w:hint="eastAsia"/>
        </w:rPr>
        <w:br w:type="page"/>
      </w:r>
      <w:r>
        <w:rPr>
          <w:rFonts w:ascii="宋体" w:hAnsi="宋体" w:hint="eastAsia"/>
        </w:rPr>
        <w:t>附</w:t>
      </w:r>
      <w:bookmarkStart w:id="1097" w:name="_Toc296891269"/>
      <w:bookmarkStart w:id="1098" w:name="_Toc296944568"/>
      <w:bookmarkStart w:id="1099" w:name="_Toc296503229"/>
      <w:bookmarkStart w:id="1100" w:name="_Toc296347228"/>
      <w:bookmarkStart w:id="1101" w:name="_Toc296346730"/>
      <w:bookmarkStart w:id="1102" w:name="_Toc296891057"/>
      <w:r>
        <w:rPr>
          <w:rFonts w:ascii="宋体" w:hAnsi="宋体" w:hint="eastAsia"/>
        </w:rPr>
        <w:t>件7：</w:t>
      </w:r>
    </w:p>
    <w:bookmarkEnd w:id="1097"/>
    <w:bookmarkEnd w:id="1098"/>
    <w:bookmarkEnd w:id="1099"/>
    <w:bookmarkEnd w:id="1100"/>
    <w:bookmarkEnd w:id="1101"/>
    <w:bookmarkEnd w:id="1102"/>
    <w:p w14:paraId="08CD3A00">
      <w:pPr>
        <w:spacing w:line="360" w:lineRule="auto"/>
        <w:jc w:val="center"/>
        <w:rPr>
          <w:rFonts w:ascii="宋体" w:hAnsi="宋体"/>
          <w:b/>
          <w:lang w:eastAsia="zh-CN"/>
        </w:rPr>
      </w:pPr>
      <w:r>
        <w:rPr>
          <w:rFonts w:ascii="宋体" w:hAnsi="宋体" w:hint="eastAsia"/>
          <w:b/>
          <w:lang w:eastAsia="zh-CN"/>
        </w:rPr>
        <w:t>分包人主要施工管理人员表</w:t>
      </w:r>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
      <w:tblGrid>
        <w:gridCol w:w="1871"/>
        <w:gridCol w:w="1418"/>
        <w:gridCol w:w="908"/>
        <w:gridCol w:w="1559"/>
        <w:gridCol w:w="4053"/>
      </w:tblGrid>
      <w:tr w14:paraId="1B1DFBEF">
        <w:tblPrEx>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Ex>
        <w:trPr>
          <w:jc w:val="center"/>
        </w:trPr>
        <w:tc>
          <w:tcPr>
            <w:tcW w:w="1871" w:type="dxa"/>
            <w:tcBorders>
              <w:top w:val="single" w:sz="12" w:space="0" w:color="auto"/>
              <w:left w:val="single" w:sz="12" w:space="0" w:color="auto"/>
              <w:bottom w:val="double" w:sz="6" w:space="0" w:color="auto"/>
              <w:right w:val="single" w:sz="6" w:space="0" w:color="auto"/>
            </w:tcBorders>
            <w:vAlign w:val="center"/>
          </w:tcPr>
          <w:p w14:paraId="03685291">
            <w:pPr>
              <w:spacing w:line="360" w:lineRule="auto"/>
              <w:jc w:val="center"/>
              <w:rPr>
                <w:rFonts w:ascii="宋体" w:hAnsi="宋体"/>
              </w:rPr>
            </w:pPr>
            <w:r>
              <w:rPr>
                <w:rFonts w:ascii="宋体" w:hAnsi="宋体" w:hint="eastAsia"/>
              </w:rPr>
              <w:t>名    称</w:t>
            </w:r>
          </w:p>
        </w:tc>
        <w:tc>
          <w:tcPr>
            <w:tcW w:w="1418" w:type="dxa"/>
            <w:tcBorders>
              <w:top w:val="single" w:sz="12" w:space="0" w:color="auto"/>
              <w:left w:val="single" w:sz="6" w:space="0" w:color="auto"/>
              <w:bottom w:val="double" w:sz="6" w:space="0" w:color="auto"/>
              <w:right w:val="single" w:sz="6" w:space="0" w:color="auto"/>
            </w:tcBorders>
            <w:vAlign w:val="center"/>
          </w:tcPr>
          <w:p w14:paraId="5C5F1350">
            <w:pPr>
              <w:spacing w:line="360" w:lineRule="auto"/>
              <w:jc w:val="center"/>
              <w:rPr>
                <w:rFonts w:ascii="宋体" w:hAnsi="宋体"/>
              </w:rPr>
            </w:pPr>
            <w:r>
              <w:rPr>
                <w:rFonts w:ascii="宋体" w:hAnsi="宋体" w:hint="eastAsia"/>
              </w:rPr>
              <w:t>姓名</w:t>
            </w:r>
          </w:p>
        </w:tc>
        <w:tc>
          <w:tcPr>
            <w:tcW w:w="908" w:type="dxa"/>
            <w:tcBorders>
              <w:top w:val="single" w:sz="12" w:space="0" w:color="auto"/>
              <w:left w:val="single" w:sz="6" w:space="0" w:color="auto"/>
              <w:bottom w:val="double" w:sz="6" w:space="0" w:color="auto"/>
              <w:right w:val="single" w:sz="6" w:space="0" w:color="auto"/>
            </w:tcBorders>
            <w:vAlign w:val="center"/>
          </w:tcPr>
          <w:p w14:paraId="623D0426">
            <w:pPr>
              <w:spacing w:line="360" w:lineRule="auto"/>
              <w:jc w:val="center"/>
              <w:rPr>
                <w:rFonts w:ascii="宋体" w:hAnsi="宋体"/>
              </w:rPr>
            </w:pPr>
            <w:r>
              <w:rPr>
                <w:rFonts w:ascii="宋体" w:hAnsi="宋体" w:hint="eastAsia"/>
              </w:rPr>
              <w:t>职务</w:t>
            </w:r>
          </w:p>
        </w:tc>
        <w:tc>
          <w:tcPr>
            <w:tcW w:w="1559" w:type="dxa"/>
            <w:tcBorders>
              <w:top w:val="single" w:sz="12" w:space="0" w:color="auto"/>
              <w:left w:val="single" w:sz="6" w:space="0" w:color="auto"/>
              <w:bottom w:val="double" w:sz="6" w:space="0" w:color="auto"/>
              <w:right w:val="single" w:sz="6" w:space="0" w:color="auto"/>
            </w:tcBorders>
            <w:vAlign w:val="center"/>
          </w:tcPr>
          <w:p w14:paraId="77D79FEE">
            <w:pPr>
              <w:spacing w:line="360" w:lineRule="auto"/>
              <w:rPr>
                <w:rFonts w:ascii="宋体" w:hAnsi="宋体"/>
              </w:rPr>
            </w:pPr>
            <w:r>
              <w:rPr>
                <w:rFonts w:ascii="宋体" w:hAnsi="宋体" w:hint="eastAsia"/>
              </w:rPr>
              <w:t>专业技术职称</w:t>
            </w:r>
          </w:p>
        </w:tc>
        <w:tc>
          <w:tcPr>
            <w:tcW w:w="4053" w:type="dxa"/>
            <w:tcBorders>
              <w:top w:val="single" w:sz="12" w:space="0" w:color="auto"/>
              <w:left w:val="single" w:sz="6" w:space="0" w:color="auto"/>
              <w:bottom w:val="double" w:sz="6" w:space="0" w:color="auto"/>
              <w:right w:val="single" w:sz="12" w:space="0" w:color="auto"/>
            </w:tcBorders>
            <w:vAlign w:val="center"/>
          </w:tcPr>
          <w:p w14:paraId="18F9AE2A">
            <w:pPr>
              <w:spacing w:line="360" w:lineRule="auto"/>
              <w:rPr>
                <w:rFonts w:ascii="宋体" w:hAnsi="宋体"/>
                <w:lang w:eastAsia="zh-CN"/>
              </w:rPr>
            </w:pPr>
            <w:r>
              <w:rPr>
                <w:rFonts w:ascii="宋体" w:hAnsi="宋体" w:hint="eastAsia"/>
                <w:lang w:eastAsia="zh-CN"/>
              </w:rPr>
              <w:t>主要资历、经验及承担过的项目</w:t>
            </w:r>
          </w:p>
        </w:tc>
      </w:tr>
      <w:tr w14:paraId="3AD6D597">
        <w:tblPrEx>
          <w:tblW w:w="0" w:type="auto"/>
          <w:jc w:val="center"/>
          <w:tblLayout w:type="fixed"/>
          <w:tblCellMar>
            <w:top w:w="0" w:type="dxa"/>
            <w:left w:w="28" w:type="dxa"/>
            <w:bottom w:w="0" w:type="dxa"/>
            <w:right w:w="28" w:type="dxa"/>
          </w:tblCellMar>
        </w:tblPrEx>
        <w:trPr>
          <w:jc w:val="center"/>
        </w:trPr>
        <w:tc>
          <w:tcPr>
            <w:tcW w:w="9809" w:type="dxa"/>
            <w:gridSpan w:val="5"/>
            <w:tcBorders>
              <w:top w:val="double" w:sz="6" w:space="0" w:color="auto"/>
              <w:left w:val="single" w:sz="12" w:space="0" w:color="auto"/>
              <w:bottom w:val="single" w:sz="6" w:space="0" w:color="auto"/>
              <w:right w:val="single" w:sz="12" w:space="0" w:color="auto"/>
            </w:tcBorders>
            <w:vAlign w:val="center"/>
          </w:tcPr>
          <w:p w14:paraId="5C767376">
            <w:pPr>
              <w:spacing w:line="360" w:lineRule="auto"/>
              <w:rPr>
                <w:rFonts w:ascii="宋体" w:hAnsi="宋体"/>
              </w:rPr>
            </w:pPr>
            <w:r>
              <w:rPr>
                <w:rFonts w:ascii="宋体" w:hAnsi="宋体" w:hint="eastAsia"/>
              </w:rPr>
              <w:t>一、总部人员</w:t>
            </w:r>
          </w:p>
        </w:tc>
      </w:tr>
      <w:tr w14:paraId="3C4F0394">
        <w:tblPrEx>
          <w:tblW w:w="0" w:type="auto"/>
          <w:jc w:val="center"/>
          <w:tblLayout w:type="fixed"/>
          <w:tblCellMar>
            <w:top w:w="0" w:type="dxa"/>
            <w:left w:w="28" w:type="dxa"/>
            <w:bottom w:w="0" w:type="dxa"/>
            <w:right w:w="28" w:type="dxa"/>
          </w:tblCellMar>
        </w:tblPrEx>
        <w:trPr>
          <w:jc w:val="center"/>
        </w:trPr>
        <w:tc>
          <w:tcPr>
            <w:tcW w:w="1871" w:type="dxa"/>
            <w:tcBorders>
              <w:top w:val="nil"/>
              <w:left w:val="single" w:sz="12" w:space="0" w:color="auto"/>
              <w:bottom w:val="nil"/>
              <w:right w:val="single" w:sz="6" w:space="0" w:color="auto"/>
            </w:tcBorders>
            <w:vAlign w:val="center"/>
          </w:tcPr>
          <w:p w14:paraId="7A20E38F">
            <w:pPr>
              <w:spacing w:line="360" w:lineRule="auto"/>
              <w:rPr>
                <w:rFonts w:ascii="宋体" w:hAnsi="宋体"/>
              </w:rPr>
            </w:pPr>
            <w:r>
              <w:rPr>
                <w:rFonts w:ascii="宋体" w:hAnsi="宋体" w:hint="eastAsia"/>
              </w:rPr>
              <w:t>项目主管</w:t>
            </w:r>
          </w:p>
        </w:tc>
        <w:tc>
          <w:tcPr>
            <w:tcW w:w="1418" w:type="dxa"/>
            <w:tcBorders>
              <w:top w:val="nil"/>
              <w:left w:val="single" w:sz="6" w:space="0" w:color="auto"/>
              <w:bottom w:val="single" w:sz="6" w:space="0" w:color="auto"/>
              <w:right w:val="single" w:sz="6" w:space="0" w:color="auto"/>
            </w:tcBorders>
            <w:vAlign w:val="center"/>
          </w:tcPr>
          <w:p w14:paraId="3763328B">
            <w:pPr>
              <w:spacing w:line="360" w:lineRule="auto"/>
              <w:rPr>
                <w:rFonts w:ascii="宋体" w:hAnsi="宋体"/>
              </w:rPr>
            </w:pPr>
          </w:p>
        </w:tc>
        <w:tc>
          <w:tcPr>
            <w:tcW w:w="908" w:type="dxa"/>
            <w:tcBorders>
              <w:top w:val="nil"/>
              <w:left w:val="single" w:sz="6" w:space="0" w:color="auto"/>
              <w:bottom w:val="single" w:sz="6" w:space="0" w:color="auto"/>
              <w:right w:val="single" w:sz="6" w:space="0" w:color="auto"/>
            </w:tcBorders>
            <w:vAlign w:val="center"/>
          </w:tcPr>
          <w:p w14:paraId="11034EEC">
            <w:pPr>
              <w:spacing w:line="360" w:lineRule="auto"/>
              <w:rPr>
                <w:rFonts w:ascii="宋体" w:hAnsi="宋体"/>
              </w:rPr>
            </w:pPr>
          </w:p>
        </w:tc>
        <w:tc>
          <w:tcPr>
            <w:tcW w:w="1559" w:type="dxa"/>
            <w:tcBorders>
              <w:top w:val="nil"/>
              <w:left w:val="single" w:sz="6" w:space="0" w:color="auto"/>
              <w:bottom w:val="single" w:sz="6" w:space="0" w:color="auto"/>
              <w:right w:val="single" w:sz="6" w:space="0" w:color="auto"/>
            </w:tcBorders>
            <w:vAlign w:val="center"/>
          </w:tcPr>
          <w:p w14:paraId="09F3C815">
            <w:pPr>
              <w:spacing w:line="360" w:lineRule="auto"/>
              <w:rPr>
                <w:rFonts w:ascii="宋体" w:hAnsi="宋体"/>
              </w:rPr>
            </w:pPr>
          </w:p>
        </w:tc>
        <w:tc>
          <w:tcPr>
            <w:tcW w:w="4053" w:type="dxa"/>
            <w:tcBorders>
              <w:top w:val="nil"/>
              <w:left w:val="single" w:sz="6" w:space="0" w:color="auto"/>
              <w:bottom w:val="single" w:sz="6" w:space="0" w:color="auto"/>
              <w:right w:val="single" w:sz="12" w:space="0" w:color="auto"/>
            </w:tcBorders>
            <w:vAlign w:val="center"/>
          </w:tcPr>
          <w:p w14:paraId="459AB87D">
            <w:pPr>
              <w:spacing w:line="360" w:lineRule="auto"/>
              <w:rPr>
                <w:rFonts w:ascii="宋体" w:hAnsi="宋体"/>
              </w:rPr>
            </w:pPr>
          </w:p>
        </w:tc>
      </w:tr>
      <w:tr w14:paraId="1AA5E84C">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nil"/>
              <w:right w:val="single" w:sz="6" w:space="0" w:color="auto"/>
            </w:tcBorders>
            <w:vAlign w:val="center"/>
          </w:tcPr>
          <w:p w14:paraId="61B4EF99">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24082F65">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3CB25B9B">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66AB17C0">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6C682BCD">
            <w:pPr>
              <w:spacing w:line="360" w:lineRule="auto"/>
              <w:rPr>
                <w:rFonts w:ascii="宋体" w:hAnsi="宋体"/>
              </w:rPr>
            </w:pPr>
          </w:p>
        </w:tc>
      </w:tr>
      <w:tr w14:paraId="1C5931F2">
        <w:tblPrEx>
          <w:tblW w:w="0" w:type="auto"/>
          <w:jc w:val="center"/>
          <w:tblLayout w:type="fixed"/>
          <w:tblCellMar>
            <w:top w:w="0" w:type="dxa"/>
            <w:left w:w="28" w:type="dxa"/>
            <w:bottom w:w="0" w:type="dxa"/>
            <w:right w:w="28" w:type="dxa"/>
          </w:tblCellMar>
        </w:tblPrEx>
        <w:trPr>
          <w:jc w:val="center"/>
        </w:trPr>
        <w:tc>
          <w:tcPr>
            <w:tcW w:w="1871" w:type="dxa"/>
            <w:tcBorders>
              <w:top w:val="nil"/>
              <w:left w:val="single" w:sz="12" w:space="0" w:color="auto"/>
              <w:bottom w:val="nil"/>
              <w:right w:val="single" w:sz="6" w:space="0" w:color="auto"/>
            </w:tcBorders>
            <w:vAlign w:val="center"/>
          </w:tcPr>
          <w:p w14:paraId="3D1AA479">
            <w:pPr>
              <w:spacing w:line="360" w:lineRule="auto"/>
              <w:rPr>
                <w:rFonts w:ascii="宋体" w:hAnsi="宋体"/>
              </w:rPr>
            </w:pPr>
            <w:r>
              <w:rPr>
                <w:rFonts w:ascii="宋体" w:hAnsi="宋体" w:hint="eastAsia"/>
              </w:rPr>
              <w:t>其他人员</w:t>
            </w:r>
          </w:p>
        </w:tc>
        <w:tc>
          <w:tcPr>
            <w:tcW w:w="1418" w:type="dxa"/>
            <w:tcBorders>
              <w:top w:val="single" w:sz="6" w:space="0" w:color="auto"/>
              <w:left w:val="single" w:sz="6" w:space="0" w:color="auto"/>
              <w:bottom w:val="single" w:sz="6" w:space="0" w:color="auto"/>
              <w:right w:val="single" w:sz="6" w:space="0" w:color="auto"/>
            </w:tcBorders>
            <w:vAlign w:val="center"/>
          </w:tcPr>
          <w:p w14:paraId="15BD94DE">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612C16C0">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1BB8B906">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365C8137">
            <w:pPr>
              <w:spacing w:line="360" w:lineRule="auto"/>
              <w:rPr>
                <w:rFonts w:ascii="宋体" w:hAnsi="宋体"/>
              </w:rPr>
            </w:pPr>
          </w:p>
        </w:tc>
      </w:tr>
      <w:tr w14:paraId="193E5E00">
        <w:tblPrEx>
          <w:tblW w:w="0" w:type="auto"/>
          <w:jc w:val="center"/>
          <w:tblLayout w:type="fixed"/>
          <w:tblCellMar>
            <w:top w:w="0" w:type="dxa"/>
            <w:left w:w="28" w:type="dxa"/>
            <w:bottom w:w="0" w:type="dxa"/>
            <w:right w:w="28" w:type="dxa"/>
          </w:tblCellMar>
        </w:tblPrEx>
        <w:trPr>
          <w:jc w:val="center"/>
        </w:trPr>
        <w:tc>
          <w:tcPr>
            <w:tcW w:w="1871" w:type="dxa"/>
            <w:tcBorders>
              <w:top w:val="nil"/>
              <w:left w:val="single" w:sz="12" w:space="0" w:color="auto"/>
              <w:bottom w:val="nil"/>
              <w:right w:val="single" w:sz="6" w:space="0" w:color="auto"/>
            </w:tcBorders>
            <w:vAlign w:val="center"/>
          </w:tcPr>
          <w:p w14:paraId="6E57E3B3">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vAlign w:val="center"/>
          </w:tcPr>
          <w:p w14:paraId="71BAB766">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29191619">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032E74EE">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0725FF83">
            <w:pPr>
              <w:spacing w:line="360" w:lineRule="auto"/>
              <w:rPr>
                <w:rFonts w:ascii="宋体" w:hAnsi="宋体"/>
              </w:rPr>
            </w:pPr>
          </w:p>
        </w:tc>
      </w:tr>
      <w:tr w14:paraId="35CA2F52">
        <w:tblPrEx>
          <w:tblW w:w="0" w:type="auto"/>
          <w:jc w:val="center"/>
          <w:tblLayout w:type="fixed"/>
          <w:tblCellMar>
            <w:top w:w="0" w:type="dxa"/>
            <w:left w:w="28" w:type="dxa"/>
            <w:bottom w:w="0" w:type="dxa"/>
            <w:right w:w="28" w:type="dxa"/>
          </w:tblCellMar>
        </w:tblPrEx>
        <w:trPr>
          <w:jc w:val="center"/>
        </w:trPr>
        <w:tc>
          <w:tcPr>
            <w:tcW w:w="9809" w:type="dxa"/>
            <w:gridSpan w:val="5"/>
            <w:tcBorders>
              <w:top w:val="single" w:sz="6" w:space="0" w:color="auto"/>
              <w:left w:val="single" w:sz="12" w:space="0" w:color="auto"/>
              <w:bottom w:val="single" w:sz="6" w:space="0" w:color="auto"/>
              <w:right w:val="single" w:sz="12" w:space="0" w:color="auto"/>
            </w:tcBorders>
            <w:vAlign w:val="center"/>
          </w:tcPr>
          <w:p w14:paraId="4C0F8ACA">
            <w:pPr>
              <w:spacing w:line="360" w:lineRule="auto"/>
              <w:rPr>
                <w:rFonts w:ascii="宋体" w:hAnsi="宋体"/>
              </w:rPr>
            </w:pPr>
            <w:r>
              <w:rPr>
                <w:rFonts w:ascii="宋体" w:hAnsi="宋体" w:hint="eastAsia"/>
              </w:rPr>
              <w:t>二、现场人员</w:t>
            </w:r>
          </w:p>
        </w:tc>
      </w:tr>
      <w:tr w14:paraId="0D05AD73">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22435A65">
            <w:pPr>
              <w:spacing w:line="360" w:lineRule="auto"/>
              <w:rPr>
                <w:rFonts w:ascii="宋体" w:hAnsi="宋体"/>
              </w:rPr>
            </w:pPr>
            <w:r>
              <w:rPr>
                <w:rFonts w:ascii="宋体" w:hAnsi="宋体" w:hint="eastAsia"/>
              </w:rPr>
              <w:t>项目经理</w:t>
            </w:r>
          </w:p>
        </w:tc>
        <w:tc>
          <w:tcPr>
            <w:tcW w:w="1418" w:type="dxa"/>
            <w:tcBorders>
              <w:top w:val="single" w:sz="6" w:space="0" w:color="auto"/>
              <w:left w:val="single" w:sz="6" w:space="0" w:color="auto"/>
              <w:bottom w:val="single" w:sz="6" w:space="0" w:color="auto"/>
              <w:right w:val="single" w:sz="6" w:space="0" w:color="auto"/>
            </w:tcBorders>
            <w:vAlign w:val="center"/>
          </w:tcPr>
          <w:p w14:paraId="06DE56D1">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2700D2AE">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438C4C00">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21ACAFFE">
            <w:pPr>
              <w:spacing w:line="360" w:lineRule="auto"/>
              <w:rPr>
                <w:rFonts w:ascii="宋体" w:hAnsi="宋体"/>
              </w:rPr>
            </w:pPr>
          </w:p>
        </w:tc>
      </w:tr>
      <w:tr w14:paraId="54160BD2">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37D98B6C">
            <w:pPr>
              <w:spacing w:line="360" w:lineRule="auto"/>
              <w:rPr>
                <w:rFonts w:ascii="宋体" w:hAnsi="宋体"/>
              </w:rPr>
            </w:pPr>
            <w:r>
              <w:rPr>
                <w:rFonts w:ascii="宋体" w:hAnsi="宋体" w:hint="eastAsia"/>
              </w:rPr>
              <w:t>项目副经理</w:t>
            </w:r>
          </w:p>
        </w:tc>
        <w:tc>
          <w:tcPr>
            <w:tcW w:w="1418" w:type="dxa"/>
            <w:tcBorders>
              <w:top w:val="single" w:sz="6" w:space="0" w:color="auto"/>
              <w:left w:val="single" w:sz="6" w:space="0" w:color="auto"/>
              <w:bottom w:val="single" w:sz="6" w:space="0" w:color="auto"/>
              <w:right w:val="single" w:sz="6" w:space="0" w:color="auto"/>
            </w:tcBorders>
            <w:vAlign w:val="center"/>
          </w:tcPr>
          <w:p w14:paraId="594B5320">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25F7F8EB">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23C9B639">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630E60D9">
            <w:pPr>
              <w:spacing w:line="360" w:lineRule="auto"/>
              <w:rPr>
                <w:rFonts w:ascii="宋体" w:hAnsi="宋体"/>
              </w:rPr>
            </w:pPr>
          </w:p>
        </w:tc>
      </w:tr>
      <w:tr w14:paraId="319C9B3C">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5109FE13">
            <w:pPr>
              <w:spacing w:line="360" w:lineRule="auto"/>
              <w:rPr>
                <w:rFonts w:ascii="宋体" w:hAnsi="宋体"/>
              </w:rPr>
            </w:pPr>
            <w:r>
              <w:rPr>
                <w:rFonts w:ascii="宋体" w:hAnsi="宋体" w:hint="eastAsia"/>
              </w:rPr>
              <w:t>技术负责人</w:t>
            </w:r>
          </w:p>
        </w:tc>
        <w:tc>
          <w:tcPr>
            <w:tcW w:w="1418" w:type="dxa"/>
            <w:tcBorders>
              <w:top w:val="single" w:sz="6" w:space="0" w:color="auto"/>
              <w:left w:val="single" w:sz="6" w:space="0" w:color="auto"/>
              <w:bottom w:val="single" w:sz="6" w:space="0" w:color="auto"/>
              <w:right w:val="single" w:sz="6" w:space="0" w:color="auto"/>
            </w:tcBorders>
            <w:vAlign w:val="center"/>
          </w:tcPr>
          <w:p w14:paraId="5F03A329">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01489045">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5200AD07">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68993086">
            <w:pPr>
              <w:spacing w:line="360" w:lineRule="auto"/>
              <w:rPr>
                <w:rFonts w:ascii="宋体" w:hAnsi="宋体"/>
              </w:rPr>
            </w:pPr>
          </w:p>
        </w:tc>
      </w:tr>
      <w:tr w14:paraId="1613796F">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4744C748">
            <w:pPr>
              <w:spacing w:line="360" w:lineRule="auto"/>
              <w:rPr>
                <w:rFonts w:ascii="宋体" w:hAnsi="宋体"/>
              </w:rPr>
            </w:pPr>
            <w:r>
              <w:rPr>
                <w:rFonts w:ascii="宋体" w:hAnsi="宋体" w:hint="eastAsia"/>
              </w:rPr>
              <w:t>造价管理</w:t>
            </w:r>
          </w:p>
        </w:tc>
        <w:tc>
          <w:tcPr>
            <w:tcW w:w="1418" w:type="dxa"/>
            <w:tcBorders>
              <w:top w:val="single" w:sz="6" w:space="0" w:color="auto"/>
              <w:left w:val="single" w:sz="6" w:space="0" w:color="auto"/>
              <w:bottom w:val="single" w:sz="6" w:space="0" w:color="auto"/>
              <w:right w:val="single" w:sz="6" w:space="0" w:color="auto"/>
            </w:tcBorders>
            <w:vAlign w:val="center"/>
          </w:tcPr>
          <w:p w14:paraId="16B83A9F">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70C9695C">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3519FA97">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6DA891D1">
            <w:pPr>
              <w:spacing w:line="360" w:lineRule="auto"/>
              <w:rPr>
                <w:rFonts w:ascii="宋体" w:hAnsi="宋体"/>
              </w:rPr>
            </w:pPr>
          </w:p>
        </w:tc>
      </w:tr>
      <w:tr w14:paraId="77CB1CA3">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207D5547">
            <w:pPr>
              <w:spacing w:line="360" w:lineRule="auto"/>
              <w:rPr>
                <w:rFonts w:ascii="宋体" w:hAnsi="宋体"/>
              </w:rPr>
            </w:pPr>
            <w:r>
              <w:rPr>
                <w:rFonts w:ascii="宋体" w:hAnsi="宋体" w:hint="eastAsia"/>
              </w:rPr>
              <w:t>质量管理</w:t>
            </w:r>
          </w:p>
        </w:tc>
        <w:tc>
          <w:tcPr>
            <w:tcW w:w="1418" w:type="dxa"/>
            <w:tcBorders>
              <w:top w:val="single" w:sz="6" w:space="0" w:color="auto"/>
              <w:left w:val="single" w:sz="6" w:space="0" w:color="auto"/>
              <w:bottom w:val="single" w:sz="6" w:space="0" w:color="auto"/>
              <w:right w:val="single" w:sz="6" w:space="0" w:color="auto"/>
            </w:tcBorders>
            <w:vAlign w:val="center"/>
          </w:tcPr>
          <w:p w14:paraId="605410DE">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6803A5CB">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367828D3">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09992073">
            <w:pPr>
              <w:spacing w:line="360" w:lineRule="auto"/>
              <w:rPr>
                <w:rFonts w:ascii="宋体" w:hAnsi="宋体"/>
              </w:rPr>
            </w:pPr>
          </w:p>
        </w:tc>
      </w:tr>
      <w:tr w14:paraId="060F957F">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7507A669">
            <w:pPr>
              <w:spacing w:line="360" w:lineRule="auto"/>
              <w:rPr>
                <w:rFonts w:ascii="宋体" w:hAnsi="宋体"/>
              </w:rPr>
            </w:pPr>
            <w:r>
              <w:rPr>
                <w:rFonts w:ascii="宋体" w:hAnsi="宋体" w:hint="eastAsia"/>
              </w:rPr>
              <w:t>材料管理</w:t>
            </w:r>
          </w:p>
        </w:tc>
        <w:tc>
          <w:tcPr>
            <w:tcW w:w="1418" w:type="dxa"/>
            <w:tcBorders>
              <w:top w:val="single" w:sz="6" w:space="0" w:color="auto"/>
              <w:left w:val="single" w:sz="6" w:space="0" w:color="auto"/>
              <w:bottom w:val="single" w:sz="6" w:space="0" w:color="auto"/>
              <w:right w:val="single" w:sz="6" w:space="0" w:color="auto"/>
            </w:tcBorders>
            <w:vAlign w:val="center"/>
          </w:tcPr>
          <w:p w14:paraId="0DAF12D2">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7D87B7FC">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150BD586">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20D142CB">
            <w:pPr>
              <w:spacing w:line="360" w:lineRule="auto"/>
              <w:rPr>
                <w:rFonts w:ascii="宋体" w:hAnsi="宋体"/>
              </w:rPr>
            </w:pPr>
          </w:p>
        </w:tc>
      </w:tr>
      <w:tr w14:paraId="73FBB1D7">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12F7A1E2">
            <w:pPr>
              <w:spacing w:line="360" w:lineRule="auto"/>
              <w:rPr>
                <w:rFonts w:ascii="宋体" w:hAnsi="宋体"/>
              </w:rPr>
            </w:pPr>
            <w:r>
              <w:rPr>
                <w:rFonts w:ascii="宋体" w:hAnsi="宋体" w:hint="eastAsia"/>
              </w:rPr>
              <w:t>计划管理</w:t>
            </w:r>
          </w:p>
        </w:tc>
        <w:tc>
          <w:tcPr>
            <w:tcW w:w="1418" w:type="dxa"/>
            <w:tcBorders>
              <w:top w:val="single" w:sz="6" w:space="0" w:color="auto"/>
              <w:left w:val="single" w:sz="6" w:space="0" w:color="auto"/>
              <w:bottom w:val="single" w:sz="6" w:space="0" w:color="auto"/>
              <w:right w:val="single" w:sz="6" w:space="0" w:color="auto"/>
            </w:tcBorders>
            <w:vAlign w:val="center"/>
          </w:tcPr>
          <w:p w14:paraId="4EF11C3D">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7146F3D6">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035B1647">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6D2E549D">
            <w:pPr>
              <w:spacing w:line="360" w:lineRule="auto"/>
              <w:rPr>
                <w:rFonts w:ascii="宋体" w:hAnsi="宋体"/>
              </w:rPr>
            </w:pPr>
          </w:p>
        </w:tc>
      </w:tr>
      <w:tr w14:paraId="099235A3">
        <w:tblPrEx>
          <w:tblW w:w="0" w:type="auto"/>
          <w:jc w:val="center"/>
          <w:tblLayout w:type="fixed"/>
          <w:tblCellMar>
            <w:top w:w="0" w:type="dxa"/>
            <w:left w:w="28" w:type="dxa"/>
            <w:bottom w:w="0" w:type="dxa"/>
            <w:right w:w="28" w:type="dxa"/>
          </w:tblCellMar>
        </w:tblPrEx>
        <w:trPr>
          <w:jc w:val="center"/>
        </w:trPr>
        <w:tc>
          <w:tcPr>
            <w:tcW w:w="1871" w:type="dxa"/>
            <w:tcBorders>
              <w:top w:val="single" w:sz="6" w:space="0" w:color="auto"/>
              <w:left w:val="single" w:sz="12" w:space="0" w:color="auto"/>
              <w:bottom w:val="single" w:sz="6" w:space="0" w:color="auto"/>
              <w:right w:val="single" w:sz="6" w:space="0" w:color="auto"/>
            </w:tcBorders>
            <w:vAlign w:val="center"/>
          </w:tcPr>
          <w:p w14:paraId="4751F6B8">
            <w:pPr>
              <w:spacing w:line="360" w:lineRule="auto"/>
              <w:rPr>
                <w:rFonts w:ascii="宋体" w:hAnsi="宋体"/>
              </w:rPr>
            </w:pPr>
            <w:r>
              <w:rPr>
                <w:rFonts w:ascii="宋体" w:hAnsi="宋体" w:hint="eastAsia"/>
              </w:rPr>
              <w:t>安全管理</w:t>
            </w:r>
          </w:p>
        </w:tc>
        <w:tc>
          <w:tcPr>
            <w:tcW w:w="1418" w:type="dxa"/>
            <w:tcBorders>
              <w:top w:val="single" w:sz="6" w:space="0" w:color="auto"/>
              <w:left w:val="single" w:sz="6" w:space="0" w:color="auto"/>
              <w:bottom w:val="single" w:sz="6" w:space="0" w:color="auto"/>
              <w:right w:val="single" w:sz="6" w:space="0" w:color="auto"/>
            </w:tcBorders>
            <w:vAlign w:val="center"/>
          </w:tcPr>
          <w:p w14:paraId="10425B5F">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0263AB77">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16126E2D">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5BF81034">
            <w:pPr>
              <w:spacing w:line="360" w:lineRule="auto"/>
              <w:rPr>
                <w:rFonts w:ascii="宋体" w:hAnsi="宋体"/>
              </w:rPr>
            </w:pPr>
          </w:p>
        </w:tc>
      </w:tr>
      <w:tr w14:paraId="28C1C7EE">
        <w:tblPrEx>
          <w:tblW w:w="0" w:type="auto"/>
          <w:jc w:val="center"/>
          <w:tblLayout w:type="fixed"/>
          <w:tblCellMar>
            <w:top w:w="0" w:type="dxa"/>
            <w:left w:w="28" w:type="dxa"/>
            <w:bottom w:w="0" w:type="dxa"/>
            <w:right w:w="28" w:type="dxa"/>
          </w:tblCellMar>
        </w:tblPrEx>
        <w:trPr>
          <w:jc w:val="center"/>
        </w:trPr>
        <w:tc>
          <w:tcPr>
            <w:tcW w:w="1871" w:type="dxa"/>
            <w:vMerge w:val="restart"/>
            <w:tcBorders>
              <w:top w:val="single" w:sz="6" w:space="0" w:color="auto"/>
              <w:left w:val="single" w:sz="12" w:space="0" w:color="auto"/>
              <w:bottom w:val="single" w:sz="12" w:space="0" w:color="auto"/>
              <w:right w:val="single" w:sz="6" w:space="0" w:color="auto"/>
            </w:tcBorders>
            <w:vAlign w:val="center"/>
          </w:tcPr>
          <w:p w14:paraId="0B6DB988">
            <w:pPr>
              <w:spacing w:line="360" w:lineRule="auto"/>
              <w:rPr>
                <w:rFonts w:ascii="宋体" w:hAnsi="宋体"/>
              </w:rPr>
            </w:pPr>
            <w:r>
              <w:rPr>
                <w:rFonts w:ascii="宋体" w:hAnsi="宋体" w:hint="eastAsia"/>
              </w:rPr>
              <w:t>其他人员</w:t>
            </w:r>
          </w:p>
        </w:tc>
        <w:tc>
          <w:tcPr>
            <w:tcW w:w="1418" w:type="dxa"/>
            <w:tcBorders>
              <w:top w:val="single" w:sz="6" w:space="0" w:color="auto"/>
              <w:left w:val="single" w:sz="6" w:space="0" w:color="auto"/>
              <w:bottom w:val="single" w:sz="6" w:space="0" w:color="auto"/>
              <w:right w:val="single" w:sz="6" w:space="0" w:color="auto"/>
            </w:tcBorders>
            <w:vAlign w:val="center"/>
          </w:tcPr>
          <w:p w14:paraId="285FDECB">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79C2035C">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6DCB2030">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6D35220B">
            <w:pPr>
              <w:spacing w:line="360" w:lineRule="auto"/>
              <w:rPr>
                <w:rFonts w:ascii="宋体" w:hAnsi="宋体"/>
              </w:rPr>
            </w:pPr>
          </w:p>
        </w:tc>
      </w:tr>
      <w:tr w14:paraId="73614A97">
        <w:tblPrEx>
          <w:tblW w:w="0" w:type="auto"/>
          <w:jc w:val="center"/>
          <w:tblLayout w:type="fixed"/>
          <w:tblCellMar>
            <w:top w:w="0" w:type="dxa"/>
            <w:left w:w="28" w:type="dxa"/>
            <w:bottom w:w="0" w:type="dxa"/>
            <w:right w:w="28" w:type="dxa"/>
          </w:tblCellMar>
        </w:tblPrEx>
        <w:trPr>
          <w:jc w:val="center"/>
        </w:trPr>
        <w:tc>
          <w:tcPr>
            <w:tcW w:w="9809" w:type="dxa"/>
            <w:vMerge/>
            <w:tcBorders>
              <w:top w:val="single" w:sz="6" w:space="0" w:color="auto"/>
              <w:left w:val="single" w:sz="12" w:space="0" w:color="auto"/>
              <w:bottom w:val="single" w:sz="12" w:space="0" w:color="auto"/>
              <w:right w:val="single" w:sz="6" w:space="0" w:color="auto"/>
            </w:tcBorders>
            <w:vAlign w:val="center"/>
          </w:tcPr>
          <w:p w14:paraId="31319919">
            <w:pPr>
              <w:rPr>
                <w:rFonts w:ascii="宋体" w:eastAsia="宋体" w:hAnsi="宋体"/>
                <w:kern w:val="2"/>
              </w:rPr>
            </w:pPr>
          </w:p>
        </w:tc>
        <w:tc>
          <w:tcPr>
            <w:tcW w:w="1418" w:type="dxa"/>
            <w:tcBorders>
              <w:top w:val="single" w:sz="6" w:space="0" w:color="auto"/>
              <w:left w:val="single" w:sz="6" w:space="0" w:color="auto"/>
              <w:bottom w:val="nil"/>
              <w:right w:val="single" w:sz="6" w:space="0" w:color="auto"/>
            </w:tcBorders>
            <w:vAlign w:val="center"/>
          </w:tcPr>
          <w:p w14:paraId="7B32469D">
            <w:pPr>
              <w:spacing w:line="360" w:lineRule="auto"/>
              <w:rPr>
                <w:rFonts w:ascii="宋体" w:hAnsi="宋体"/>
              </w:rPr>
            </w:pPr>
          </w:p>
        </w:tc>
        <w:tc>
          <w:tcPr>
            <w:tcW w:w="908" w:type="dxa"/>
            <w:tcBorders>
              <w:top w:val="single" w:sz="6" w:space="0" w:color="auto"/>
              <w:left w:val="single" w:sz="6" w:space="0" w:color="auto"/>
              <w:bottom w:val="nil"/>
              <w:right w:val="single" w:sz="6" w:space="0" w:color="auto"/>
            </w:tcBorders>
            <w:vAlign w:val="center"/>
          </w:tcPr>
          <w:p w14:paraId="67733AC8">
            <w:pPr>
              <w:spacing w:line="360" w:lineRule="auto"/>
              <w:rPr>
                <w:rFonts w:ascii="宋体" w:hAnsi="宋体"/>
              </w:rPr>
            </w:pPr>
          </w:p>
        </w:tc>
        <w:tc>
          <w:tcPr>
            <w:tcW w:w="1559" w:type="dxa"/>
            <w:tcBorders>
              <w:top w:val="single" w:sz="6" w:space="0" w:color="auto"/>
              <w:left w:val="single" w:sz="6" w:space="0" w:color="auto"/>
              <w:bottom w:val="nil"/>
              <w:right w:val="single" w:sz="6" w:space="0" w:color="auto"/>
            </w:tcBorders>
            <w:vAlign w:val="center"/>
          </w:tcPr>
          <w:p w14:paraId="34268386">
            <w:pPr>
              <w:spacing w:line="360" w:lineRule="auto"/>
              <w:rPr>
                <w:rFonts w:ascii="宋体" w:hAnsi="宋体"/>
              </w:rPr>
            </w:pPr>
          </w:p>
        </w:tc>
        <w:tc>
          <w:tcPr>
            <w:tcW w:w="4053" w:type="dxa"/>
            <w:tcBorders>
              <w:top w:val="single" w:sz="6" w:space="0" w:color="auto"/>
              <w:left w:val="single" w:sz="6" w:space="0" w:color="auto"/>
              <w:bottom w:val="nil"/>
              <w:right w:val="single" w:sz="12" w:space="0" w:color="auto"/>
            </w:tcBorders>
            <w:vAlign w:val="center"/>
          </w:tcPr>
          <w:p w14:paraId="5D42CB8E">
            <w:pPr>
              <w:spacing w:line="360" w:lineRule="auto"/>
              <w:rPr>
                <w:rFonts w:ascii="宋体" w:hAnsi="宋体"/>
              </w:rPr>
            </w:pPr>
          </w:p>
        </w:tc>
      </w:tr>
      <w:tr w14:paraId="26037647">
        <w:tblPrEx>
          <w:tblW w:w="0" w:type="auto"/>
          <w:jc w:val="center"/>
          <w:tblLayout w:type="fixed"/>
          <w:tblCellMar>
            <w:top w:w="0" w:type="dxa"/>
            <w:left w:w="28" w:type="dxa"/>
            <w:bottom w:w="0" w:type="dxa"/>
            <w:right w:w="28" w:type="dxa"/>
          </w:tblCellMar>
        </w:tblPrEx>
        <w:trPr>
          <w:jc w:val="center"/>
        </w:trPr>
        <w:tc>
          <w:tcPr>
            <w:tcW w:w="9809" w:type="dxa"/>
            <w:vMerge/>
            <w:tcBorders>
              <w:top w:val="single" w:sz="6" w:space="0" w:color="auto"/>
              <w:left w:val="single" w:sz="12" w:space="0" w:color="auto"/>
              <w:bottom w:val="single" w:sz="12" w:space="0" w:color="auto"/>
              <w:right w:val="single" w:sz="6" w:space="0" w:color="auto"/>
            </w:tcBorders>
            <w:vAlign w:val="center"/>
          </w:tcPr>
          <w:p w14:paraId="6BAA80B4">
            <w:pPr>
              <w:rPr>
                <w:rFonts w:ascii="宋体" w:eastAsia="宋体" w:hAnsi="宋体"/>
                <w:kern w:val="2"/>
              </w:rPr>
            </w:pPr>
          </w:p>
        </w:tc>
        <w:tc>
          <w:tcPr>
            <w:tcW w:w="1418" w:type="dxa"/>
            <w:tcBorders>
              <w:top w:val="single" w:sz="6" w:space="0" w:color="auto"/>
              <w:left w:val="single" w:sz="6" w:space="0" w:color="auto"/>
              <w:bottom w:val="single" w:sz="6" w:space="0" w:color="auto"/>
              <w:right w:val="single" w:sz="6" w:space="0" w:color="auto"/>
            </w:tcBorders>
            <w:vAlign w:val="center"/>
          </w:tcPr>
          <w:p w14:paraId="0F79D518">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5B0FF10B">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6D2F10A5">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6DCE432E">
            <w:pPr>
              <w:spacing w:line="360" w:lineRule="auto"/>
              <w:rPr>
                <w:rFonts w:ascii="宋体" w:hAnsi="宋体"/>
              </w:rPr>
            </w:pPr>
          </w:p>
        </w:tc>
      </w:tr>
      <w:tr w14:paraId="1EC7C430">
        <w:tblPrEx>
          <w:tblW w:w="0" w:type="auto"/>
          <w:jc w:val="center"/>
          <w:tblLayout w:type="fixed"/>
          <w:tblCellMar>
            <w:top w:w="0" w:type="dxa"/>
            <w:left w:w="28" w:type="dxa"/>
            <w:bottom w:w="0" w:type="dxa"/>
            <w:right w:w="28" w:type="dxa"/>
          </w:tblCellMar>
        </w:tblPrEx>
        <w:trPr>
          <w:jc w:val="center"/>
        </w:trPr>
        <w:tc>
          <w:tcPr>
            <w:tcW w:w="9809" w:type="dxa"/>
            <w:vMerge/>
            <w:tcBorders>
              <w:top w:val="single" w:sz="6" w:space="0" w:color="auto"/>
              <w:left w:val="single" w:sz="12" w:space="0" w:color="auto"/>
              <w:bottom w:val="single" w:sz="12" w:space="0" w:color="auto"/>
              <w:right w:val="single" w:sz="6" w:space="0" w:color="auto"/>
            </w:tcBorders>
            <w:vAlign w:val="center"/>
          </w:tcPr>
          <w:p w14:paraId="3343E706">
            <w:pPr>
              <w:rPr>
                <w:rFonts w:ascii="宋体" w:eastAsia="宋体" w:hAnsi="宋体"/>
                <w:kern w:val="2"/>
              </w:rPr>
            </w:pPr>
          </w:p>
        </w:tc>
        <w:tc>
          <w:tcPr>
            <w:tcW w:w="1418" w:type="dxa"/>
            <w:tcBorders>
              <w:top w:val="single" w:sz="6" w:space="0" w:color="auto"/>
              <w:left w:val="single" w:sz="6" w:space="0" w:color="auto"/>
              <w:bottom w:val="single" w:sz="6" w:space="0" w:color="auto"/>
              <w:right w:val="single" w:sz="6" w:space="0" w:color="auto"/>
            </w:tcBorders>
            <w:vAlign w:val="center"/>
          </w:tcPr>
          <w:p w14:paraId="783E5D71">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69B36F4A">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40F9FA59">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5BECE163">
            <w:pPr>
              <w:spacing w:line="360" w:lineRule="auto"/>
              <w:rPr>
                <w:rFonts w:ascii="宋体" w:hAnsi="宋体"/>
              </w:rPr>
            </w:pPr>
          </w:p>
        </w:tc>
      </w:tr>
      <w:tr w14:paraId="4A072A57">
        <w:tblPrEx>
          <w:tblW w:w="0" w:type="auto"/>
          <w:jc w:val="center"/>
          <w:tblLayout w:type="fixed"/>
          <w:tblCellMar>
            <w:top w:w="0" w:type="dxa"/>
            <w:left w:w="28" w:type="dxa"/>
            <w:bottom w:w="0" w:type="dxa"/>
            <w:right w:w="28" w:type="dxa"/>
          </w:tblCellMar>
        </w:tblPrEx>
        <w:trPr>
          <w:jc w:val="center"/>
        </w:trPr>
        <w:tc>
          <w:tcPr>
            <w:tcW w:w="9809" w:type="dxa"/>
            <w:vMerge/>
            <w:tcBorders>
              <w:top w:val="single" w:sz="6" w:space="0" w:color="auto"/>
              <w:left w:val="single" w:sz="12" w:space="0" w:color="auto"/>
              <w:bottom w:val="single" w:sz="12" w:space="0" w:color="auto"/>
              <w:right w:val="single" w:sz="6" w:space="0" w:color="auto"/>
            </w:tcBorders>
            <w:vAlign w:val="center"/>
          </w:tcPr>
          <w:p w14:paraId="7F5EB89A">
            <w:pPr>
              <w:rPr>
                <w:rFonts w:ascii="宋体" w:eastAsia="宋体" w:hAnsi="宋体"/>
                <w:kern w:val="2"/>
              </w:rPr>
            </w:pPr>
          </w:p>
        </w:tc>
        <w:tc>
          <w:tcPr>
            <w:tcW w:w="1418" w:type="dxa"/>
            <w:tcBorders>
              <w:top w:val="single" w:sz="6" w:space="0" w:color="auto"/>
              <w:left w:val="single" w:sz="6" w:space="0" w:color="auto"/>
              <w:bottom w:val="single" w:sz="6" w:space="0" w:color="auto"/>
              <w:right w:val="single" w:sz="6" w:space="0" w:color="auto"/>
            </w:tcBorders>
            <w:vAlign w:val="center"/>
          </w:tcPr>
          <w:p w14:paraId="583F64A2">
            <w:pPr>
              <w:spacing w:line="360" w:lineRule="auto"/>
              <w:rPr>
                <w:rFonts w:ascii="宋体" w:hAnsi="宋体"/>
              </w:rPr>
            </w:pPr>
          </w:p>
        </w:tc>
        <w:tc>
          <w:tcPr>
            <w:tcW w:w="908" w:type="dxa"/>
            <w:tcBorders>
              <w:top w:val="single" w:sz="6" w:space="0" w:color="auto"/>
              <w:left w:val="single" w:sz="6" w:space="0" w:color="auto"/>
              <w:bottom w:val="single" w:sz="6" w:space="0" w:color="auto"/>
              <w:right w:val="single" w:sz="6" w:space="0" w:color="auto"/>
            </w:tcBorders>
            <w:vAlign w:val="center"/>
          </w:tcPr>
          <w:p w14:paraId="2F8D27C9">
            <w:pPr>
              <w:spacing w:line="360" w:lineRule="auto"/>
              <w:rPr>
                <w:rFonts w:ascii="宋体" w:hAnsi="宋体"/>
              </w:rPr>
            </w:pPr>
          </w:p>
        </w:tc>
        <w:tc>
          <w:tcPr>
            <w:tcW w:w="1559" w:type="dxa"/>
            <w:tcBorders>
              <w:top w:val="single" w:sz="6" w:space="0" w:color="auto"/>
              <w:left w:val="single" w:sz="6" w:space="0" w:color="auto"/>
              <w:bottom w:val="single" w:sz="6" w:space="0" w:color="auto"/>
              <w:right w:val="single" w:sz="6" w:space="0" w:color="auto"/>
            </w:tcBorders>
            <w:vAlign w:val="center"/>
          </w:tcPr>
          <w:p w14:paraId="137270BA">
            <w:pPr>
              <w:spacing w:line="360" w:lineRule="auto"/>
              <w:rPr>
                <w:rFonts w:ascii="宋体" w:hAnsi="宋体"/>
              </w:rPr>
            </w:pPr>
          </w:p>
        </w:tc>
        <w:tc>
          <w:tcPr>
            <w:tcW w:w="4053" w:type="dxa"/>
            <w:tcBorders>
              <w:top w:val="single" w:sz="6" w:space="0" w:color="auto"/>
              <w:left w:val="single" w:sz="6" w:space="0" w:color="auto"/>
              <w:bottom w:val="single" w:sz="6" w:space="0" w:color="auto"/>
              <w:right w:val="single" w:sz="12" w:space="0" w:color="auto"/>
            </w:tcBorders>
            <w:vAlign w:val="center"/>
          </w:tcPr>
          <w:p w14:paraId="1B24959E">
            <w:pPr>
              <w:spacing w:line="360" w:lineRule="auto"/>
              <w:rPr>
                <w:rFonts w:ascii="宋体" w:hAnsi="宋体"/>
              </w:rPr>
            </w:pPr>
          </w:p>
        </w:tc>
      </w:tr>
      <w:tr w14:paraId="6CD2CAA2">
        <w:tblPrEx>
          <w:tblW w:w="0" w:type="auto"/>
          <w:jc w:val="center"/>
          <w:tblLayout w:type="fixed"/>
          <w:tblCellMar>
            <w:top w:w="0" w:type="dxa"/>
            <w:left w:w="28" w:type="dxa"/>
            <w:bottom w:w="0" w:type="dxa"/>
            <w:right w:w="28" w:type="dxa"/>
          </w:tblCellMar>
        </w:tblPrEx>
        <w:trPr>
          <w:jc w:val="center"/>
        </w:trPr>
        <w:tc>
          <w:tcPr>
            <w:tcW w:w="9809" w:type="dxa"/>
            <w:vMerge/>
            <w:tcBorders>
              <w:top w:val="single" w:sz="6" w:space="0" w:color="auto"/>
              <w:left w:val="single" w:sz="12" w:space="0" w:color="auto"/>
              <w:bottom w:val="single" w:sz="12" w:space="0" w:color="auto"/>
              <w:right w:val="single" w:sz="6" w:space="0" w:color="auto"/>
            </w:tcBorders>
            <w:vAlign w:val="center"/>
          </w:tcPr>
          <w:p w14:paraId="2E3A1BF3">
            <w:pPr>
              <w:rPr>
                <w:rFonts w:ascii="宋体" w:eastAsia="宋体" w:hAnsi="宋体"/>
                <w:kern w:val="2"/>
              </w:rPr>
            </w:pPr>
          </w:p>
        </w:tc>
        <w:tc>
          <w:tcPr>
            <w:tcW w:w="1418" w:type="dxa"/>
            <w:tcBorders>
              <w:top w:val="single" w:sz="6" w:space="0" w:color="auto"/>
              <w:left w:val="single" w:sz="6" w:space="0" w:color="auto"/>
              <w:bottom w:val="single" w:sz="12" w:space="0" w:color="auto"/>
              <w:right w:val="single" w:sz="6" w:space="0" w:color="auto"/>
            </w:tcBorders>
            <w:vAlign w:val="center"/>
          </w:tcPr>
          <w:p w14:paraId="722DD473">
            <w:pPr>
              <w:spacing w:line="360" w:lineRule="auto"/>
              <w:rPr>
                <w:rFonts w:ascii="宋体" w:hAnsi="宋体"/>
              </w:rPr>
            </w:pPr>
          </w:p>
        </w:tc>
        <w:tc>
          <w:tcPr>
            <w:tcW w:w="908" w:type="dxa"/>
            <w:tcBorders>
              <w:top w:val="single" w:sz="6" w:space="0" w:color="auto"/>
              <w:left w:val="single" w:sz="6" w:space="0" w:color="auto"/>
              <w:bottom w:val="single" w:sz="12" w:space="0" w:color="auto"/>
              <w:right w:val="single" w:sz="6" w:space="0" w:color="auto"/>
            </w:tcBorders>
            <w:vAlign w:val="center"/>
          </w:tcPr>
          <w:p w14:paraId="4128A160">
            <w:pPr>
              <w:spacing w:line="360" w:lineRule="auto"/>
              <w:rPr>
                <w:rFonts w:ascii="宋体" w:hAnsi="宋体"/>
              </w:rPr>
            </w:pPr>
          </w:p>
        </w:tc>
        <w:tc>
          <w:tcPr>
            <w:tcW w:w="1559" w:type="dxa"/>
            <w:tcBorders>
              <w:top w:val="single" w:sz="6" w:space="0" w:color="auto"/>
              <w:left w:val="single" w:sz="6" w:space="0" w:color="auto"/>
              <w:bottom w:val="single" w:sz="12" w:space="0" w:color="auto"/>
              <w:right w:val="single" w:sz="6" w:space="0" w:color="auto"/>
            </w:tcBorders>
            <w:vAlign w:val="center"/>
          </w:tcPr>
          <w:p w14:paraId="2A402A17">
            <w:pPr>
              <w:spacing w:line="360" w:lineRule="auto"/>
              <w:rPr>
                <w:rFonts w:ascii="宋体" w:hAnsi="宋体"/>
              </w:rPr>
            </w:pPr>
          </w:p>
        </w:tc>
        <w:tc>
          <w:tcPr>
            <w:tcW w:w="4053" w:type="dxa"/>
            <w:tcBorders>
              <w:top w:val="single" w:sz="6" w:space="0" w:color="auto"/>
              <w:left w:val="single" w:sz="6" w:space="0" w:color="auto"/>
              <w:bottom w:val="single" w:sz="12" w:space="0" w:color="auto"/>
              <w:right w:val="single" w:sz="12" w:space="0" w:color="auto"/>
            </w:tcBorders>
            <w:vAlign w:val="center"/>
          </w:tcPr>
          <w:p w14:paraId="60BF5D22">
            <w:pPr>
              <w:spacing w:line="360" w:lineRule="auto"/>
              <w:rPr>
                <w:rFonts w:ascii="宋体" w:hAnsi="宋体"/>
              </w:rPr>
            </w:pPr>
          </w:p>
        </w:tc>
      </w:tr>
    </w:tbl>
    <w:p w14:paraId="2B996285">
      <w:pPr>
        <w:spacing w:line="360" w:lineRule="auto"/>
        <w:rPr>
          <w:rFonts w:ascii="宋体" w:hAnsi="宋体"/>
          <w:kern w:val="2"/>
        </w:rPr>
      </w:pPr>
      <w:r>
        <w:rPr>
          <w:rFonts w:ascii="宋体" w:hAnsi="宋体" w:hint="eastAsia"/>
        </w:rPr>
        <w:br w:type="page"/>
      </w:r>
      <w:bookmarkStart w:id="1103" w:name="_Toc267261701"/>
      <w:r>
        <w:rPr>
          <w:rFonts w:ascii="宋体" w:hAnsi="宋体" w:hint="eastAsia"/>
        </w:rPr>
        <w:t>附</w:t>
      </w:r>
      <w:bookmarkStart w:id="1104" w:name="_Toc296347230"/>
      <w:bookmarkStart w:id="1105" w:name="_Toc296891059"/>
      <w:bookmarkStart w:id="1106" w:name="_Toc296503231"/>
      <w:bookmarkStart w:id="1107" w:name="_Toc296944570"/>
      <w:bookmarkStart w:id="1108" w:name="_Toc296891271"/>
      <w:bookmarkStart w:id="1109" w:name="_Toc296346732"/>
      <w:r>
        <w:rPr>
          <w:rFonts w:ascii="宋体" w:hAnsi="宋体" w:hint="eastAsia"/>
        </w:rPr>
        <w:t>件8：</w:t>
      </w:r>
    </w:p>
    <w:bookmarkEnd w:id="1103"/>
    <w:bookmarkEnd w:id="1104"/>
    <w:bookmarkEnd w:id="1105"/>
    <w:bookmarkEnd w:id="1106"/>
    <w:bookmarkEnd w:id="1107"/>
    <w:bookmarkEnd w:id="1108"/>
    <w:bookmarkEnd w:id="1109"/>
    <w:p w14:paraId="6BA492E7">
      <w:pPr>
        <w:spacing w:line="360" w:lineRule="auto"/>
        <w:jc w:val="center"/>
        <w:rPr>
          <w:rFonts w:ascii="宋体" w:hAnsi="宋体"/>
          <w:b/>
        </w:rPr>
      </w:pPr>
      <w:r>
        <w:rPr>
          <w:rFonts w:ascii="宋体" w:hAnsi="宋体" w:hint="eastAsia"/>
          <w:b/>
        </w:rPr>
        <w:t>履约担保</w:t>
      </w:r>
    </w:p>
    <w:p w14:paraId="1F120B39">
      <w:pPr>
        <w:spacing w:line="360" w:lineRule="auto"/>
        <w:jc w:val="center"/>
        <w:rPr>
          <w:rFonts w:ascii="宋体" w:hAnsi="宋体"/>
          <w:b/>
        </w:rPr>
      </w:pPr>
    </w:p>
    <w:p w14:paraId="3BF71AF2">
      <w:pPr>
        <w:spacing w:line="360" w:lineRule="auto"/>
        <w:rPr>
          <w:rFonts w:ascii="宋体" w:hAnsi="宋体"/>
        </w:rPr>
      </w:pPr>
      <w:r>
        <w:rPr>
          <w:rFonts w:ascii="宋体" w:hAnsi="宋体" w:hint="eastAsia"/>
          <w:u w:val="single"/>
        </w:rPr>
        <w:t xml:space="preserve">             </w:t>
      </w:r>
      <w:r>
        <w:rPr>
          <w:rFonts w:ascii="宋体" w:hAnsi="宋体" w:hint="eastAsia"/>
          <w:u w:val="single"/>
        </w:rPr>
        <w:tab/>
      </w:r>
      <w:r>
        <w:rPr>
          <w:rFonts w:ascii="宋体" w:hAnsi="宋体" w:hint="eastAsia"/>
        </w:rPr>
        <w:t>（发包人名称）：</w:t>
      </w:r>
    </w:p>
    <w:p w14:paraId="34D8CD48">
      <w:pPr>
        <w:spacing w:line="360" w:lineRule="auto"/>
        <w:rPr>
          <w:rFonts w:ascii="宋体" w:hAnsi="宋体"/>
        </w:rPr>
      </w:pPr>
    </w:p>
    <w:p w14:paraId="42DB8AFA">
      <w:pPr>
        <w:spacing w:line="360" w:lineRule="auto"/>
        <w:rPr>
          <w:rFonts w:ascii="宋体" w:hAnsi="宋体"/>
          <w:lang w:eastAsia="zh-CN"/>
        </w:rPr>
      </w:pPr>
      <w:r>
        <w:rPr>
          <w:rFonts w:ascii="宋体" w:hAnsi="宋体" w:hint="eastAsia"/>
          <w:lang w:eastAsia="zh-CN"/>
        </w:rPr>
        <w:t>鉴于</w:t>
      </w:r>
      <w:r>
        <w:rPr>
          <w:rFonts w:ascii="宋体" w:hAnsi="宋体" w:hint="eastAsia"/>
          <w:u w:val="single"/>
          <w:lang w:eastAsia="zh-CN"/>
        </w:rPr>
        <w:t xml:space="preserve">            </w:t>
      </w:r>
      <w:r>
        <w:rPr>
          <w:rFonts w:ascii="宋体" w:hAnsi="宋体" w:hint="eastAsia"/>
          <w:lang w:eastAsia="zh-CN"/>
        </w:rPr>
        <w:t>（发包人名称，以下简称“发包人”）与</w:t>
      </w:r>
      <w:r>
        <w:rPr>
          <w:rFonts w:ascii="宋体" w:hAnsi="宋体" w:hint="eastAsia"/>
          <w:u w:val="single"/>
          <w:lang w:eastAsia="zh-CN"/>
        </w:rPr>
        <w:t xml:space="preserve">         </w:t>
      </w:r>
      <w:r>
        <w:rPr>
          <w:rFonts w:ascii="宋体" w:hAnsi="宋体" w:hint="eastAsia"/>
          <w:lang w:eastAsia="zh-CN"/>
        </w:rPr>
        <w:t>（承包人名称）（以下称“承包人”）于</w:t>
      </w:r>
      <w:r>
        <w:rPr>
          <w:rFonts w:ascii="宋体" w:hAnsi="宋体" w:hint="eastAsia"/>
          <w:u w:val="single"/>
          <w:lang w:eastAsia="zh-CN"/>
        </w:rPr>
        <w:t xml:space="preserve">   </w:t>
      </w:r>
      <w:r>
        <w:rPr>
          <w:rFonts w:ascii="宋体" w:hAnsi="宋体" w:hint="eastAsia"/>
          <w:lang w:eastAsia="zh-CN"/>
        </w:rPr>
        <w:t>年</w:t>
      </w:r>
      <w:r>
        <w:rPr>
          <w:rFonts w:ascii="宋体" w:hAnsi="宋体" w:hint="eastAsia"/>
          <w:u w:val="single"/>
          <w:lang w:eastAsia="zh-CN"/>
        </w:rPr>
        <w:t xml:space="preserve">  </w:t>
      </w:r>
      <w:r>
        <w:rPr>
          <w:rFonts w:ascii="宋体" w:hAnsi="宋体" w:hint="eastAsia"/>
          <w:lang w:eastAsia="zh-CN"/>
        </w:rPr>
        <w:t>月</w:t>
      </w:r>
      <w:r>
        <w:rPr>
          <w:rFonts w:ascii="宋体" w:hAnsi="宋体" w:hint="eastAsia"/>
          <w:u w:val="single"/>
          <w:lang w:eastAsia="zh-CN"/>
        </w:rPr>
        <w:t xml:space="preserve">   </w:t>
      </w:r>
      <w:r>
        <w:rPr>
          <w:rFonts w:ascii="宋体" w:hAnsi="宋体" w:hint="eastAsia"/>
          <w:lang w:eastAsia="zh-CN"/>
        </w:rPr>
        <w:t>日就</w:t>
      </w:r>
      <w:r>
        <w:rPr>
          <w:rFonts w:ascii="宋体" w:hAnsi="宋体" w:hint="eastAsia"/>
          <w:u w:val="single"/>
          <w:lang w:eastAsia="zh-CN"/>
        </w:rPr>
        <w:t xml:space="preserve">                         </w:t>
      </w:r>
      <w:r>
        <w:rPr>
          <w:rFonts w:ascii="宋体" w:hAnsi="宋体" w:hint="eastAsia"/>
          <w:lang w:eastAsia="zh-CN"/>
        </w:rPr>
        <w:t xml:space="preserve">（工程名称）施工及有关事项协商一致共同签订《建设工程施工合同》。我方愿意无条件地、不可撤销地就承包人履行与你方签订的合同，向你方提供连带责任担保。 </w:t>
      </w:r>
    </w:p>
    <w:p w14:paraId="5367F4CD">
      <w:pPr>
        <w:spacing w:line="360" w:lineRule="auto"/>
        <w:rPr>
          <w:rFonts w:ascii="宋体" w:hAnsi="宋体"/>
          <w:lang w:eastAsia="zh-CN"/>
        </w:rPr>
      </w:pPr>
      <w:r>
        <w:rPr>
          <w:rFonts w:ascii="宋体" w:hAnsi="宋体" w:hint="eastAsia"/>
          <w:lang w:eastAsia="zh-CN"/>
        </w:rPr>
        <w:t>1. 担保金额人民币（大写）</w:t>
      </w:r>
      <w:r>
        <w:rPr>
          <w:rFonts w:ascii="宋体" w:hAnsi="宋体" w:hint="eastAsia"/>
          <w:u w:val="single"/>
          <w:lang w:eastAsia="zh-CN"/>
        </w:rPr>
        <w:t xml:space="preserve">                 </w:t>
      </w:r>
      <w:r>
        <w:rPr>
          <w:rFonts w:ascii="宋体" w:hAnsi="宋体" w:hint="eastAsia"/>
          <w:lang w:eastAsia="zh-CN"/>
        </w:rPr>
        <w:t>元（¥</w:t>
      </w:r>
      <w:r>
        <w:rPr>
          <w:rFonts w:ascii="宋体" w:hAnsi="宋体" w:hint="eastAsia"/>
          <w:u w:val="single"/>
          <w:lang w:eastAsia="zh-CN"/>
        </w:rPr>
        <w:t xml:space="preserve">             </w:t>
      </w:r>
      <w:r>
        <w:rPr>
          <w:rFonts w:ascii="宋体" w:hAnsi="宋体" w:hint="eastAsia"/>
          <w:lang w:eastAsia="zh-CN"/>
        </w:rPr>
        <w:t>）。</w:t>
      </w:r>
    </w:p>
    <w:p w14:paraId="674E63E0">
      <w:pPr>
        <w:spacing w:line="360" w:lineRule="auto"/>
        <w:rPr>
          <w:rFonts w:ascii="宋体" w:hAnsi="宋体"/>
          <w:lang w:eastAsia="zh-CN"/>
        </w:rPr>
      </w:pPr>
      <w:r>
        <w:rPr>
          <w:rFonts w:ascii="宋体" w:hAnsi="宋体" w:hint="eastAsia"/>
          <w:lang w:eastAsia="zh-CN"/>
        </w:rPr>
        <w:t>2. 担保有效期自你方与承包人签订的合同生效之日起至你方签发或应签发工程接收证书之日止。</w:t>
      </w:r>
    </w:p>
    <w:p w14:paraId="1312FF99">
      <w:pPr>
        <w:spacing w:line="360" w:lineRule="auto"/>
        <w:rPr>
          <w:rFonts w:ascii="宋体" w:hAnsi="宋体"/>
          <w:lang w:eastAsia="zh-CN"/>
        </w:rPr>
      </w:pPr>
      <w:r>
        <w:rPr>
          <w:rFonts w:ascii="宋体" w:hAnsi="宋体" w:hint="eastAsia"/>
          <w:lang w:eastAsia="zh-CN"/>
        </w:rPr>
        <w:t>3. 在本担保有效期内，因承包人违反合同约定的义务给你方造成经济损失时，我方在收到你方以书面形式提出的在担保金额内的赔偿要求后，在7天内无条件支付。</w:t>
      </w:r>
    </w:p>
    <w:p w14:paraId="5510CB06">
      <w:pPr>
        <w:spacing w:line="360" w:lineRule="auto"/>
        <w:rPr>
          <w:rFonts w:ascii="宋体" w:hAnsi="宋体"/>
          <w:lang w:eastAsia="zh-CN"/>
        </w:rPr>
      </w:pPr>
      <w:r>
        <w:rPr>
          <w:rFonts w:ascii="宋体" w:hAnsi="宋体" w:hint="eastAsia"/>
          <w:lang w:eastAsia="zh-CN"/>
        </w:rPr>
        <w:t>4. 你方和承包人按合同约定变更合同时，我方承担本担保规定的义务不变。</w:t>
      </w:r>
    </w:p>
    <w:p w14:paraId="2C3EECC2">
      <w:pPr>
        <w:spacing w:line="360" w:lineRule="auto"/>
        <w:rPr>
          <w:rFonts w:ascii="宋体" w:hAnsi="宋体"/>
          <w:lang w:eastAsia="zh-CN"/>
        </w:rPr>
      </w:pPr>
      <w:r>
        <w:rPr>
          <w:rFonts w:ascii="宋体" w:hAnsi="宋体" w:hint="eastAsia"/>
          <w:lang w:eastAsia="zh-CN"/>
        </w:rPr>
        <w:t>5. 因本保函发生的纠纷，可由双方协商解决，协商不成的，任何一方均可提请</w:t>
      </w:r>
      <w:r>
        <w:rPr>
          <w:rFonts w:ascii="宋体" w:hAnsi="宋体" w:hint="eastAsia"/>
          <w:u w:val="single"/>
          <w:lang w:eastAsia="zh-CN"/>
        </w:rPr>
        <w:t xml:space="preserve">        </w:t>
      </w:r>
      <w:r>
        <w:rPr>
          <w:rFonts w:ascii="宋体" w:hAnsi="宋体" w:hint="eastAsia"/>
          <w:lang w:eastAsia="zh-CN"/>
        </w:rPr>
        <w:t>仲裁委员会仲裁。</w:t>
      </w:r>
    </w:p>
    <w:p w14:paraId="05227524">
      <w:pPr>
        <w:spacing w:line="360" w:lineRule="auto"/>
        <w:rPr>
          <w:rFonts w:ascii="宋体" w:hAnsi="宋体"/>
          <w:lang w:eastAsia="zh-CN"/>
        </w:rPr>
      </w:pPr>
      <w:r>
        <w:rPr>
          <w:rFonts w:ascii="宋体" w:hAnsi="宋体" w:hint="eastAsia"/>
          <w:lang w:eastAsia="zh-CN"/>
        </w:rPr>
        <w:t>6. 本保函自我方法定代表人（或其授权代理人）签字并加盖公章之日起生效。</w:t>
      </w:r>
    </w:p>
    <w:p w14:paraId="60A56807">
      <w:pPr>
        <w:spacing w:line="360" w:lineRule="auto"/>
        <w:rPr>
          <w:rFonts w:ascii="宋体" w:hAnsi="宋体"/>
          <w:lang w:eastAsia="zh-CN"/>
        </w:rPr>
      </w:pPr>
    </w:p>
    <w:p w14:paraId="47745706">
      <w:pPr>
        <w:spacing w:line="360" w:lineRule="auto"/>
        <w:rPr>
          <w:rFonts w:ascii="宋体" w:hAnsi="宋体"/>
          <w:lang w:eastAsia="zh-CN"/>
        </w:rPr>
      </w:pPr>
      <w:r>
        <w:rPr>
          <w:rFonts w:ascii="宋体" w:hAnsi="宋体" w:hint="eastAsia"/>
          <w:lang w:eastAsia="zh-CN"/>
        </w:rPr>
        <w:t>担 保 人：</w:t>
      </w:r>
      <w:r>
        <w:rPr>
          <w:rFonts w:ascii="宋体" w:hAnsi="宋体" w:hint="eastAsia"/>
          <w:u w:val="single"/>
          <w:lang w:eastAsia="zh-CN"/>
        </w:rPr>
        <w:t xml:space="preserve">                           </w:t>
      </w:r>
      <w:r>
        <w:rPr>
          <w:rFonts w:ascii="宋体" w:hAnsi="宋体" w:hint="eastAsia"/>
          <w:lang w:eastAsia="zh-CN"/>
        </w:rPr>
        <w:t>（盖单位章）</w:t>
      </w:r>
    </w:p>
    <w:p w14:paraId="06BCE345">
      <w:pPr>
        <w:spacing w:line="360" w:lineRule="auto"/>
        <w:rPr>
          <w:rFonts w:ascii="宋体" w:hAnsi="宋体"/>
          <w:lang w:eastAsia="zh-CN"/>
        </w:rPr>
      </w:pPr>
      <w:r>
        <w:rPr>
          <w:rFonts w:ascii="宋体" w:hAnsi="宋体" w:hint="eastAsia"/>
          <w:lang w:eastAsia="zh-CN"/>
        </w:rPr>
        <w:t>法定代表人或其委托代理人：</w:t>
      </w:r>
      <w:r>
        <w:rPr>
          <w:rFonts w:ascii="宋体" w:hAnsi="宋体" w:hint="eastAsia"/>
          <w:u w:val="single"/>
          <w:lang w:eastAsia="zh-CN"/>
        </w:rPr>
        <w:t xml:space="preserve">               </w:t>
      </w:r>
      <w:r>
        <w:rPr>
          <w:rFonts w:ascii="宋体" w:hAnsi="宋体" w:hint="eastAsia"/>
          <w:lang w:eastAsia="zh-CN"/>
        </w:rPr>
        <w:t>（签字）</w:t>
      </w:r>
    </w:p>
    <w:p w14:paraId="13521654">
      <w:pPr>
        <w:spacing w:line="360" w:lineRule="auto"/>
        <w:rPr>
          <w:rFonts w:ascii="宋体" w:hAnsi="宋体"/>
          <w:lang w:eastAsia="zh-CN"/>
        </w:rPr>
      </w:pPr>
      <w:r>
        <w:rPr>
          <w:rFonts w:ascii="宋体" w:hAnsi="宋体" w:hint="eastAsia"/>
          <w:lang w:eastAsia="zh-CN"/>
        </w:rPr>
        <w:t>地    址：</w:t>
      </w:r>
      <w:r>
        <w:rPr>
          <w:rFonts w:ascii="宋体" w:hAnsi="宋体" w:hint="eastAsia"/>
          <w:u w:val="single"/>
          <w:lang w:eastAsia="zh-CN"/>
        </w:rPr>
        <w:t xml:space="preserve">                                      </w:t>
      </w:r>
    </w:p>
    <w:p w14:paraId="21DA0407">
      <w:pPr>
        <w:spacing w:line="360" w:lineRule="auto"/>
        <w:rPr>
          <w:rFonts w:ascii="宋体" w:hAnsi="宋体"/>
          <w:lang w:eastAsia="zh-CN"/>
        </w:rPr>
      </w:pPr>
      <w:r>
        <w:rPr>
          <w:rFonts w:ascii="宋体" w:hAnsi="宋体" w:hint="eastAsia"/>
          <w:lang w:eastAsia="zh-CN"/>
        </w:rPr>
        <w:t>邮政编码：</w:t>
      </w:r>
      <w:r>
        <w:rPr>
          <w:rFonts w:ascii="宋体" w:hAnsi="宋体" w:hint="eastAsia"/>
          <w:u w:val="single"/>
          <w:lang w:eastAsia="zh-CN"/>
        </w:rPr>
        <w:t xml:space="preserve">                                      </w:t>
      </w:r>
    </w:p>
    <w:p w14:paraId="2BB02BB4">
      <w:pPr>
        <w:spacing w:line="360" w:lineRule="auto"/>
        <w:rPr>
          <w:rFonts w:ascii="宋体" w:hAnsi="宋体"/>
          <w:u w:val="single"/>
          <w:lang w:eastAsia="zh-CN"/>
        </w:rPr>
      </w:pPr>
      <w:r>
        <w:rPr>
          <w:rFonts w:ascii="宋体" w:hAnsi="宋体" w:hint="eastAsia"/>
          <w:lang w:eastAsia="zh-CN"/>
        </w:rPr>
        <w:t>电    话：</w:t>
      </w:r>
      <w:r>
        <w:rPr>
          <w:rFonts w:ascii="宋体" w:hAnsi="宋体" w:hint="eastAsia"/>
          <w:u w:val="single"/>
          <w:lang w:eastAsia="zh-CN"/>
        </w:rPr>
        <w:t xml:space="preserve">                                      </w:t>
      </w:r>
    </w:p>
    <w:p w14:paraId="370F5661">
      <w:pPr>
        <w:spacing w:line="360" w:lineRule="auto"/>
        <w:rPr>
          <w:rFonts w:ascii="宋体" w:hAnsi="宋体"/>
          <w:lang w:eastAsia="zh-CN"/>
        </w:rPr>
      </w:pPr>
      <w:r>
        <w:rPr>
          <w:rFonts w:ascii="宋体" w:hAnsi="宋体" w:hint="eastAsia"/>
          <w:lang w:eastAsia="zh-CN"/>
        </w:rPr>
        <w:t>传    真：</w:t>
      </w:r>
      <w:r>
        <w:rPr>
          <w:rFonts w:ascii="宋体" w:hAnsi="宋体" w:hint="eastAsia"/>
          <w:u w:val="single"/>
          <w:lang w:eastAsia="zh-CN"/>
        </w:rPr>
        <w:t xml:space="preserve">                                      </w:t>
      </w:r>
    </w:p>
    <w:p w14:paraId="185E92E6">
      <w:pPr>
        <w:spacing w:line="360" w:lineRule="auto"/>
        <w:rPr>
          <w:rFonts w:ascii="宋体" w:hAnsi="宋体"/>
          <w:u w:val="single"/>
          <w:lang w:eastAsia="zh-CN"/>
        </w:rPr>
      </w:pPr>
    </w:p>
    <w:p w14:paraId="25704DBD">
      <w:pPr>
        <w:spacing w:line="360" w:lineRule="auto"/>
        <w:rPr>
          <w:rFonts w:ascii="宋体" w:hAnsi="宋体"/>
          <w:lang w:eastAsia="zh-CN"/>
        </w:rPr>
      </w:pPr>
      <w:r>
        <w:rPr>
          <w:rFonts w:ascii="宋体" w:hAnsi="宋体" w:hint="eastAsia"/>
          <w:lang w:eastAsia="zh-CN"/>
        </w:rPr>
        <w:t xml:space="preserve">               </w:t>
      </w:r>
      <w:r>
        <w:rPr>
          <w:rFonts w:ascii="宋体" w:hAnsi="宋体" w:hint="eastAsia"/>
          <w:u w:val="single"/>
          <w:lang w:eastAsia="zh-CN"/>
        </w:rPr>
        <w:t xml:space="preserve">           </w:t>
      </w:r>
      <w:r>
        <w:rPr>
          <w:rFonts w:ascii="宋体" w:hAnsi="宋体" w:hint="eastAsia"/>
          <w:lang w:eastAsia="zh-CN"/>
        </w:rPr>
        <w:t>年</w:t>
      </w:r>
      <w:r>
        <w:rPr>
          <w:rFonts w:ascii="宋体" w:hAnsi="宋体" w:hint="eastAsia"/>
          <w:u w:val="single"/>
          <w:lang w:eastAsia="zh-CN"/>
        </w:rPr>
        <w:t xml:space="preserve">        </w:t>
      </w:r>
      <w:r>
        <w:rPr>
          <w:rFonts w:ascii="宋体" w:hAnsi="宋体" w:hint="eastAsia"/>
          <w:lang w:eastAsia="zh-CN"/>
        </w:rPr>
        <w:t>月</w:t>
      </w:r>
      <w:r>
        <w:rPr>
          <w:rFonts w:ascii="宋体" w:hAnsi="宋体" w:hint="eastAsia"/>
          <w:u w:val="single"/>
          <w:lang w:eastAsia="zh-CN"/>
        </w:rPr>
        <w:t xml:space="preserve">        </w:t>
      </w:r>
      <w:r>
        <w:rPr>
          <w:rFonts w:ascii="宋体" w:hAnsi="宋体" w:hint="eastAsia"/>
          <w:lang w:eastAsia="zh-CN"/>
        </w:rPr>
        <w:t>日</w:t>
      </w:r>
    </w:p>
    <w:p w14:paraId="41C47B02">
      <w:pPr>
        <w:spacing w:line="360" w:lineRule="auto"/>
        <w:rPr>
          <w:rFonts w:ascii="宋体" w:hAnsi="宋体"/>
          <w:lang w:eastAsia="zh-CN"/>
        </w:rPr>
      </w:pPr>
    </w:p>
    <w:p w14:paraId="6C7D27FD">
      <w:pPr>
        <w:spacing w:line="360" w:lineRule="auto"/>
        <w:rPr>
          <w:rFonts w:ascii="宋体" w:hAnsi="宋体"/>
          <w:lang w:eastAsia="zh-CN"/>
        </w:rPr>
      </w:pPr>
      <w:r>
        <w:rPr>
          <w:rFonts w:ascii="宋体" w:hAnsi="宋体" w:hint="eastAsia"/>
          <w:lang w:eastAsia="zh-CN"/>
        </w:rPr>
        <w:t>附</w:t>
      </w:r>
      <w:bookmarkStart w:id="1110" w:name="_Toc267261702"/>
      <w:bookmarkStart w:id="1111" w:name="_Toc296944571"/>
      <w:bookmarkStart w:id="1112" w:name="_Toc296346733"/>
      <w:bookmarkStart w:id="1113" w:name="_Toc296347231"/>
      <w:bookmarkStart w:id="1114" w:name="_Toc296891060"/>
      <w:bookmarkStart w:id="1115" w:name="_Toc296503232"/>
      <w:bookmarkStart w:id="1116" w:name="_Toc296891272"/>
      <w:r>
        <w:rPr>
          <w:rFonts w:ascii="宋体" w:hAnsi="宋体" w:hint="eastAsia"/>
          <w:lang w:eastAsia="zh-CN"/>
        </w:rPr>
        <w:t>件9 ：</w:t>
      </w:r>
    </w:p>
    <w:bookmarkEnd w:id="1110"/>
    <w:bookmarkEnd w:id="1111"/>
    <w:bookmarkEnd w:id="1112"/>
    <w:bookmarkEnd w:id="1113"/>
    <w:bookmarkEnd w:id="1114"/>
    <w:bookmarkEnd w:id="1115"/>
    <w:bookmarkEnd w:id="1116"/>
    <w:p w14:paraId="60389340">
      <w:pPr>
        <w:spacing w:line="360" w:lineRule="auto"/>
        <w:jc w:val="center"/>
        <w:rPr>
          <w:rFonts w:ascii="宋体" w:hAnsi="宋体"/>
          <w:b/>
          <w:lang w:eastAsia="zh-CN"/>
        </w:rPr>
      </w:pPr>
      <w:r>
        <w:rPr>
          <w:rFonts w:ascii="宋体" w:hAnsi="宋体" w:hint="eastAsia"/>
          <w:b/>
          <w:lang w:eastAsia="zh-CN"/>
        </w:rPr>
        <w:t>预付款担保</w:t>
      </w:r>
    </w:p>
    <w:p w14:paraId="3B58E0A1">
      <w:pPr>
        <w:spacing w:line="360" w:lineRule="auto"/>
        <w:jc w:val="center"/>
        <w:rPr>
          <w:rFonts w:ascii="宋体" w:hAnsi="宋体"/>
          <w:b/>
          <w:lang w:eastAsia="zh-CN"/>
        </w:rPr>
      </w:pPr>
    </w:p>
    <w:p w14:paraId="6D0E03E0">
      <w:pPr>
        <w:spacing w:line="360" w:lineRule="auto"/>
        <w:rPr>
          <w:rFonts w:ascii="宋体" w:hAnsi="宋体"/>
          <w:lang w:eastAsia="zh-CN"/>
        </w:rPr>
      </w:pPr>
      <w:r>
        <w:rPr>
          <w:rFonts w:ascii="宋体" w:hAnsi="宋体" w:hint="eastAsia"/>
          <w:u w:val="single"/>
          <w:lang w:eastAsia="zh-CN"/>
        </w:rPr>
        <w:t xml:space="preserve">            </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 xml:space="preserve"> </w:t>
      </w:r>
      <w:r>
        <w:rPr>
          <w:rFonts w:ascii="宋体" w:hAnsi="宋体" w:hint="eastAsia"/>
          <w:lang w:eastAsia="zh-CN"/>
        </w:rPr>
        <w:t xml:space="preserve"> （发包人名称）：</w:t>
      </w:r>
    </w:p>
    <w:p w14:paraId="0B389835">
      <w:pPr>
        <w:spacing w:line="360" w:lineRule="auto"/>
        <w:rPr>
          <w:rFonts w:ascii="宋体" w:hAnsi="宋体"/>
          <w:lang w:eastAsia="zh-CN"/>
        </w:rPr>
      </w:pPr>
    </w:p>
    <w:p w14:paraId="0D002D3C">
      <w:pPr>
        <w:spacing w:line="360" w:lineRule="auto"/>
        <w:rPr>
          <w:rFonts w:ascii="宋体" w:hAnsi="宋体"/>
          <w:lang w:eastAsia="zh-CN"/>
        </w:rPr>
      </w:pPr>
      <w:r>
        <w:rPr>
          <w:rFonts w:ascii="宋体" w:hAnsi="宋体" w:hint="eastAsia"/>
          <w:lang w:eastAsia="zh-CN"/>
        </w:rPr>
        <w:t>根据</w:t>
      </w:r>
      <w:r>
        <w:rPr>
          <w:rFonts w:ascii="宋体" w:hAnsi="宋体" w:hint="eastAsia"/>
          <w:u w:val="single"/>
          <w:lang w:eastAsia="zh-CN"/>
        </w:rPr>
        <w:t xml:space="preserve">            </w:t>
      </w:r>
      <w:r>
        <w:rPr>
          <w:rFonts w:ascii="宋体" w:hAnsi="宋体" w:hint="eastAsia"/>
          <w:lang w:eastAsia="zh-CN"/>
        </w:rPr>
        <w:t>（承包人名称）（以下称“承包人”）与</w:t>
      </w:r>
      <w:r>
        <w:rPr>
          <w:rFonts w:ascii="宋体" w:hAnsi="宋体" w:hint="eastAsia"/>
          <w:u w:val="single"/>
          <w:lang w:eastAsia="zh-CN"/>
        </w:rPr>
        <w:t xml:space="preserve">          </w:t>
      </w:r>
      <w:r>
        <w:rPr>
          <w:rFonts w:ascii="宋体" w:hAnsi="宋体" w:hint="eastAsia"/>
          <w:lang w:eastAsia="zh-CN"/>
        </w:rPr>
        <w:t>（发包人名称）（以下简称“发包人”）于</w:t>
      </w:r>
      <w:r>
        <w:rPr>
          <w:rFonts w:ascii="宋体" w:hAnsi="宋体" w:hint="eastAsia"/>
          <w:u w:val="single"/>
          <w:lang w:eastAsia="zh-CN"/>
        </w:rPr>
        <w:t xml:space="preserve">    </w:t>
      </w:r>
      <w:r>
        <w:rPr>
          <w:rFonts w:ascii="宋体" w:hAnsi="宋体" w:hint="eastAsia"/>
          <w:lang w:eastAsia="zh-CN"/>
        </w:rPr>
        <w:t>年</w:t>
      </w:r>
      <w:r>
        <w:rPr>
          <w:rFonts w:ascii="宋体" w:hAnsi="宋体" w:hint="eastAsia"/>
          <w:u w:val="single"/>
          <w:lang w:eastAsia="zh-CN"/>
        </w:rPr>
        <w:t xml:space="preserve">   </w:t>
      </w:r>
      <w:r>
        <w:rPr>
          <w:rFonts w:ascii="宋体" w:hAnsi="宋体" w:hint="eastAsia"/>
          <w:lang w:eastAsia="zh-CN"/>
        </w:rPr>
        <w:t>月</w:t>
      </w:r>
      <w:r>
        <w:rPr>
          <w:rFonts w:ascii="宋体" w:hAnsi="宋体" w:hint="eastAsia"/>
          <w:u w:val="single"/>
          <w:lang w:eastAsia="zh-CN"/>
        </w:rPr>
        <w:t xml:space="preserve">   </w:t>
      </w:r>
      <w:r>
        <w:rPr>
          <w:rFonts w:ascii="宋体" w:hAnsi="宋体" w:hint="eastAsia"/>
          <w:lang w:eastAsia="zh-CN"/>
        </w:rPr>
        <w:t>日签订的</w:t>
      </w:r>
      <w:r>
        <w:rPr>
          <w:rFonts w:ascii="宋体" w:hAnsi="宋体" w:hint="eastAsia"/>
          <w:u w:val="single"/>
          <w:lang w:eastAsia="zh-CN"/>
        </w:rPr>
        <w:t xml:space="preserve">                   </w:t>
      </w:r>
      <w:r>
        <w:rPr>
          <w:rFonts w:ascii="宋体" w:hAnsi="宋体" w:hint="eastAsia"/>
          <w:lang w:eastAsia="zh-CN"/>
        </w:rPr>
        <w:t>（工程名称）《建设工程施工合同》，承包人按约定的金额向你方提交一份预付款担保，即有权得到你方支付相等金额的预付款。我方愿意就你方提供给承包人的预付款为承包人提供连带责任担保。</w:t>
      </w:r>
    </w:p>
    <w:p w14:paraId="0D6468B7">
      <w:pPr>
        <w:spacing w:line="360" w:lineRule="auto"/>
        <w:rPr>
          <w:rFonts w:ascii="宋体" w:hAnsi="宋体"/>
          <w:lang w:eastAsia="zh-CN"/>
        </w:rPr>
      </w:pPr>
      <w:r>
        <w:rPr>
          <w:rFonts w:ascii="宋体" w:hAnsi="宋体" w:hint="eastAsia"/>
          <w:lang w:eastAsia="zh-CN"/>
        </w:rPr>
        <w:t>1. 担保金额人民币（大写）</w:t>
      </w:r>
      <w:r>
        <w:rPr>
          <w:rFonts w:ascii="宋体" w:hAnsi="宋体" w:hint="eastAsia"/>
          <w:u w:val="single"/>
          <w:lang w:eastAsia="zh-CN"/>
        </w:rPr>
        <w:t xml:space="preserve">                </w:t>
      </w:r>
      <w:r>
        <w:rPr>
          <w:rFonts w:ascii="宋体" w:hAnsi="宋体" w:hint="eastAsia"/>
          <w:lang w:eastAsia="zh-CN"/>
        </w:rPr>
        <w:t>元（¥</w:t>
      </w:r>
      <w:r>
        <w:rPr>
          <w:rFonts w:ascii="宋体" w:hAnsi="宋体" w:hint="eastAsia"/>
          <w:u w:val="single"/>
          <w:lang w:eastAsia="zh-CN"/>
        </w:rPr>
        <w:t xml:space="preserve">             </w:t>
      </w:r>
      <w:r>
        <w:rPr>
          <w:rFonts w:ascii="宋体" w:hAnsi="宋体" w:hint="eastAsia"/>
          <w:lang w:eastAsia="zh-CN"/>
        </w:rPr>
        <w:t>）。</w:t>
      </w:r>
    </w:p>
    <w:p w14:paraId="46A16897">
      <w:pPr>
        <w:spacing w:line="360" w:lineRule="auto"/>
        <w:rPr>
          <w:rFonts w:ascii="宋体" w:hAnsi="宋体"/>
          <w:lang w:eastAsia="zh-CN"/>
        </w:rPr>
      </w:pPr>
      <w:r>
        <w:rPr>
          <w:rFonts w:ascii="宋体" w:hAnsi="宋体" w:hint="eastAsia"/>
          <w:lang w:eastAsia="zh-CN"/>
        </w:rPr>
        <w:t>2. 担保有效期自预付款支付给承包人起生效，至你方签发的进度款支付证书说明已完全扣清止。</w:t>
      </w:r>
    </w:p>
    <w:p w14:paraId="6AC65DA7">
      <w:pPr>
        <w:spacing w:line="360" w:lineRule="auto"/>
        <w:rPr>
          <w:rFonts w:ascii="宋体" w:hAnsi="宋体"/>
          <w:lang w:eastAsia="zh-CN"/>
        </w:rPr>
      </w:pPr>
      <w:r>
        <w:rPr>
          <w:rFonts w:ascii="宋体" w:hAnsi="宋体" w:hint="eastAsia"/>
          <w:lang w:eastAsia="zh-CN"/>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0007573">
      <w:pPr>
        <w:spacing w:line="360" w:lineRule="auto"/>
        <w:rPr>
          <w:rFonts w:ascii="宋体" w:hAnsi="宋体"/>
          <w:lang w:eastAsia="zh-CN"/>
        </w:rPr>
      </w:pPr>
      <w:r>
        <w:rPr>
          <w:rFonts w:ascii="宋体" w:hAnsi="宋体" w:hint="eastAsia"/>
          <w:lang w:eastAsia="zh-CN"/>
        </w:rPr>
        <w:t>4. 你方和承包人按合同约定变更合同时，我方承担本保函规定的义务不变。</w:t>
      </w:r>
    </w:p>
    <w:p w14:paraId="65A5AF5C">
      <w:pPr>
        <w:spacing w:line="360" w:lineRule="auto"/>
        <w:rPr>
          <w:rFonts w:ascii="宋体" w:hAnsi="宋体"/>
          <w:lang w:eastAsia="zh-CN"/>
        </w:rPr>
      </w:pPr>
      <w:r>
        <w:rPr>
          <w:rFonts w:ascii="宋体" w:hAnsi="宋体" w:hint="eastAsia"/>
          <w:lang w:eastAsia="zh-CN"/>
        </w:rPr>
        <w:t>5. 因本保函发生的纠纷，可由双方协商解决，协商不成的，任何一方均可提请</w:t>
      </w:r>
      <w:r>
        <w:rPr>
          <w:rFonts w:ascii="宋体" w:hAnsi="宋体" w:hint="eastAsia"/>
          <w:u w:val="single"/>
          <w:lang w:eastAsia="zh-CN"/>
        </w:rPr>
        <w:t xml:space="preserve">        </w:t>
      </w:r>
      <w:r>
        <w:rPr>
          <w:rFonts w:ascii="宋体" w:hAnsi="宋体" w:hint="eastAsia"/>
          <w:lang w:eastAsia="zh-CN"/>
        </w:rPr>
        <w:t>仲裁委员会仲裁。</w:t>
      </w:r>
    </w:p>
    <w:p w14:paraId="5D146947">
      <w:pPr>
        <w:spacing w:line="360" w:lineRule="auto"/>
        <w:rPr>
          <w:rFonts w:ascii="宋体" w:hAnsi="宋体"/>
          <w:lang w:eastAsia="zh-CN"/>
        </w:rPr>
      </w:pPr>
      <w:r>
        <w:rPr>
          <w:rFonts w:ascii="宋体" w:hAnsi="宋体" w:hint="eastAsia"/>
          <w:lang w:eastAsia="zh-CN"/>
        </w:rPr>
        <w:t>6. 本保函自我方法定代表人（或其授权代理人）签字并加盖公章之日起生效。</w:t>
      </w:r>
    </w:p>
    <w:p w14:paraId="4FF6C722">
      <w:pPr>
        <w:spacing w:line="360" w:lineRule="auto"/>
        <w:rPr>
          <w:rFonts w:ascii="宋体" w:hAnsi="宋体"/>
          <w:lang w:eastAsia="zh-CN"/>
        </w:rPr>
      </w:pPr>
    </w:p>
    <w:p w14:paraId="5F1838E9">
      <w:pPr>
        <w:spacing w:line="360" w:lineRule="auto"/>
        <w:rPr>
          <w:rFonts w:ascii="宋体" w:hAnsi="宋体"/>
          <w:lang w:eastAsia="zh-CN"/>
        </w:rPr>
      </w:pPr>
      <w:r>
        <w:rPr>
          <w:rFonts w:ascii="宋体" w:hAnsi="宋体" w:hint="eastAsia"/>
          <w:lang w:eastAsia="zh-CN"/>
        </w:rPr>
        <w:t>担保人：</w:t>
      </w:r>
      <w:r>
        <w:rPr>
          <w:rFonts w:ascii="宋体" w:hAnsi="宋体" w:hint="eastAsia"/>
          <w:u w:val="single"/>
          <w:lang w:eastAsia="zh-CN"/>
        </w:rPr>
        <w:t xml:space="preserve">                          </w:t>
      </w:r>
      <w:r>
        <w:rPr>
          <w:rFonts w:ascii="宋体" w:hAnsi="宋体" w:hint="eastAsia"/>
          <w:lang w:eastAsia="zh-CN"/>
        </w:rPr>
        <w:t>（盖单位章）</w:t>
      </w:r>
    </w:p>
    <w:p w14:paraId="76756FD9">
      <w:pPr>
        <w:spacing w:line="360" w:lineRule="auto"/>
        <w:rPr>
          <w:rFonts w:ascii="宋体" w:hAnsi="宋体"/>
          <w:lang w:eastAsia="zh-CN"/>
        </w:rPr>
      </w:pPr>
      <w:r>
        <w:rPr>
          <w:rFonts w:ascii="宋体" w:hAnsi="宋体" w:hint="eastAsia"/>
          <w:lang w:eastAsia="zh-CN"/>
        </w:rPr>
        <w:t>法定代表人或其委托代理人：</w:t>
      </w:r>
      <w:r>
        <w:rPr>
          <w:rFonts w:ascii="宋体" w:hAnsi="宋体" w:hint="eastAsia"/>
          <w:u w:val="single"/>
          <w:lang w:eastAsia="zh-CN"/>
        </w:rPr>
        <w:t xml:space="preserve">            </w:t>
      </w:r>
      <w:r>
        <w:rPr>
          <w:rFonts w:ascii="宋体" w:hAnsi="宋体" w:hint="eastAsia"/>
          <w:lang w:eastAsia="zh-CN"/>
        </w:rPr>
        <w:t>（签字）</w:t>
      </w:r>
    </w:p>
    <w:p w14:paraId="5B494C1C">
      <w:pPr>
        <w:spacing w:line="360" w:lineRule="auto"/>
        <w:rPr>
          <w:rFonts w:ascii="宋体" w:hAnsi="宋体"/>
          <w:lang w:eastAsia="zh-CN"/>
        </w:rPr>
      </w:pPr>
      <w:r>
        <w:rPr>
          <w:rFonts w:ascii="宋体" w:hAnsi="宋体" w:hint="eastAsia"/>
          <w:lang w:eastAsia="zh-CN"/>
        </w:rPr>
        <w:t>地    址：</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 xml:space="preserve">  </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 xml:space="preserve">                   </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ab/>
      </w:r>
    </w:p>
    <w:p w14:paraId="3E578DEE">
      <w:pPr>
        <w:spacing w:line="360" w:lineRule="auto"/>
        <w:rPr>
          <w:rFonts w:ascii="宋体" w:hAnsi="宋体"/>
          <w:u w:val="single"/>
          <w:lang w:eastAsia="zh-CN"/>
        </w:rPr>
      </w:pPr>
      <w:r>
        <w:rPr>
          <w:rFonts w:ascii="宋体" w:hAnsi="宋体" w:hint="eastAsia"/>
          <w:lang w:eastAsia="zh-CN"/>
        </w:rPr>
        <w:t>邮政编码：</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 xml:space="preserve">  </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 xml:space="preserve">                   </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ab/>
      </w:r>
    </w:p>
    <w:p w14:paraId="52435863">
      <w:pPr>
        <w:spacing w:line="360" w:lineRule="auto"/>
        <w:rPr>
          <w:rFonts w:ascii="宋体" w:hAnsi="宋体"/>
          <w:u w:val="single"/>
          <w:lang w:eastAsia="zh-CN"/>
        </w:rPr>
      </w:pPr>
      <w:r>
        <w:rPr>
          <w:rFonts w:ascii="宋体" w:hAnsi="宋体" w:hint="eastAsia"/>
          <w:lang w:eastAsia="zh-CN"/>
        </w:rPr>
        <w:t>电    话：</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 xml:space="preserve">  </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 xml:space="preserve">                   </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ab/>
      </w:r>
    </w:p>
    <w:p w14:paraId="75993A16">
      <w:pPr>
        <w:spacing w:line="360" w:lineRule="auto"/>
        <w:rPr>
          <w:rFonts w:ascii="宋体" w:hAnsi="宋体"/>
          <w:u w:val="single"/>
          <w:lang w:eastAsia="zh-CN"/>
        </w:rPr>
      </w:pPr>
      <w:r>
        <w:rPr>
          <w:rFonts w:ascii="宋体" w:hAnsi="宋体" w:hint="eastAsia"/>
          <w:lang w:eastAsia="zh-CN"/>
        </w:rPr>
        <w:t>传    真：</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 xml:space="preserve">  </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 xml:space="preserve">                   </w:t>
      </w:r>
      <w:r>
        <w:rPr>
          <w:rFonts w:ascii="宋体" w:hAnsi="宋体" w:hint="eastAsia"/>
          <w:u w:val="single"/>
          <w:lang w:eastAsia="zh-CN"/>
        </w:rPr>
        <w:tab/>
      </w:r>
      <w:r>
        <w:rPr>
          <w:rFonts w:ascii="宋体" w:hAnsi="宋体" w:hint="eastAsia"/>
          <w:u w:val="single"/>
          <w:lang w:eastAsia="zh-CN"/>
        </w:rPr>
        <w:tab/>
      </w:r>
      <w:r>
        <w:rPr>
          <w:rFonts w:ascii="宋体" w:hAnsi="宋体" w:hint="eastAsia"/>
          <w:u w:val="single"/>
          <w:lang w:eastAsia="zh-CN"/>
        </w:rPr>
        <w:tab/>
      </w:r>
    </w:p>
    <w:p w14:paraId="25D30B21">
      <w:pPr>
        <w:spacing w:line="360" w:lineRule="auto"/>
        <w:rPr>
          <w:rFonts w:ascii="宋体" w:hAnsi="宋体"/>
          <w:lang w:eastAsia="zh-CN"/>
        </w:rPr>
      </w:pPr>
      <w:r>
        <w:rPr>
          <w:rFonts w:ascii="宋体" w:hAnsi="宋体" w:hint="eastAsia"/>
          <w:lang w:eastAsia="zh-CN"/>
        </w:rPr>
        <w:t xml:space="preserve">            </w:t>
      </w:r>
      <w:r>
        <w:rPr>
          <w:rFonts w:ascii="宋体" w:hAnsi="宋体" w:hint="eastAsia"/>
          <w:u w:val="single"/>
          <w:lang w:eastAsia="zh-CN"/>
        </w:rPr>
        <w:t xml:space="preserve">               </w:t>
      </w:r>
      <w:r>
        <w:rPr>
          <w:rFonts w:ascii="宋体" w:hAnsi="宋体" w:hint="eastAsia"/>
          <w:lang w:eastAsia="zh-CN"/>
        </w:rPr>
        <w:t>年</w:t>
      </w:r>
      <w:r>
        <w:rPr>
          <w:rFonts w:ascii="宋体" w:hAnsi="宋体" w:hint="eastAsia"/>
          <w:u w:val="single"/>
          <w:lang w:eastAsia="zh-CN"/>
        </w:rPr>
        <w:t xml:space="preserve">      </w:t>
      </w:r>
      <w:r>
        <w:rPr>
          <w:rFonts w:ascii="宋体" w:hAnsi="宋体" w:hint="eastAsia"/>
          <w:lang w:eastAsia="zh-CN"/>
        </w:rPr>
        <w:t>月</w:t>
      </w:r>
      <w:r>
        <w:rPr>
          <w:rFonts w:ascii="宋体" w:hAnsi="宋体" w:hint="eastAsia"/>
          <w:u w:val="single"/>
          <w:lang w:eastAsia="zh-CN"/>
        </w:rPr>
        <w:t xml:space="preserve">      </w:t>
      </w:r>
      <w:r>
        <w:rPr>
          <w:rFonts w:ascii="宋体" w:hAnsi="宋体" w:hint="eastAsia"/>
          <w:lang w:eastAsia="zh-CN"/>
        </w:rPr>
        <w:t>日</w:t>
      </w:r>
    </w:p>
    <w:p w14:paraId="029733E6">
      <w:pPr>
        <w:spacing w:line="360" w:lineRule="auto"/>
        <w:rPr>
          <w:rFonts w:ascii="宋体" w:hAnsi="宋体"/>
          <w:lang w:eastAsia="zh-CN"/>
        </w:rPr>
      </w:pPr>
      <w:r>
        <w:rPr>
          <w:rFonts w:ascii="宋体" w:hAnsi="宋体" w:hint="eastAsia"/>
          <w:b/>
          <w:lang w:eastAsia="zh-CN"/>
        </w:rPr>
        <w:br w:type="page"/>
      </w:r>
      <w:r>
        <w:rPr>
          <w:rFonts w:ascii="宋体" w:hAnsi="宋体" w:hint="eastAsia"/>
          <w:lang w:eastAsia="zh-CN"/>
        </w:rPr>
        <w:t>附</w:t>
      </w:r>
      <w:bookmarkStart w:id="1117" w:name="_Toc296891061"/>
      <w:bookmarkStart w:id="1118" w:name="_Toc296346734"/>
      <w:bookmarkStart w:id="1119" w:name="_Toc296944572"/>
      <w:bookmarkStart w:id="1120" w:name="_Toc296891273"/>
      <w:bookmarkStart w:id="1121" w:name="_Toc296503233"/>
      <w:bookmarkStart w:id="1122" w:name="_Toc296347232"/>
      <w:r>
        <w:rPr>
          <w:rFonts w:ascii="宋体" w:hAnsi="宋体" w:hint="eastAsia"/>
          <w:lang w:eastAsia="zh-CN"/>
        </w:rPr>
        <w:t xml:space="preserve">件10:  </w:t>
      </w:r>
    </w:p>
    <w:bookmarkEnd w:id="1117"/>
    <w:bookmarkEnd w:id="1118"/>
    <w:bookmarkEnd w:id="1119"/>
    <w:bookmarkEnd w:id="1120"/>
    <w:bookmarkEnd w:id="1121"/>
    <w:bookmarkEnd w:id="1122"/>
    <w:p w14:paraId="2C606B9E">
      <w:pPr>
        <w:spacing w:line="360" w:lineRule="auto"/>
        <w:jc w:val="center"/>
        <w:rPr>
          <w:rFonts w:ascii="宋体" w:hAnsi="宋体"/>
          <w:b/>
          <w:lang w:eastAsia="zh-CN"/>
        </w:rPr>
      </w:pPr>
      <w:r>
        <w:rPr>
          <w:rFonts w:ascii="宋体" w:hAnsi="宋体" w:hint="eastAsia"/>
          <w:b/>
          <w:lang w:eastAsia="zh-CN"/>
        </w:rPr>
        <w:t>支付担保</w:t>
      </w:r>
    </w:p>
    <w:p w14:paraId="72524CDD">
      <w:pPr>
        <w:spacing w:line="360" w:lineRule="auto"/>
        <w:rPr>
          <w:rFonts w:ascii="宋体" w:hAnsi="宋体"/>
          <w:lang w:eastAsia="zh-CN"/>
        </w:rPr>
      </w:pPr>
      <w:r>
        <w:rPr>
          <w:rFonts w:ascii="宋体" w:hAnsi="宋体" w:hint="eastAsia"/>
          <w:u w:val="single"/>
          <w:lang w:eastAsia="zh-CN"/>
        </w:rPr>
        <w:t xml:space="preserve">             </w:t>
      </w:r>
      <w:r>
        <w:rPr>
          <w:rFonts w:ascii="宋体" w:hAnsi="宋体" w:hint="eastAsia"/>
          <w:lang w:eastAsia="zh-CN"/>
        </w:rPr>
        <w:t>（承包人）：</w:t>
      </w:r>
    </w:p>
    <w:p w14:paraId="6A3AC1A3">
      <w:pPr>
        <w:spacing w:line="360" w:lineRule="auto"/>
        <w:rPr>
          <w:rFonts w:ascii="宋体" w:hAnsi="宋体"/>
          <w:lang w:eastAsia="zh-CN"/>
        </w:rPr>
      </w:pPr>
    </w:p>
    <w:p w14:paraId="73DBCC21">
      <w:pPr>
        <w:spacing w:line="360" w:lineRule="auto"/>
        <w:rPr>
          <w:rFonts w:ascii="宋体" w:hAnsi="宋体"/>
          <w:lang w:eastAsia="zh-CN"/>
        </w:rPr>
      </w:pPr>
      <w:r>
        <w:rPr>
          <w:rFonts w:ascii="宋体" w:hAnsi="宋体" w:hint="eastAsia"/>
          <w:lang w:eastAsia="zh-CN"/>
        </w:rPr>
        <w:t>鉴于你方作为承包人已经与</w:t>
      </w:r>
      <w:r>
        <w:rPr>
          <w:rFonts w:ascii="宋体" w:hAnsi="宋体" w:hint="eastAsia"/>
          <w:u w:val="single"/>
          <w:lang w:eastAsia="zh-CN"/>
        </w:rPr>
        <w:t xml:space="preserve">             </w:t>
      </w:r>
      <w:r>
        <w:rPr>
          <w:rFonts w:ascii="宋体" w:hAnsi="宋体" w:hint="eastAsia"/>
          <w:lang w:eastAsia="zh-CN"/>
        </w:rPr>
        <w:t>（发包人名称）（以下称“发包人”）于</w:t>
      </w:r>
      <w:r>
        <w:rPr>
          <w:rFonts w:ascii="宋体" w:hAnsi="宋体" w:hint="eastAsia"/>
          <w:u w:val="single"/>
          <w:lang w:eastAsia="zh-CN"/>
        </w:rPr>
        <w:t xml:space="preserve">   </w:t>
      </w:r>
      <w:r>
        <w:rPr>
          <w:rFonts w:ascii="宋体" w:hAnsi="宋体" w:hint="eastAsia"/>
          <w:lang w:eastAsia="zh-CN"/>
        </w:rPr>
        <w:t>年</w:t>
      </w:r>
      <w:r>
        <w:rPr>
          <w:rFonts w:ascii="宋体" w:hAnsi="宋体" w:hint="eastAsia"/>
          <w:u w:val="single"/>
          <w:lang w:eastAsia="zh-CN"/>
        </w:rPr>
        <w:t xml:space="preserve">   </w:t>
      </w:r>
      <w:r>
        <w:rPr>
          <w:rFonts w:ascii="宋体" w:hAnsi="宋体" w:hint="eastAsia"/>
          <w:lang w:eastAsia="zh-CN"/>
        </w:rPr>
        <w:t>月</w:t>
      </w:r>
      <w:r>
        <w:rPr>
          <w:rFonts w:ascii="宋体" w:hAnsi="宋体" w:hint="eastAsia"/>
          <w:u w:val="single"/>
          <w:lang w:eastAsia="zh-CN"/>
        </w:rPr>
        <w:t xml:space="preserve">    </w:t>
      </w:r>
      <w:r>
        <w:rPr>
          <w:rFonts w:ascii="宋体" w:hAnsi="宋体" w:hint="eastAsia"/>
          <w:lang w:eastAsia="zh-CN"/>
        </w:rPr>
        <w:t>日签订了</w:t>
      </w:r>
      <w:r>
        <w:rPr>
          <w:rFonts w:ascii="宋体" w:hAnsi="宋体" w:hint="eastAsia"/>
          <w:u w:val="single"/>
          <w:lang w:eastAsia="zh-CN"/>
        </w:rPr>
        <w:t xml:space="preserve">             </w:t>
      </w:r>
      <w:r>
        <w:rPr>
          <w:rFonts w:ascii="宋体" w:hAnsi="宋体" w:hint="eastAsia"/>
          <w:lang w:eastAsia="zh-CN"/>
        </w:rPr>
        <w:t>（工程名称）《建设工程施工合同》（以下称“主合同”），应发包人的申请，我方愿就发包人履行主合同约定的工程款支付义务以保证的方式向你方提供如下担保：</w:t>
      </w:r>
    </w:p>
    <w:p w14:paraId="57F75CD5">
      <w:pPr>
        <w:spacing w:line="360" w:lineRule="auto"/>
        <w:rPr>
          <w:rFonts w:ascii="宋体" w:hAnsi="宋体"/>
          <w:lang w:eastAsia="zh-CN"/>
        </w:rPr>
      </w:pPr>
      <w:r>
        <w:rPr>
          <w:rFonts w:ascii="宋体" w:hAnsi="宋体" w:hint="eastAsia"/>
          <w:lang w:eastAsia="zh-CN"/>
        </w:rPr>
        <w:t>一、保证的范围及保证金额</w:t>
      </w:r>
    </w:p>
    <w:p w14:paraId="422614C8">
      <w:pPr>
        <w:spacing w:line="360" w:lineRule="auto"/>
        <w:rPr>
          <w:rFonts w:ascii="宋体" w:hAnsi="宋体"/>
          <w:lang w:eastAsia="zh-CN"/>
        </w:rPr>
      </w:pPr>
      <w:r>
        <w:rPr>
          <w:rFonts w:ascii="宋体" w:hAnsi="宋体" w:hint="eastAsia"/>
          <w:lang w:eastAsia="zh-CN"/>
        </w:rPr>
        <w:t>1. 我方的保证范围是主合同约定的工程款。</w:t>
      </w:r>
    </w:p>
    <w:p w14:paraId="21112A95">
      <w:pPr>
        <w:spacing w:line="360" w:lineRule="auto"/>
        <w:rPr>
          <w:rFonts w:ascii="宋体" w:hAnsi="宋体"/>
          <w:lang w:eastAsia="zh-CN"/>
        </w:rPr>
      </w:pPr>
      <w:r>
        <w:rPr>
          <w:rFonts w:ascii="宋体" w:hAnsi="宋体" w:hint="eastAsia"/>
          <w:lang w:eastAsia="zh-CN"/>
        </w:rPr>
        <w:t>2. 本保函所称主合同约定的工程款是指主合同约定的除工程质量保证金以外的合同价款。</w:t>
      </w:r>
    </w:p>
    <w:p w14:paraId="6BC427A3">
      <w:pPr>
        <w:spacing w:line="360" w:lineRule="auto"/>
        <w:rPr>
          <w:rFonts w:ascii="宋体" w:hAnsi="宋体"/>
          <w:lang w:eastAsia="zh-CN"/>
        </w:rPr>
      </w:pPr>
      <w:r>
        <w:rPr>
          <w:rFonts w:ascii="宋体" w:hAnsi="宋体" w:hint="eastAsia"/>
          <w:lang w:eastAsia="zh-CN"/>
        </w:rPr>
        <w:t>3. 我方保证的金额是主合同约定的工程款的</w:t>
      </w:r>
      <w:r>
        <w:rPr>
          <w:rFonts w:ascii="宋体" w:hAnsi="宋体" w:hint="eastAsia"/>
          <w:u w:val="single"/>
          <w:lang w:eastAsia="zh-CN"/>
        </w:rPr>
        <w:t xml:space="preserve">      </w:t>
      </w:r>
      <w:r>
        <w:rPr>
          <w:rFonts w:ascii="宋体" w:hAnsi="宋体" w:hint="eastAsia"/>
          <w:lang w:eastAsia="zh-CN"/>
        </w:rPr>
        <w:t>%，数额最高不超过人民币元（大写：</w:t>
      </w:r>
      <w:r>
        <w:rPr>
          <w:rFonts w:ascii="宋体" w:hAnsi="宋体" w:hint="eastAsia"/>
          <w:u w:val="single"/>
          <w:lang w:eastAsia="zh-CN"/>
        </w:rPr>
        <w:t xml:space="preserve">        </w:t>
      </w:r>
      <w:r>
        <w:rPr>
          <w:rFonts w:ascii="宋体" w:hAnsi="宋体" w:hint="eastAsia"/>
          <w:lang w:eastAsia="zh-CN"/>
        </w:rPr>
        <w:t>）。</w:t>
      </w:r>
    </w:p>
    <w:p w14:paraId="13EDDD6C">
      <w:pPr>
        <w:spacing w:line="360" w:lineRule="auto"/>
        <w:rPr>
          <w:rFonts w:ascii="宋体" w:hAnsi="宋体"/>
          <w:lang w:eastAsia="zh-CN"/>
        </w:rPr>
      </w:pPr>
      <w:r>
        <w:rPr>
          <w:rFonts w:ascii="宋体" w:hAnsi="宋体" w:hint="eastAsia"/>
          <w:lang w:eastAsia="zh-CN"/>
        </w:rPr>
        <w:t>二、保证的方式及保证期间</w:t>
      </w:r>
    </w:p>
    <w:p w14:paraId="5A2F774B">
      <w:pPr>
        <w:spacing w:line="360" w:lineRule="auto"/>
        <w:rPr>
          <w:rFonts w:ascii="宋体" w:hAnsi="宋体"/>
          <w:lang w:eastAsia="zh-CN"/>
        </w:rPr>
      </w:pPr>
      <w:r>
        <w:rPr>
          <w:rFonts w:ascii="宋体" w:hAnsi="宋体" w:hint="eastAsia"/>
          <w:lang w:eastAsia="zh-CN"/>
        </w:rPr>
        <w:t>1. 我方保证的方式为：连带责任保证。</w:t>
      </w:r>
    </w:p>
    <w:p w14:paraId="42C8380F">
      <w:pPr>
        <w:spacing w:line="360" w:lineRule="auto"/>
        <w:rPr>
          <w:rFonts w:ascii="宋体" w:hAnsi="宋体"/>
          <w:lang w:eastAsia="zh-CN"/>
        </w:rPr>
      </w:pPr>
      <w:r>
        <w:rPr>
          <w:rFonts w:ascii="宋体" w:hAnsi="宋体" w:hint="eastAsia"/>
          <w:lang w:eastAsia="zh-CN"/>
        </w:rPr>
        <w:t>2. 我方保证的期间为：自本合同生效之日起至主合同约定的工程款支付完毕之日后</w:t>
      </w:r>
      <w:r>
        <w:rPr>
          <w:rFonts w:ascii="宋体" w:hAnsi="宋体" w:hint="eastAsia"/>
          <w:u w:val="single"/>
          <w:lang w:eastAsia="zh-CN"/>
        </w:rPr>
        <w:t xml:space="preserve">    </w:t>
      </w:r>
      <w:r>
        <w:rPr>
          <w:rFonts w:ascii="宋体" w:hAnsi="宋体" w:hint="eastAsia"/>
          <w:lang w:eastAsia="zh-CN"/>
        </w:rPr>
        <w:t>日内。</w:t>
      </w:r>
    </w:p>
    <w:p w14:paraId="273D9ED5">
      <w:pPr>
        <w:spacing w:line="360" w:lineRule="auto"/>
        <w:rPr>
          <w:rFonts w:ascii="宋体" w:hAnsi="宋体"/>
          <w:lang w:eastAsia="zh-CN"/>
        </w:rPr>
      </w:pPr>
      <w:r>
        <w:rPr>
          <w:rFonts w:ascii="宋体" w:hAnsi="宋体" w:hint="eastAsia"/>
          <w:lang w:eastAsia="zh-CN"/>
        </w:rPr>
        <w:t>3. 你方与发包人协议变更工程款支付日期的，经我方书面同意后，保证期间按照变更后的支付日期做相应调整。</w:t>
      </w:r>
    </w:p>
    <w:p w14:paraId="0DD46B5D">
      <w:pPr>
        <w:spacing w:line="360" w:lineRule="auto"/>
        <w:rPr>
          <w:rFonts w:ascii="宋体" w:hAnsi="宋体"/>
          <w:lang w:eastAsia="zh-CN"/>
        </w:rPr>
      </w:pPr>
      <w:r>
        <w:rPr>
          <w:rFonts w:ascii="宋体" w:hAnsi="宋体" w:hint="eastAsia"/>
          <w:lang w:eastAsia="zh-CN"/>
        </w:rPr>
        <w:t>三、承担保证责任的形式</w:t>
      </w:r>
    </w:p>
    <w:p w14:paraId="429CB0D6">
      <w:pPr>
        <w:spacing w:line="360" w:lineRule="auto"/>
        <w:rPr>
          <w:rFonts w:ascii="宋体" w:hAnsi="宋体"/>
          <w:lang w:eastAsia="zh-CN"/>
        </w:rPr>
      </w:pPr>
      <w:r>
        <w:rPr>
          <w:rFonts w:ascii="宋体" w:hAnsi="宋体" w:hint="eastAsia"/>
          <w:lang w:eastAsia="zh-CN"/>
        </w:rPr>
        <w:t>我方承担保证责任的形式是代为支付。发包人未按主合同约定向你方支付工程款的，由我方在保证金额内代为支付。</w:t>
      </w:r>
    </w:p>
    <w:p w14:paraId="58965B45">
      <w:pPr>
        <w:spacing w:line="360" w:lineRule="auto"/>
        <w:rPr>
          <w:rFonts w:ascii="宋体" w:hAnsi="宋体"/>
          <w:lang w:eastAsia="zh-CN"/>
        </w:rPr>
      </w:pPr>
      <w:r>
        <w:rPr>
          <w:rFonts w:ascii="宋体" w:hAnsi="宋体" w:hint="eastAsia"/>
          <w:lang w:eastAsia="zh-CN"/>
        </w:rPr>
        <w:t>四、代偿的安排</w:t>
      </w:r>
    </w:p>
    <w:p w14:paraId="717C6C7A">
      <w:pPr>
        <w:spacing w:line="360" w:lineRule="auto"/>
        <w:rPr>
          <w:rFonts w:ascii="宋体" w:hAnsi="宋体"/>
          <w:lang w:eastAsia="zh-CN"/>
        </w:rPr>
      </w:pPr>
      <w:r>
        <w:rPr>
          <w:rFonts w:ascii="宋体" w:hAnsi="宋体" w:hint="eastAsia"/>
          <w:lang w:eastAsia="zh-CN"/>
        </w:rPr>
        <w:t>1. 你方要求我方承担保证责任的，应向我方发出书面索赔通知及发包人未支付主合同约定工程款的证明材料。索赔通知应写明要求索赔的金额，支付款项应到达的账号。</w:t>
      </w:r>
    </w:p>
    <w:p w14:paraId="2103E0B5">
      <w:pPr>
        <w:spacing w:line="360" w:lineRule="auto"/>
        <w:rPr>
          <w:rFonts w:ascii="宋体" w:hAnsi="宋体"/>
          <w:lang w:eastAsia="zh-CN"/>
        </w:rPr>
      </w:pPr>
      <w:r>
        <w:rPr>
          <w:rFonts w:ascii="宋体" w:hAnsi="宋体" w:hint="eastAsia"/>
          <w:lang w:eastAsia="zh-CN"/>
        </w:rPr>
        <w:t>2. 在出现你方与发包人因工程质量发生争议，发包人拒绝向你方支付工程款的情形时，你方要求我方履行保证责任代为支付的，需提供符合相应条件要求的工程质量检测机构出具的质量说明材料。</w:t>
      </w:r>
    </w:p>
    <w:p w14:paraId="1AFD561B">
      <w:pPr>
        <w:spacing w:line="360" w:lineRule="auto"/>
        <w:rPr>
          <w:rFonts w:ascii="宋体" w:hAnsi="宋体"/>
          <w:lang w:eastAsia="zh-CN"/>
        </w:rPr>
      </w:pPr>
      <w:r>
        <w:rPr>
          <w:rFonts w:ascii="宋体" w:hAnsi="宋体" w:hint="eastAsia"/>
          <w:lang w:eastAsia="zh-CN"/>
        </w:rPr>
        <w:t>3. 我方收到你方的书面索赔通知及相应的证明材料后７天内无条件支付。</w:t>
      </w:r>
    </w:p>
    <w:p w14:paraId="1D28C216">
      <w:pPr>
        <w:spacing w:line="360" w:lineRule="auto"/>
        <w:rPr>
          <w:rFonts w:ascii="宋体" w:hAnsi="宋体"/>
          <w:lang w:eastAsia="zh-CN"/>
        </w:rPr>
      </w:pPr>
      <w:r>
        <w:rPr>
          <w:rFonts w:ascii="宋体" w:hAnsi="宋体" w:hint="eastAsia"/>
          <w:lang w:eastAsia="zh-CN"/>
        </w:rPr>
        <w:t>五、保证责任的解除</w:t>
      </w:r>
    </w:p>
    <w:p w14:paraId="621ED628">
      <w:pPr>
        <w:spacing w:line="360" w:lineRule="auto"/>
        <w:rPr>
          <w:rFonts w:ascii="宋体" w:hAnsi="宋体"/>
          <w:lang w:eastAsia="zh-CN"/>
        </w:rPr>
      </w:pPr>
      <w:r>
        <w:rPr>
          <w:rFonts w:ascii="宋体" w:hAnsi="宋体" w:hint="eastAsia"/>
          <w:lang w:eastAsia="zh-CN"/>
        </w:rPr>
        <w:t>1. 在本保函承诺的保证期间内，你方未书面向我方主张保证责任的，自保证期间届满次日起，我方保证责任解除。</w:t>
      </w:r>
    </w:p>
    <w:p w14:paraId="553C5836">
      <w:pPr>
        <w:spacing w:line="360" w:lineRule="auto"/>
        <w:rPr>
          <w:rFonts w:ascii="宋体" w:hAnsi="宋体"/>
          <w:lang w:eastAsia="zh-CN"/>
        </w:rPr>
      </w:pPr>
      <w:r>
        <w:rPr>
          <w:rFonts w:ascii="宋体" w:hAnsi="宋体" w:hint="eastAsia"/>
          <w:lang w:eastAsia="zh-CN"/>
        </w:rPr>
        <w:t>2. 发包人按主合同约定履行了工程款的全部支付义务的，自本保函承诺的保证期间届满次日起，我方保证责任解除。</w:t>
      </w:r>
    </w:p>
    <w:p w14:paraId="13F700B9">
      <w:pPr>
        <w:spacing w:line="360" w:lineRule="auto"/>
        <w:rPr>
          <w:rFonts w:ascii="宋体" w:hAnsi="宋体"/>
          <w:lang w:eastAsia="zh-CN"/>
        </w:rPr>
      </w:pPr>
      <w:r>
        <w:rPr>
          <w:rFonts w:ascii="宋体" w:hAnsi="宋体" w:hint="eastAsia"/>
          <w:lang w:eastAsia="zh-CN"/>
        </w:rPr>
        <w:t>3. 我方按照本保函向你方履行保证责任所支付金额达到本保函保证金额时，自我方向你方支付（支付款项从我方账户划出）之日起，保证责任即解除。</w:t>
      </w:r>
    </w:p>
    <w:p w14:paraId="41691390">
      <w:pPr>
        <w:spacing w:line="360" w:lineRule="auto"/>
        <w:rPr>
          <w:rFonts w:ascii="宋体" w:hAnsi="宋体"/>
          <w:lang w:eastAsia="zh-CN"/>
        </w:rPr>
      </w:pPr>
      <w:r>
        <w:rPr>
          <w:rFonts w:ascii="宋体" w:hAnsi="宋体" w:hint="eastAsia"/>
          <w:lang w:eastAsia="zh-CN"/>
        </w:rPr>
        <w:t>4. 按照法律法规的规定或出现应解除我方保证责任的其他情形的，我方在本保函项下的保证责任亦解除。</w:t>
      </w:r>
    </w:p>
    <w:p w14:paraId="0C835491">
      <w:pPr>
        <w:spacing w:line="360" w:lineRule="auto"/>
        <w:rPr>
          <w:rFonts w:ascii="宋体" w:hAnsi="宋体"/>
          <w:lang w:eastAsia="zh-CN"/>
        </w:rPr>
      </w:pPr>
      <w:r>
        <w:rPr>
          <w:rFonts w:ascii="宋体" w:hAnsi="宋体" w:hint="eastAsia"/>
          <w:lang w:eastAsia="zh-CN"/>
        </w:rPr>
        <w:t>5. 我方解除保证责任后，你方应自我方保证责任解除之日起</w:t>
      </w:r>
      <w:r>
        <w:rPr>
          <w:rFonts w:ascii="宋体" w:hAnsi="宋体" w:hint="eastAsia"/>
          <w:u w:val="single"/>
          <w:lang w:eastAsia="zh-CN"/>
        </w:rPr>
        <w:t xml:space="preserve">  </w:t>
      </w:r>
      <w:r>
        <w:rPr>
          <w:rFonts w:ascii="宋体" w:hAnsi="宋体" w:hint="eastAsia"/>
          <w:lang w:eastAsia="zh-CN"/>
        </w:rPr>
        <w:t>个工作日内，将本保函原件返还我方。</w:t>
      </w:r>
    </w:p>
    <w:p w14:paraId="56FCFF54">
      <w:pPr>
        <w:spacing w:line="360" w:lineRule="auto"/>
        <w:rPr>
          <w:rFonts w:ascii="宋体" w:hAnsi="宋体"/>
          <w:lang w:eastAsia="zh-CN"/>
        </w:rPr>
      </w:pPr>
      <w:r>
        <w:rPr>
          <w:rFonts w:ascii="宋体" w:hAnsi="宋体" w:hint="eastAsia"/>
          <w:lang w:eastAsia="zh-CN"/>
        </w:rPr>
        <w:t>六、免责条款</w:t>
      </w:r>
    </w:p>
    <w:p w14:paraId="1843B8E5">
      <w:pPr>
        <w:spacing w:line="360" w:lineRule="auto"/>
        <w:rPr>
          <w:rFonts w:ascii="宋体" w:hAnsi="宋体"/>
          <w:lang w:eastAsia="zh-CN"/>
        </w:rPr>
      </w:pPr>
      <w:r>
        <w:rPr>
          <w:rFonts w:ascii="宋体" w:hAnsi="宋体" w:hint="eastAsia"/>
          <w:lang w:eastAsia="zh-CN"/>
        </w:rPr>
        <w:t>1. 因你方违约致使发包人不能履行义务的，我方不承担保证责任。</w:t>
      </w:r>
    </w:p>
    <w:p w14:paraId="4D2D5890">
      <w:pPr>
        <w:spacing w:line="360" w:lineRule="auto"/>
        <w:rPr>
          <w:rFonts w:ascii="宋体" w:hAnsi="宋体"/>
          <w:lang w:eastAsia="zh-CN"/>
        </w:rPr>
      </w:pPr>
      <w:r>
        <w:rPr>
          <w:rFonts w:ascii="宋体" w:hAnsi="宋体" w:hint="eastAsia"/>
          <w:lang w:eastAsia="zh-CN"/>
        </w:rPr>
        <w:t>2. 依照法律法规的规定或你方与发包人的另行约定，免除发包人部分或全部义务的，我方亦免除其相应的保证责任。</w:t>
      </w:r>
    </w:p>
    <w:p w14:paraId="40FCEC88">
      <w:pPr>
        <w:spacing w:line="360" w:lineRule="auto"/>
        <w:rPr>
          <w:rFonts w:ascii="宋体" w:hAnsi="宋体"/>
          <w:lang w:eastAsia="zh-CN"/>
        </w:rPr>
      </w:pPr>
      <w:r>
        <w:rPr>
          <w:rFonts w:ascii="宋体" w:hAnsi="宋体" w:hint="eastAsia"/>
          <w:lang w:eastAsia="zh-CN"/>
        </w:rPr>
        <w:t>3. 你方与发包人协议变更主合同的，如加重发包人责任致使我方保证责任加重的，需征得我方书面同意，否则我方不再承担因此而加重部分的保证责任，但主合同第10条〔变更〕约定的变更不受本款限制。</w:t>
      </w:r>
    </w:p>
    <w:p w14:paraId="0EC92CA5">
      <w:pPr>
        <w:spacing w:line="360" w:lineRule="auto"/>
        <w:rPr>
          <w:rFonts w:ascii="宋体" w:hAnsi="宋体"/>
          <w:lang w:eastAsia="zh-CN"/>
        </w:rPr>
      </w:pPr>
      <w:r>
        <w:rPr>
          <w:rFonts w:ascii="宋体" w:hAnsi="宋体" w:hint="eastAsia"/>
          <w:lang w:eastAsia="zh-CN"/>
        </w:rPr>
        <w:t>4. 因不可抗力造成发包人不能履行义务的，我方不承担保证责任。</w:t>
      </w:r>
    </w:p>
    <w:p w14:paraId="17A5C7F6">
      <w:pPr>
        <w:spacing w:line="360" w:lineRule="auto"/>
        <w:rPr>
          <w:rFonts w:ascii="宋体" w:hAnsi="宋体"/>
          <w:lang w:eastAsia="zh-CN"/>
        </w:rPr>
      </w:pPr>
      <w:r>
        <w:rPr>
          <w:rFonts w:ascii="宋体" w:hAnsi="宋体" w:hint="eastAsia"/>
          <w:lang w:eastAsia="zh-CN"/>
        </w:rPr>
        <w:t>七、争议解决</w:t>
      </w:r>
    </w:p>
    <w:p w14:paraId="4492EB2D">
      <w:pPr>
        <w:spacing w:line="360" w:lineRule="auto"/>
        <w:rPr>
          <w:rFonts w:ascii="宋体" w:hAnsi="宋体"/>
          <w:lang w:eastAsia="zh-CN"/>
        </w:rPr>
      </w:pPr>
      <w:r>
        <w:rPr>
          <w:rFonts w:ascii="宋体" w:hAnsi="宋体" w:hint="eastAsia"/>
          <w:lang w:eastAsia="zh-CN"/>
        </w:rPr>
        <w:t>因本保函或本保函相关事项发生的纠纷，可由双方协商解决，协商不成的，按下列第</w:t>
      </w:r>
      <w:r>
        <w:rPr>
          <w:rFonts w:ascii="宋体" w:hAnsi="宋体" w:hint="eastAsia"/>
          <w:u w:val="single"/>
          <w:lang w:eastAsia="zh-CN"/>
        </w:rPr>
        <w:t xml:space="preserve">     </w:t>
      </w:r>
      <w:r>
        <w:rPr>
          <w:rFonts w:ascii="宋体" w:hAnsi="宋体" w:hint="eastAsia"/>
          <w:lang w:eastAsia="zh-CN"/>
        </w:rPr>
        <w:t>种方式解决：</w:t>
      </w:r>
    </w:p>
    <w:p w14:paraId="1B833D6C">
      <w:pPr>
        <w:spacing w:line="360" w:lineRule="auto"/>
        <w:rPr>
          <w:rFonts w:ascii="宋体" w:hAnsi="宋体"/>
          <w:lang w:eastAsia="zh-CN"/>
        </w:rPr>
      </w:pPr>
      <w:r>
        <w:rPr>
          <w:rFonts w:ascii="宋体" w:hAnsi="宋体" w:hint="eastAsia"/>
          <w:lang w:eastAsia="zh-CN"/>
        </w:rPr>
        <w:t>（1）向</w:t>
      </w:r>
      <w:r>
        <w:rPr>
          <w:rFonts w:ascii="宋体" w:hAnsi="宋体" w:hint="eastAsia"/>
          <w:u w:val="single"/>
          <w:lang w:eastAsia="zh-CN"/>
        </w:rPr>
        <w:t xml:space="preserve">                     </w:t>
      </w:r>
      <w:r>
        <w:rPr>
          <w:rFonts w:ascii="宋体" w:hAnsi="宋体" w:hint="eastAsia"/>
          <w:lang w:eastAsia="zh-CN"/>
        </w:rPr>
        <w:t>仲裁委员会申请仲裁；</w:t>
      </w:r>
    </w:p>
    <w:p w14:paraId="2BE55F55">
      <w:pPr>
        <w:spacing w:line="360" w:lineRule="auto"/>
        <w:rPr>
          <w:rFonts w:ascii="宋体" w:hAnsi="宋体"/>
          <w:lang w:eastAsia="zh-CN"/>
        </w:rPr>
      </w:pPr>
      <w:r>
        <w:rPr>
          <w:rFonts w:ascii="宋体" w:hAnsi="宋体" w:hint="eastAsia"/>
          <w:lang w:eastAsia="zh-CN"/>
        </w:rPr>
        <w:t>（2）向</w:t>
      </w:r>
      <w:r>
        <w:rPr>
          <w:rFonts w:ascii="宋体" w:hAnsi="宋体" w:hint="eastAsia"/>
          <w:u w:val="single"/>
          <w:lang w:eastAsia="zh-CN"/>
        </w:rPr>
        <w:t xml:space="preserve">                     </w:t>
      </w:r>
      <w:r>
        <w:rPr>
          <w:rFonts w:ascii="宋体" w:hAnsi="宋体" w:hint="eastAsia"/>
          <w:lang w:eastAsia="zh-CN"/>
        </w:rPr>
        <w:t>人民法院起诉。</w:t>
      </w:r>
    </w:p>
    <w:p w14:paraId="1A24E1B8">
      <w:pPr>
        <w:spacing w:line="360" w:lineRule="auto"/>
        <w:rPr>
          <w:rFonts w:ascii="宋体" w:hAnsi="宋体"/>
          <w:lang w:eastAsia="zh-CN"/>
        </w:rPr>
      </w:pPr>
      <w:r>
        <w:rPr>
          <w:rFonts w:ascii="宋体" w:hAnsi="宋体" w:hint="eastAsia"/>
          <w:lang w:eastAsia="zh-CN"/>
        </w:rPr>
        <w:t>八、保函的生效</w:t>
      </w:r>
    </w:p>
    <w:p w14:paraId="2951C752">
      <w:pPr>
        <w:spacing w:line="360" w:lineRule="auto"/>
        <w:rPr>
          <w:rFonts w:ascii="宋体" w:hAnsi="宋体"/>
          <w:lang w:eastAsia="zh-CN"/>
        </w:rPr>
      </w:pPr>
      <w:r>
        <w:rPr>
          <w:rFonts w:ascii="宋体" w:hAnsi="宋体" w:hint="eastAsia"/>
          <w:lang w:eastAsia="zh-CN"/>
        </w:rPr>
        <w:t>本保函自我方法定代表人（或其授权代理人）签字并加盖公章之日起生效。</w:t>
      </w:r>
    </w:p>
    <w:p w14:paraId="15ECF1D0">
      <w:pPr>
        <w:spacing w:line="360" w:lineRule="auto"/>
        <w:rPr>
          <w:rFonts w:ascii="宋体" w:hAnsi="宋体"/>
          <w:lang w:eastAsia="zh-CN"/>
        </w:rPr>
      </w:pPr>
    </w:p>
    <w:p w14:paraId="3929705F">
      <w:pPr>
        <w:spacing w:line="360" w:lineRule="auto"/>
        <w:rPr>
          <w:rFonts w:ascii="宋体" w:hAnsi="宋体"/>
          <w:lang w:eastAsia="zh-CN"/>
        </w:rPr>
      </w:pPr>
    </w:p>
    <w:p w14:paraId="61E90728">
      <w:pPr>
        <w:spacing w:line="360" w:lineRule="auto"/>
        <w:rPr>
          <w:rFonts w:ascii="宋体" w:hAnsi="宋体"/>
          <w:lang w:eastAsia="zh-CN"/>
        </w:rPr>
      </w:pPr>
      <w:r>
        <w:rPr>
          <w:rFonts w:ascii="宋体" w:hAnsi="宋体" w:hint="eastAsia"/>
          <w:lang w:eastAsia="zh-CN"/>
        </w:rPr>
        <w:t>担保人：</w:t>
      </w:r>
      <w:r>
        <w:rPr>
          <w:rFonts w:ascii="宋体" w:hAnsi="宋体" w:hint="eastAsia"/>
          <w:u w:val="single"/>
          <w:lang w:eastAsia="zh-CN"/>
        </w:rPr>
        <w:t xml:space="preserve">                                   </w:t>
      </w:r>
      <w:r>
        <w:rPr>
          <w:rFonts w:ascii="宋体" w:hAnsi="宋体" w:hint="eastAsia"/>
          <w:lang w:eastAsia="zh-CN"/>
        </w:rPr>
        <w:t>（盖章）</w:t>
      </w:r>
    </w:p>
    <w:p w14:paraId="53C7D63D">
      <w:pPr>
        <w:spacing w:line="360" w:lineRule="auto"/>
        <w:rPr>
          <w:rFonts w:ascii="宋体" w:hAnsi="宋体"/>
          <w:lang w:eastAsia="zh-CN"/>
        </w:rPr>
      </w:pPr>
      <w:r>
        <w:rPr>
          <w:rFonts w:ascii="宋体" w:hAnsi="宋体" w:hint="eastAsia"/>
          <w:lang w:eastAsia="zh-CN"/>
        </w:rPr>
        <w:t>法定代表人或委托代理人：</w:t>
      </w:r>
      <w:r>
        <w:rPr>
          <w:rFonts w:ascii="宋体" w:hAnsi="宋体" w:hint="eastAsia"/>
          <w:u w:val="single"/>
          <w:lang w:eastAsia="zh-CN"/>
        </w:rPr>
        <w:t xml:space="preserve">                   </w:t>
      </w:r>
      <w:r>
        <w:rPr>
          <w:rFonts w:ascii="宋体" w:hAnsi="宋体" w:hint="eastAsia"/>
          <w:lang w:eastAsia="zh-CN"/>
        </w:rPr>
        <w:t>（签字）</w:t>
      </w:r>
    </w:p>
    <w:p w14:paraId="68866B05">
      <w:pPr>
        <w:spacing w:line="360" w:lineRule="auto"/>
        <w:rPr>
          <w:rFonts w:ascii="宋体" w:hAnsi="宋体"/>
          <w:lang w:eastAsia="zh-CN"/>
        </w:rPr>
      </w:pPr>
      <w:r>
        <w:rPr>
          <w:rFonts w:ascii="宋体" w:hAnsi="宋体" w:hint="eastAsia"/>
          <w:lang w:eastAsia="zh-CN"/>
        </w:rPr>
        <w:t>地    址：</w:t>
      </w:r>
      <w:r>
        <w:rPr>
          <w:rFonts w:ascii="宋体" w:hAnsi="宋体" w:hint="eastAsia"/>
          <w:u w:val="single"/>
          <w:lang w:eastAsia="zh-CN"/>
        </w:rPr>
        <w:t xml:space="preserve">                                        </w:t>
      </w:r>
    </w:p>
    <w:p w14:paraId="27EA91D8">
      <w:pPr>
        <w:spacing w:line="360" w:lineRule="auto"/>
        <w:rPr>
          <w:rFonts w:ascii="宋体" w:hAnsi="宋体"/>
          <w:lang w:eastAsia="zh-CN"/>
        </w:rPr>
      </w:pPr>
      <w:r>
        <w:rPr>
          <w:rFonts w:ascii="宋体" w:hAnsi="宋体" w:hint="eastAsia"/>
          <w:lang w:eastAsia="zh-CN"/>
        </w:rPr>
        <w:t>邮政编码：</w:t>
      </w:r>
      <w:r>
        <w:rPr>
          <w:rFonts w:ascii="宋体" w:hAnsi="宋体" w:hint="eastAsia"/>
          <w:u w:val="single"/>
          <w:lang w:eastAsia="zh-CN"/>
        </w:rPr>
        <w:t xml:space="preserve">                                        </w:t>
      </w:r>
    </w:p>
    <w:p w14:paraId="47802439">
      <w:pPr>
        <w:spacing w:line="360" w:lineRule="auto"/>
        <w:rPr>
          <w:rFonts w:ascii="宋体" w:hAnsi="宋体"/>
          <w:lang w:eastAsia="zh-CN"/>
        </w:rPr>
      </w:pPr>
      <w:r>
        <w:rPr>
          <w:rFonts w:ascii="宋体" w:hAnsi="宋体" w:hint="eastAsia"/>
          <w:lang w:eastAsia="zh-CN"/>
        </w:rPr>
        <w:t>传    真：</w:t>
      </w:r>
      <w:r>
        <w:rPr>
          <w:rFonts w:ascii="宋体" w:hAnsi="宋体" w:hint="eastAsia"/>
          <w:u w:val="single"/>
          <w:lang w:eastAsia="zh-CN"/>
        </w:rPr>
        <w:t xml:space="preserve">                                        </w:t>
      </w:r>
    </w:p>
    <w:p w14:paraId="2A8CCDF3">
      <w:pPr>
        <w:spacing w:line="360" w:lineRule="auto"/>
        <w:rPr>
          <w:rFonts w:ascii="宋体" w:hAnsi="宋体"/>
          <w:u w:val="single"/>
          <w:lang w:eastAsia="zh-CN"/>
        </w:rPr>
      </w:pPr>
    </w:p>
    <w:p w14:paraId="5AA00A55">
      <w:pPr>
        <w:spacing w:line="360" w:lineRule="auto"/>
        <w:rPr>
          <w:rFonts w:ascii="宋体" w:hAnsi="宋体"/>
          <w:lang w:eastAsia="zh-CN"/>
        </w:rPr>
      </w:pPr>
      <w:r>
        <w:rPr>
          <w:rFonts w:ascii="宋体" w:hAnsi="宋体" w:hint="eastAsia"/>
          <w:lang w:eastAsia="zh-CN"/>
        </w:rPr>
        <w:t xml:space="preserve">             </w:t>
      </w:r>
      <w:r>
        <w:rPr>
          <w:rFonts w:ascii="宋体" w:hAnsi="宋体" w:hint="eastAsia"/>
          <w:u w:val="single"/>
          <w:lang w:eastAsia="zh-CN"/>
        </w:rPr>
        <w:t xml:space="preserve">               </w:t>
      </w:r>
      <w:r>
        <w:rPr>
          <w:rFonts w:ascii="宋体" w:hAnsi="宋体" w:hint="eastAsia"/>
          <w:lang w:eastAsia="zh-CN"/>
        </w:rPr>
        <w:t>年</w:t>
      </w:r>
      <w:r>
        <w:rPr>
          <w:rFonts w:ascii="宋体" w:hAnsi="宋体" w:hint="eastAsia"/>
          <w:u w:val="single"/>
          <w:lang w:eastAsia="zh-CN"/>
        </w:rPr>
        <w:t xml:space="preserve">      </w:t>
      </w:r>
      <w:r>
        <w:rPr>
          <w:rFonts w:ascii="宋体" w:hAnsi="宋体" w:hint="eastAsia"/>
          <w:lang w:eastAsia="zh-CN"/>
        </w:rPr>
        <w:t>月</w:t>
      </w:r>
      <w:r>
        <w:rPr>
          <w:rFonts w:ascii="宋体" w:hAnsi="宋体" w:hint="eastAsia"/>
          <w:u w:val="single"/>
          <w:lang w:eastAsia="zh-CN"/>
        </w:rPr>
        <w:t xml:space="preserve">      </w:t>
      </w:r>
      <w:r>
        <w:rPr>
          <w:rFonts w:ascii="宋体" w:hAnsi="宋体" w:hint="eastAsia"/>
          <w:lang w:eastAsia="zh-CN"/>
        </w:rPr>
        <w:t>日</w:t>
      </w:r>
    </w:p>
    <w:p w14:paraId="281709F5">
      <w:pPr>
        <w:spacing w:line="360" w:lineRule="auto"/>
        <w:rPr>
          <w:rFonts w:ascii="宋体" w:hAnsi="宋体"/>
          <w:lang w:eastAsia="zh-CN"/>
        </w:rPr>
      </w:pPr>
      <w:r>
        <w:rPr>
          <w:rFonts w:ascii="宋体" w:hAnsi="宋体" w:hint="eastAsia"/>
          <w:lang w:eastAsia="zh-CN"/>
        </w:rPr>
        <w:br w:type="page"/>
      </w:r>
      <w:r>
        <w:rPr>
          <w:rFonts w:ascii="宋体" w:hAnsi="宋体" w:hint="eastAsia"/>
          <w:lang w:eastAsia="zh-CN"/>
        </w:rPr>
        <w:t>附件11：</w:t>
      </w:r>
    </w:p>
    <w:p w14:paraId="1FFFFC60">
      <w:pPr>
        <w:spacing w:line="360" w:lineRule="auto"/>
        <w:jc w:val="center"/>
        <w:rPr>
          <w:rFonts w:ascii="宋体" w:hAnsi="宋体"/>
          <w:b/>
          <w:lang w:eastAsia="zh-CN"/>
        </w:rPr>
      </w:pPr>
      <w:r>
        <w:rPr>
          <w:rFonts w:ascii="宋体" w:hAnsi="宋体" w:hint="eastAsia"/>
          <w:b/>
          <w:lang w:eastAsia="zh-CN"/>
        </w:rPr>
        <w:t>11-1：材料暂估价表</w:t>
      </w:r>
    </w:p>
    <w:tbl>
      <w:tblPr>
        <w:tblStyle w:val="TableNormal"/>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7F3D8C2C">
        <w:tblPrEx>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Ex>
        <w:tc>
          <w:tcPr>
            <w:tcW w:w="993" w:type="dxa"/>
            <w:tcBorders>
              <w:top w:val="single" w:sz="12" w:space="0" w:color="auto"/>
              <w:left w:val="single" w:sz="12" w:space="0" w:color="auto"/>
              <w:bottom w:val="double" w:sz="6" w:space="0" w:color="auto"/>
              <w:right w:val="single" w:sz="6" w:space="0" w:color="auto"/>
            </w:tcBorders>
          </w:tcPr>
          <w:p w14:paraId="64D86704">
            <w:pPr>
              <w:spacing w:line="360" w:lineRule="auto"/>
              <w:rPr>
                <w:rFonts w:ascii="宋体" w:hAnsi="宋体"/>
              </w:rPr>
            </w:pPr>
            <w:r>
              <w:rPr>
                <w:rFonts w:ascii="宋体" w:hAnsi="宋体" w:hint="eastAsia"/>
              </w:rPr>
              <w:t>序号</w:t>
            </w:r>
          </w:p>
        </w:tc>
        <w:tc>
          <w:tcPr>
            <w:tcW w:w="1984" w:type="dxa"/>
            <w:tcBorders>
              <w:top w:val="single" w:sz="12" w:space="0" w:color="auto"/>
              <w:left w:val="single" w:sz="6" w:space="0" w:color="auto"/>
              <w:bottom w:val="double" w:sz="6" w:space="0" w:color="auto"/>
              <w:right w:val="single" w:sz="6" w:space="0" w:color="auto"/>
            </w:tcBorders>
          </w:tcPr>
          <w:p w14:paraId="49C30093">
            <w:pPr>
              <w:spacing w:line="360" w:lineRule="auto"/>
              <w:rPr>
                <w:rFonts w:ascii="宋体" w:hAnsi="宋体"/>
              </w:rPr>
            </w:pPr>
            <w:r>
              <w:rPr>
                <w:rFonts w:ascii="宋体" w:hAnsi="宋体" w:hint="eastAsia"/>
              </w:rPr>
              <w:t>名称</w:t>
            </w:r>
          </w:p>
        </w:tc>
        <w:tc>
          <w:tcPr>
            <w:tcW w:w="851" w:type="dxa"/>
            <w:tcBorders>
              <w:top w:val="single" w:sz="12" w:space="0" w:color="auto"/>
              <w:left w:val="single" w:sz="6" w:space="0" w:color="auto"/>
              <w:bottom w:val="double" w:sz="6" w:space="0" w:color="auto"/>
              <w:right w:val="single" w:sz="6" w:space="0" w:color="auto"/>
            </w:tcBorders>
          </w:tcPr>
          <w:p w14:paraId="0879EE42">
            <w:pPr>
              <w:spacing w:line="360" w:lineRule="auto"/>
              <w:rPr>
                <w:rFonts w:ascii="宋体" w:hAnsi="宋体"/>
              </w:rPr>
            </w:pPr>
            <w:r>
              <w:rPr>
                <w:rFonts w:ascii="宋体" w:hAnsi="宋体" w:hint="eastAsia"/>
              </w:rPr>
              <w:t>单位</w:t>
            </w:r>
          </w:p>
        </w:tc>
        <w:tc>
          <w:tcPr>
            <w:tcW w:w="774" w:type="dxa"/>
            <w:tcBorders>
              <w:top w:val="single" w:sz="12" w:space="0" w:color="auto"/>
              <w:left w:val="single" w:sz="6" w:space="0" w:color="auto"/>
              <w:bottom w:val="double" w:sz="6" w:space="0" w:color="auto"/>
              <w:right w:val="single" w:sz="6" w:space="0" w:color="auto"/>
            </w:tcBorders>
          </w:tcPr>
          <w:p w14:paraId="25880B53">
            <w:pPr>
              <w:spacing w:line="360" w:lineRule="auto"/>
              <w:rPr>
                <w:rFonts w:ascii="宋体" w:hAnsi="宋体"/>
              </w:rPr>
            </w:pPr>
            <w:r>
              <w:rPr>
                <w:rFonts w:ascii="宋体" w:hAnsi="宋体" w:hint="eastAsia"/>
              </w:rPr>
              <w:t>数量</w:t>
            </w:r>
          </w:p>
        </w:tc>
        <w:tc>
          <w:tcPr>
            <w:tcW w:w="1352" w:type="dxa"/>
            <w:tcBorders>
              <w:top w:val="single" w:sz="12" w:space="0" w:color="auto"/>
              <w:left w:val="single" w:sz="6" w:space="0" w:color="auto"/>
              <w:bottom w:val="double" w:sz="6" w:space="0" w:color="auto"/>
              <w:right w:val="single" w:sz="6" w:space="0" w:color="auto"/>
            </w:tcBorders>
          </w:tcPr>
          <w:p w14:paraId="04FCD4E6">
            <w:pPr>
              <w:spacing w:line="360" w:lineRule="auto"/>
              <w:rPr>
                <w:rFonts w:ascii="宋体" w:hAnsi="宋体"/>
              </w:rPr>
            </w:pPr>
            <w:r>
              <w:rPr>
                <w:rFonts w:ascii="宋体" w:hAnsi="宋体" w:hint="eastAsia"/>
              </w:rPr>
              <w:t>单价（元）</w:t>
            </w:r>
          </w:p>
        </w:tc>
        <w:tc>
          <w:tcPr>
            <w:tcW w:w="1418" w:type="dxa"/>
            <w:tcBorders>
              <w:top w:val="single" w:sz="12" w:space="0" w:color="auto"/>
              <w:left w:val="single" w:sz="6" w:space="0" w:color="auto"/>
              <w:bottom w:val="double" w:sz="6" w:space="0" w:color="auto"/>
              <w:right w:val="single" w:sz="6" w:space="0" w:color="auto"/>
            </w:tcBorders>
          </w:tcPr>
          <w:p w14:paraId="3F109FD4">
            <w:pPr>
              <w:spacing w:line="360" w:lineRule="auto"/>
              <w:rPr>
                <w:rFonts w:ascii="宋体" w:hAnsi="宋体"/>
              </w:rPr>
            </w:pPr>
            <w:r>
              <w:rPr>
                <w:rFonts w:ascii="宋体" w:hAnsi="宋体" w:hint="eastAsia"/>
              </w:rPr>
              <w:t>合价（元）</w:t>
            </w:r>
          </w:p>
        </w:tc>
        <w:tc>
          <w:tcPr>
            <w:tcW w:w="1701" w:type="dxa"/>
            <w:tcBorders>
              <w:top w:val="single" w:sz="12" w:space="0" w:color="auto"/>
              <w:left w:val="single" w:sz="6" w:space="0" w:color="auto"/>
              <w:bottom w:val="double" w:sz="6" w:space="0" w:color="auto"/>
              <w:right w:val="single" w:sz="12" w:space="0" w:color="auto"/>
            </w:tcBorders>
          </w:tcPr>
          <w:p w14:paraId="0F45259D">
            <w:pPr>
              <w:spacing w:line="360" w:lineRule="auto"/>
              <w:rPr>
                <w:rFonts w:ascii="宋体" w:hAnsi="宋体"/>
              </w:rPr>
            </w:pPr>
            <w:r>
              <w:rPr>
                <w:rFonts w:ascii="宋体" w:hAnsi="宋体" w:hint="eastAsia"/>
              </w:rPr>
              <w:t>备注</w:t>
            </w:r>
          </w:p>
        </w:tc>
      </w:tr>
      <w:tr w14:paraId="19989826">
        <w:tblPrEx>
          <w:tblW w:w="0" w:type="auto"/>
          <w:tblInd w:w="-114" w:type="dxa"/>
          <w:tblLayout w:type="fixed"/>
          <w:tblCellMar>
            <w:top w:w="0" w:type="dxa"/>
            <w:left w:w="28" w:type="dxa"/>
            <w:bottom w:w="0" w:type="dxa"/>
            <w:right w:w="28" w:type="dxa"/>
          </w:tblCellMar>
        </w:tblPrEx>
        <w:tc>
          <w:tcPr>
            <w:tcW w:w="993" w:type="dxa"/>
            <w:tcBorders>
              <w:top w:val="double" w:sz="6" w:space="0" w:color="auto"/>
              <w:left w:val="single" w:sz="12" w:space="0" w:color="auto"/>
              <w:bottom w:val="single" w:sz="6" w:space="0" w:color="auto"/>
              <w:right w:val="single" w:sz="6" w:space="0" w:color="auto"/>
            </w:tcBorders>
          </w:tcPr>
          <w:p w14:paraId="000292BA">
            <w:pPr>
              <w:spacing w:line="360" w:lineRule="auto"/>
              <w:rPr>
                <w:rFonts w:ascii="宋体" w:hAnsi="宋体"/>
              </w:rPr>
            </w:pPr>
          </w:p>
        </w:tc>
        <w:tc>
          <w:tcPr>
            <w:tcW w:w="1984" w:type="dxa"/>
            <w:tcBorders>
              <w:top w:val="double" w:sz="6" w:space="0" w:color="auto"/>
              <w:left w:val="single" w:sz="6" w:space="0" w:color="auto"/>
              <w:bottom w:val="single" w:sz="6" w:space="0" w:color="auto"/>
              <w:right w:val="single" w:sz="6" w:space="0" w:color="auto"/>
            </w:tcBorders>
          </w:tcPr>
          <w:p w14:paraId="6C9C787E">
            <w:pPr>
              <w:spacing w:line="360" w:lineRule="auto"/>
              <w:rPr>
                <w:rFonts w:ascii="宋体" w:hAnsi="宋体"/>
              </w:rPr>
            </w:pPr>
          </w:p>
        </w:tc>
        <w:tc>
          <w:tcPr>
            <w:tcW w:w="851" w:type="dxa"/>
            <w:tcBorders>
              <w:top w:val="double" w:sz="6" w:space="0" w:color="auto"/>
              <w:left w:val="single" w:sz="6" w:space="0" w:color="auto"/>
              <w:bottom w:val="single" w:sz="6" w:space="0" w:color="auto"/>
              <w:right w:val="single" w:sz="6" w:space="0" w:color="auto"/>
            </w:tcBorders>
          </w:tcPr>
          <w:p w14:paraId="73D07B16">
            <w:pPr>
              <w:spacing w:line="360" w:lineRule="auto"/>
              <w:rPr>
                <w:rFonts w:ascii="宋体" w:hAnsi="宋体"/>
              </w:rPr>
            </w:pPr>
          </w:p>
        </w:tc>
        <w:tc>
          <w:tcPr>
            <w:tcW w:w="774" w:type="dxa"/>
            <w:tcBorders>
              <w:top w:val="double" w:sz="6" w:space="0" w:color="auto"/>
              <w:left w:val="single" w:sz="6" w:space="0" w:color="auto"/>
              <w:bottom w:val="single" w:sz="6" w:space="0" w:color="auto"/>
              <w:right w:val="single" w:sz="6" w:space="0" w:color="auto"/>
            </w:tcBorders>
          </w:tcPr>
          <w:p w14:paraId="1D569DBF">
            <w:pPr>
              <w:spacing w:line="360" w:lineRule="auto"/>
              <w:rPr>
                <w:rFonts w:ascii="宋体" w:hAnsi="宋体"/>
              </w:rPr>
            </w:pPr>
          </w:p>
        </w:tc>
        <w:tc>
          <w:tcPr>
            <w:tcW w:w="1352" w:type="dxa"/>
            <w:tcBorders>
              <w:top w:val="double" w:sz="6" w:space="0" w:color="auto"/>
              <w:left w:val="single" w:sz="6" w:space="0" w:color="auto"/>
              <w:bottom w:val="single" w:sz="6" w:space="0" w:color="auto"/>
              <w:right w:val="single" w:sz="6" w:space="0" w:color="auto"/>
            </w:tcBorders>
          </w:tcPr>
          <w:p w14:paraId="449C7A6A">
            <w:pPr>
              <w:spacing w:line="360" w:lineRule="auto"/>
              <w:rPr>
                <w:rFonts w:ascii="宋体" w:hAnsi="宋体"/>
              </w:rPr>
            </w:pPr>
          </w:p>
        </w:tc>
        <w:tc>
          <w:tcPr>
            <w:tcW w:w="1418" w:type="dxa"/>
            <w:tcBorders>
              <w:top w:val="double" w:sz="6" w:space="0" w:color="auto"/>
              <w:left w:val="single" w:sz="6" w:space="0" w:color="auto"/>
              <w:bottom w:val="single" w:sz="6" w:space="0" w:color="auto"/>
              <w:right w:val="single" w:sz="6" w:space="0" w:color="auto"/>
            </w:tcBorders>
          </w:tcPr>
          <w:p w14:paraId="5C39A8E1">
            <w:pPr>
              <w:spacing w:line="360" w:lineRule="auto"/>
              <w:rPr>
                <w:rFonts w:ascii="宋体" w:hAnsi="宋体"/>
              </w:rPr>
            </w:pPr>
          </w:p>
        </w:tc>
        <w:tc>
          <w:tcPr>
            <w:tcW w:w="1701" w:type="dxa"/>
            <w:tcBorders>
              <w:top w:val="double" w:sz="6" w:space="0" w:color="auto"/>
              <w:left w:val="single" w:sz="6" w:space="0" w:color="auto"/>
              <w:bottom w:val="single" w:sz="6" w:space="0" w:color="auto"/>
              <w:right w:val="single" w:sz="12" w:space="0" w:color="auto"/>
            </w:tcBorders>
          </w:tcPr>
          <w:p w14:paraId="7AC3E469">
            <w:pPr>
              <w:spacing w:line="360" w:lineRule="auto"/>
              <w:rPr>
                <w:rFonts w:ascii="宋体" w:hAnsi="宋体"/>
              </w:rPr>
            </w:pPr>
          </w:p>
        </w:tc>
      </w:tr>
      <w:tr w14:paraId="6A51C0D9">
        <w:tblPrEx>
          <w:tblW w:w="0" w:type="auto"/>
          <w:tblInd w:w="-114" w:type="dxa"/>
          <w:tblLayout w:type="fixed"/>
          <w:tblCellMar>
            <w:top w:w="0" w:type="dxa"/>
            <w:left w:w="28" w:type="dxa"/>
            <w:bottom w:w="0" w:type="dxa"/>
            <w:right w:w="28" w:type="dxa"/>
          </w:tblCellMar>
        </w:tblPrEx>
        <w:tc>
          <w:tcPr>
            <w:tcW w:w="993" w:type="dxa"/>
            <w:tcBorders>
              <w:top w:val="nil"/>
              <w:left w:val="single" w:sz="12" w:space="0" w:color="auto"/>
              <w:bottom w:val="single" w:sz="6" w:space="0" w:color="auto"/>
              <w:right w:val="single" w:sz="6" w:space="0" w:color="auto"/>
            </w:tcBorders>
          </w:tcPr>
          <w:p w14:paraId="3CD623D9">
            <w:pPr>
              <w:spacing w:line="360" w:lineRule="auto"/>
              <w:rPr>
                <w:rFonts w:ascii="宋体" w:hAnsi="宋体"/>
              </w:rPr>
            </w:pPr>
          </w:p>
        </w:tc>
        <w:tc>
          <w:tcPr>
            <w:tcW w:w="1984" w:type="dxa"/>
            <w:tcBorders>
              <w:top w:val="nil"/>
              <w:left w:val="single" w:sz="6" w:space="0" w:color="auto"/>
              <w:bottom w:val="single" w:sz="6" w:space="0" w:color="auto"/>
              <w:right w:val="single" w:sz="6" w:space="0" w:color="auto"/>
            </w:tcBorders>
          </w:tcPr>
          <w:p w14:paraId="218D89DE">
            <w:pPr>
              <w:spacing w:line="360" w:lineRule="auto"/>
              <w:rPr>
                <w:rFonts w:ascii="宋体" w:hAnsi="宋体"/>
              </w:rPr>
            </w:pPr>
          </w:p>
        </w:tc>
        <w:tc>
          <w:tcPr>
            <w:tcW w:w="851" w:type="dxa"/>
            <w:tcBorders>
              <w:top w:val="nil"/>
              <w:left w:val="single" w:sz="6" w:space="0" w:color="auto"/>
              <w:bottom w:val="single" w:sz="6" w:space="0" w:color="auto"/>
              <w:right w:val="single" w:sz="6" w:space="0" w:color="auto"/>
            </w:tcBorders>
          </w:tcPr>
          <w:p w14:paraId="663C9886">
            <w:pPr>
              <w:spacing w:line="360" w:lineRule="auto"/>
              <w:rPr>
                <w:rFonts w:ascii="宋体" w:hAnsi="宋体"/>
              </w:rPr>
            </w:pPr>
          </w:p>
        </w:tc>
        <w:tc>
          <w:tcPr>
            <w:tcW w:w="774" w:type="dxa"/>
            <w:tcBorders>
              <w:top w:val="nil"/>
              <w:left w:val="single" w:sz="6" w:space="0" w:color="auto"/>
              <w:bottom w:val="single" w:sz="6" w:space="0" w:color="auto"/>
              <w:right w:val="single" w:sz="6" w:space="0" w:color="auto"/>
            </w:tcBorders>
          </w:tcPr>
          <w:p w14:paraId="29AE537E">
            <w:pPr>
              <w:spacing w:line="360" w:lineRule="auto"/>
              <w:rPr>
                <w:rFonts w:ascii="宋体" w:hAnsi="宋体"/>
              </w:rPr>
            </w:pPr>
          </w:p>
        </w:tc>
        <w:tc>
          <w:tcPr>
            <w:tcW w:w="1352" w:type="dxa"/>
            <w:tcBorders>
              <w:top w:val="nil"/>
              <w:left w:val="single" w:sz="6" w:space="0" w:color="auto"/>
              <w:bottom w:val="single" w:sz="6" w:space="0" w:color="auto"/>
              <w:right w:val="single" w:sz="6" w:space="0" w:color="auto"/>
            </w:tcBorders>
          </w:tcPr>
          <w:p w14:paraId="06762B9D">
            <w:pPr>
              <w:spacing w:line="360" w:lineRule="auto"/>
              <w:rPr>
                <w:rFonts w:ascii="宋体" w:hAnsi="宋体"/>
              </w:rPr>
            </w:pPr>
          </w:p>
        </w:tc>
        <w:tc>
          <w:tcPr>
            <w:tcW w:w="1418" w:type="dxa"/>
            <w:tcBorders>
              <w:top w:val="nil"/>
              <w:left w:val="single" w:sz="6" w:space="0" w:color="auto"/>
              <w:bottom w:val="single" w:sz="6" w:space="0" w:color="auto"/>
              <w:right w:val="single" w:sz="6" w:space="0" w:color="auto"/>
            </w:tcBorders>
          </w:tcPr>
          <w:p w14:paraId="24E9BA42">
            <w:pPr>
              <w:spacing w:line="360" w:lineRule="auto"/>
              <w:rPr>
                <w:rFonts w:ascii="宋体" w:hAnsi="宋体"/>
              </w:rPr>
            </w:pPr>
          </w:p>
        </w:tc>
        <w:tc>
          <w:tcPr>
            <w:tcW w:w="1701" w:type="dxa"/>
            <w:tcBorders>
              <w:top w:val="nil"/>
              <w:left w:val="single" w:sz="6" w:space="0" w:color="auto"/>
              <w:bottom w:val="single" w:sz="6" w:space="0" w:color="auto"/>
              <w:right w:val="single" w:sz="12" w:space="0" w:color="auto"/>
            </w:tcBorders>
          </w:tcPr>
          <w:p w14:paraId="20AEBD4B">
            <w:pPr>
              <w:spacing w:line="360" w:lineRule="auto"/>
              <w:rPr>
                <w:rFonts w:ascii="宋体" w:hAnsi="宋体"/>
              </w:rPr>
            </w:pPr>
          </w:p>
        </w:tc>
      </w:tr>
      <w:tr w14:paraId="58140CC2">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1AFEC61C">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4CDB29E8">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4FD2F582">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79E98FBD">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42EA9B12">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374678D3">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192C28F4">
            <w:pPr>
              <w:spacing w:line="360" w:lineRule="auto"/>
              <w:rPr>
                <w:rFonts w:ascii="宋体" w:hAnsi="宋体"/>
              </w:rPr>
            </w:pPr>
          </w:p>
        </w:tc>
      </w:tr>
      <w:tr w14:paraId="125E9956">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66BB425E">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380DC39B">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252E5A78">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2E3B88C5">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30C6E0D2">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689387C7">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790CE6D0">
            <w:pPr>
              <w:spacing w:line="360" w:lineRule="auto"/>
              <w:rPr>
                <w:rFonts w:ascii="宋体" w:hAnsi="宋体"/>
              </w:rPr>
            </w:pPr>
          </w:p>
        </w:tc>
      </w:tr>
      <w:tr w14:paraId="00E12D61">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0CF7AB0D">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3A341D9F">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324B146B">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5D97F9DA">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0F780C43">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6E112E04">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228F4995">
            <w:pPr>
              <w:spacing w:line="360" w:lineRule="auto"/>
              <w:rPr>
                <w:rFonts w:ascii="宋体" w:hAnsi="宋体"/>
              </w:rPr>
            </w:pPr>
          </w:p>
        </w:tc>
      </w:tr>
      <w:tr w14:paraId="549E4DE7">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6FAAAD8C">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2DDC69FA">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0B73013D">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7E776281">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75A04350">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1A0D04A7">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267780B3">
            <w:pPr>
              <w:spacing w:line="360" w:lineRule="auto"/>
              <w:rPr>
                <w:rFonts w:ascii="宋体" w:hAnsi="宋体"/>
              </w:rPr>
            </w:pPr>
          </w:p>
        </w:tc>
      </w:tr>
      <w:tr w14:paraId="1738AB97">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7B16381F">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792C4E18">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42051546">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0E16E02F">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1964E000">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20BEAB20">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5C98265F">
            <w:pPr>
              <w:spacing w:line="360" w:lineRule="auto"/>
              <w:rPr>
                <w:rFonts w:ascii="宋体" w:hAnsi="宋体"/>
              </w:rPr>
            </w:pPr>
          </w:p>
        </w:tc>
      </w:tr>
      <w:tr w14:paraId="70BA64B8">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186A9404">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099F2B20">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0AF385A7">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3B87A486">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68ADBC41">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1B21A1AE">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0ACA5C14">
            <w:pPr>
              <w:spacing w:line="360" w:lineRule="auto"/>
              <w:rPr>
                <w:rFonts w:ascii="宋体" w:hAnsi="宋体"/>
              </w:rPr>
            </w:pPr>
          </w:p>
        </w:tc>
      </w:tr>
      <w:tr w14:paraId="18715E0F">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796F910B">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12F42B02">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6CD30356">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1B4CC8EB">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09A76BC6">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260F1277">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0BB9CE6E">
            <w:pPr>
              <w:spacing w:line="360" w:lineRule="auto"/>
              <w:rPr>
                <w:rFonts w:ascii="宋体" w:hAnsi="宋体"/>
              </w:rPr>
            </w:pPr>
          </w:p>
        </w:tc>
      </w:tr>
      <w:tr w14:paraId="3EA462D3">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22D68DA6">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25649207">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5DE00F8C">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4A2E8BB2">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5EB886C2">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0C8E17B0">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7C3129A2">
            <w:pPr>
              <w:spacing w:line="360" w:lineRule="auto"/>
              <w:rPr>
                <w:rFonts w:ascii="宋体" w:hAnsi="宋体"/>
              </w:rPr>
            </w:pPr>
          </w:p>
        </w:tc>
      </w:tr>
      <w:tr w14:paraId="0BC4875C">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2FA2EB88">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5A9AB27F">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6944D51A">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28B9B60E">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567B3C66">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37A81C69">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1E2E37F5">
            <w:pPr>
              <w:spacing w:line="360" w:lineRule="auto"/>
              <w:rPr>
                <w:rFonts w:ascii="宋体" w:hAnsi="宋体"/>
              </w:rPr>
            </w:pPr>
          </w:p>
        </w:tc>
      </w:tr>
      <w:tr w14:paraId="4D930BFE">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1FBF18EB">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23CE2841">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6AE8335D">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2CF9B123">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5C6EE75E">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1245A043">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45D27FFE">
            <w:pPr>
              <w:spacing w:line="360" w:lineRule="auto"/>
              <w:rPr>
                <w:rFonts w:ascii="宋体" w:hAnsi="宋体"/>
              </w:rPr>
            </w:pPr>
          </w:p>
        </w:tc>
      </w:tr>
      <w:tr w14:paraId="1EE42F67">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5D66E809">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58802FB6">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79F5ECEC">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3AE84C1D">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502D091C">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3B941CCA">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5ECA2FBE">
            <w:pPr>
              <w:spacing w:line="360" w:lineRule="auto"/>
              <w:rPr>
                <w:rFonts w:ascii="宋体" w:hAnsi="宋体"/>
              </w:rPr>
            </w:pPr>
          </w:p>
        </w:tc>
      </w:tr>
      <w:tr w14:paraId="11CBB6B7">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28E034E4">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577F0A78">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1DFC2388">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69FD14D9">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25480CB6">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4C973607">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2FE04589">
            <w:pPr>
              <w:spacing w:line="360" w:lineRule="auto"/>
              <w:rPr>
                <w:rFonts w:ascii="宋体" w:hAnsi="宋体"/>
              </w:rPr>
            </w:pPr>
          </w:p>
        </w:tc>
      </w:tr>
      <w:tr w14:paraId="7DE24BFF">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49B504ED">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73B2CD9E">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7F16BC58">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7431F803">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237B3604">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6757E62A">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7A210443">
            <w:pPr>
              <w:spacing w:line="360" w:lineRule="auto"/>
              <w:rPr>
                <w:rFonts w:ascii="宋体" w:hAnsi="宋体"/>
              </w:rPr>
            </w:pPr>
          </w:p>
        </w:tc>
      </w:tr>
      <w:tr w14:paraId="2772BDD2">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006A00E1">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58B67E94">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5211DE91">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2E997899">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6060FA2E">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5B48916C">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4E17B937">
            <w:pPr>
              <w:spacing w:line="360" w:lineRule="auto"/>
              <w:rPr>
                <w:rFonts w:ascii="宋体" w:hAnsi="宋体"/>
              </w:rPr>
            </w:pPr>
          </w:p>
        </w:tc>
      </w:tr>
      <w:tr w14:paraId="585986B9">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6A3D2556">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14EB141E">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67A851A0">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683C4682">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37158123">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16FD3925">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7EEBF343">
            <w:pPr>
              <w:spacing w:line="360" w:lineRule="auto"/>
              <w:rPr>
                <w:rFonts w:ascii="宋体" w:hAnsi="宋体"/>
              </w:rPr>
            </w:pPr>
          </w:p>
        </w:tc>
      </w:tr>
      <w:tr w14:paraId="3A378CC4">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68F3DA33">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5C660658">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13FDEA9F">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277CC3BE">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20C905C4">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6E2ED4B5">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05717427">
            <w:pPr>
              <w:spacing w:line="360" w:lineRule="auto"/>
              <w:rPr>
                <w:rFonts w:ascii="宋体" w:hAnsi="宋体"/>
              </w:rPr>
            </w:pPr>
          </w:p>
        </w:tc>
      </w:tr>
      <w:tr w14:paraId="222ABE22">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73D74EB6">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0EE18C50">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3352C37A">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5A41FDAF">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5B86C79E">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435C2682">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41E9ABB3">
            <w:pPr>
              <w:spacing w:line="360" w:lineRule="auto"/>
              <w:rPr>
                <w:rFonts w:ascii="宋体" w:hAnsi="宋体"/>
              </w:rPr>
            </w:pPr>
          </w:p>
        </w:tc>
      </w:tr>
      <w:tr w14:paraId="32A90007">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62B740B9">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38BE2475">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3FD127BC">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14D6AD9A">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339D03FD">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04F4764E">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18EBFFBD">
            <w:pPr>
              <w:spacing w:line="360" w:lineRule="auto"/>
              <w:rPr>
                <w:rFonts w:ascii="宋体" w:hAnsi="宋体"/>
              </w:rPr>
            </w:pPr>
          </w:p>
        </w:tc>
      </w:tr>
      <w:tr w14:paraId="67CF61C7">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38FAD0EC">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1CC6B27A">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2CB46E46">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64843F0A">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644E6CA4">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326E528B">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1D7F2F31">
            <w:pPr>
              <w:spacing w:line="360" w:lineRule="auto"/>
              <w:rPr>
                <w:rFonts w:ascii="宋体" w:hAnsi="宋体"/>
              </w:rPr>
            </w:pPr>
          </w:p>
        </w:tc>
      </w:tr>
      <w:tr w14:paraId="2C227C32">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1B7FA2BE">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13C18993">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50829556">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43830B32">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644F344F">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45C82931">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44A25FDA">
            <w:pPr>
              <w:spacing w:line="360" w:lineRule="auto"/>
              <w:rPr>
                <w:rFonts w:ascii="宋体" w:hAnsi="宋体"/>
              </w:rPr>
            </w:pPr>
          </w:p>
        </w:tc>
      </w:tr>
      <w:tr w14:paraId="29E25F2D">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11A957DB">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63431433">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42E974CC">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1AB210E2">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35FC4298">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79CF8183">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564EC886">
            <w:pPr>
              <w:spacing w:line="360" w:lineRule="auto"/>
              <w:rPr>
                <w:rFonts w:ascii="宋体" w:hAnsi="宋体"/>
              </w:rPr>
            </w:pPr>
          </w:p>
        </w:tc>
      </w:tr>
      <w:tr w14:paraId="5AE0E7FC">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367D9482">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00F8C5BE">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7EB0B65F">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1C132F82">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2CE6288F">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7FF0EC6F">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58EB4577">
            <w:pPr>
              <w:spacing w:line="360" w:lineRule="auto"/>
              <w:rPr>
                <w:rFonts w:ascii="宋体" w:hAnsi="宋体"/>
              </w:rPr>
            </w:pPr>
          </w:p>
        </w:tc>
      </w:tr>
      <w:tr w14:paraId="07A2C53C">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12" w:space="0" w:color="auto"/>
              <w:right w:val="single" w:sz="6" w:space="0" w:color="auto"/>
            </w:tcBorders>
          </w:tcPr>
          <w:p w14:paraId="37A1F043">
            <w:pPr>
              <w:spacing w:line="360" w:lineRule="auto"/>
              <w:rPr>
                <w:rFonts w:ascii="宋体" w:hAnsi="宋体"/>
              </w:rPr>
            </w:pPr>
          </w:p>
        </w:tc>
        <w:tc>
          <w:tcPr>
            <w:tcW w:w="1984" w:type="dxa"/>
            <w:tcBorders>
              <w:top w:val="single" w:sz="6" w:space="0" w:color="auto"/>
              <w:left w:val="single" w:sz="6" w:space="0" w:color="auto"/>
              <w:bottom w:val="single" w:sz="12" w:space="0" w:color="auto"/>
              <w:right w:val="single" w:sz="6" w:space="0" w:color="auto"/>
            </w:tcBorders>
          </w:tcPr>
          <w:p w14:paraId="4E2127D8">
            <w:pPr>
              <w:spacing w:line="360" w:lineRule="auto"/>
              <w:rPr>
                <w:rFonts w:ascii="宋体" w:hAnsi="宋体"/>
              </w:rPr>
            </w:pPr>
          </w:p>
        </w:tc>
        <w:tc>
          <w:tcPr>
            <w:tcW w:w="851" w:type="dxa"/>
            <w:tcBorders>
              <w:top w:val="single" w:sz="6" w:space="0" w:color="auto"/>
              <w:left w:val="single" w:sz="6" w:space="0" w:color="auto"/>
              <w:bottom w:val="single" w:sz="12" w:space="0" w:color="auto"/>
              <w:right w:val="single" w:sz="6" w:space="0" w:color="auto"/>
            </w:tcBorders>
          </w:tcPr>
          <w:p w14:paraId="183C9071">
            <w:pPr>
              <w:spacing w:line="360" w:lineRule="auto"/>
              <w:rPr>
                <w:rFonts w:ascii="宋体" w:hAnsi="宋体"/>
              </w:rPr>
            </w:pPr>
          </w:p>
        </w:tc>
        <w:tc>
          <w:tcPr>
            <w:tcW w:w="774" w:type="dxa"/>
            <w:tcBorders>
              <w:top w:val="single" w:sz="6" w:space="0" w:color="auto"/>
              <w:left w:val="single" w:sz="6" w:space="0" w:color="auto"/>
              <w:bottom w:val="single" w:sz="12" w:space="0" w:color="auto"/>
              <w:right w:val="single" w:sz="6" w:space="0" w:color="auto"/>
            </w:tcBorders>
          </w:tcPr>
          <w:p w14:paraId="0CD5208F">
            <w:pPr>
              <w:spacing w:line="360" w:lineRule="auto"/>
              <w:rPr>
                <w:rFonts w:ascii="宋体" w:hAnsi="宋体"/>
              </w:rPr>
            </w:pPr>
          </w:p>
        </w:tc>
        <w:tc>
          <w:tcPr>
            <w:tcW w:w="1352" w:type="dxa"/>
            <w:tcBorders>
              <w:top w:val="single" w:sz="6" w:space="0" w:color="auto"/>
              <w:left w:val="single" w:sz="6" w:space="0" w:color="auto"/>
              <w:bottom w:val="single" w:sz="12" w:space="0" w:color="auto"/>
              <w:right w:val="single" w:sz="6" w:space="0" w:color="auto"/>
            </w:tcBorders>
          </w:tcPr>
          <w:p w14:paraId="2FC5E561">
            <w:pPr>
              <w:spacing w:line="360" w:lineRule="auto"/>
              <w:rPr>
                <w:rFonts w:ascii="宋体" w:hAnsi="宋体"/>
              </w:rPr>
            </w:pPr>
          </w:p>
        </w:tc>
        <w:tc>
          <w:tcPr>
            <w:tcW w:w="1418" w:type="dxa"/>
            <w:tcBorders>
              <w:top w:val="single" w:sz="6" w:space="0" w:color="auto"/>
              <w:left w:val="single" w:sz="6" w:space="0" w:color="auto"/>
              <w:bottom w:val="single" w:sz="12" w:space="0" w:color="auto"/>
              <w:right w:val="single" w:sz="6" w:space="0" w:color="auto"/>
            </w:tcBorders>
          </w:tcPr>
          <w:p w14:paraId="6885E7B3">
            <w:pPr>
              <w:spacing w:line="360" w:lineRule="auto"/>
              <w:rPr>
                <w:rFonts w:ascii="宋体" w:hAnsi="宋体"/>
              </w:rPr>
            </w:pPr>
          </w:p>
        </w:tc>
        <w:tc>
          <w:tcPr>
            <w:tcW w:w="1701" w:type="dxa"/>
            <w:tcBorders>
              <w:top w:val="single" w:sz="6" w:space="0" w:color="auto"/>
              <w:left w:val="single" w:sz="6" w:space="0" w:color="auto"/>
              <w:bottom w:val="single" w:sz="12" w:space="0" w:color="auto"/>
              <w:right w:val="single" w:sz="12" w:space="0" w:color="auto"/>
            </w:tcBorders>
          </w:tcPr>
          <w:p w14:paraId="52775399">
            <w:pPr>
              <w:spacing w:line="360" w:lineRule="auto"/>
              <w:rPr>
                <w:rFonts w:ascii="宋体" w:hAnsi="宋体"/>
              </w:rPr>
            </w:pPr>
          </w:p>
        </w:tc>
      </w:tr>
    </w:tbl>
    <w:p w14:paraId="5709FFFE">
      <w:pPr>
        <w:spacing w:line="360" w:lineRule="auto"/>
        <w:rPr>
          <w:rFonts w:ascii="宋体" w:hAnsi="宋体"/>
          <w:kern w:val="2"/>
        </w:rPr>
      </w:pPr>
    </w:p>
    <w:p w14:paraId="042D480A">
      <w:pPr>
        <w:spacing w:line="360" w:lineRule="auto"/>
        <w:jc w:val="center"/>
        <w:rPr>
          <w:rFonts w:ascii="宋体" w:hAnsi="宋体"/>
          <w:b/>
        </w:rPr>
      </w:pPr>
      <w:r>
        <w:rPr>
          <w:rFonts w:ascii="宋体" w:hAnsi="宋体" w:hint="eastAsia"/>
          <w:b/>
        </w:rPr>
        <w:t>11-2：工程设备暂估价表</w:t>
      </w:r>
    </w:p>
    <w:tbl>
      <w:tblPr>
        <w:tblStyle w:val="TableNormal"/>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7607FB9">
        <w:tblPrEx>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Ex>
        <w:tc>
          <w:tcPr>
            <w:tcW w:w="993" w:type="dxa"/>
            <w:tcBorders>
              <w:top w:val="single" w:sz="12" w:space="0" w:color="auto"/>
              <w:left w:val="single" w:sz="12" w:space="0" w:color="auto"/>
              <w:bottom w:val="double" w:sz="6" w:space="0" w:color="auto"/>
              <w:right w:val="single" w:sz="6" w:space="0" w:color="auto"/>
            </w:tcBorders>
          </w:tcPr>
          <w:p w14:paraId="48C97729">
            <w:pPr>
              <w:spacing w:line="360" w:lineRule="auto"/>
              <w:rPr>
                <w:rFonts w:ascii="宋体" w:hAnsi="宋体"/>
              </w:rPr>
            </w:pPr>
            <w:r>
              <w:rPr>
                <w:rFonts w:ascii="宋体" w:hAnsi="宋体" w:hint="eastAsia"/>
              </w:rPr>
              <w:t>序号</w:t>
            </w:r>
          </w:p>
        </w:tc>
        <w:tc>
          <w:tcPr>
            <w:tcW w:w="1984" w:type="dxa"/>
            <w:tcBorders>
              <w:top w:val="single" w:sz="12" w:space="0" w:color="auto"/>
              <w:left w:val="single" w:sz="6" w:space="0" w:color="auto"/>
              <w:bottom w:val="double" w:sz="6" w:space="0" w:color="auto"/>
              <w:right w:val="single" w:sz="6" w:space="0" w:color="auto"/>
            </w:tcBorders>
          </w:tcPr>
          <w:p w14:paraId="29892E45">
            <w:pPr>
              <w:spacing w:line="360" w:lineRule="auto"/>
              <w:rPr>
                <w:rFonts w:ascii="宋体" w:hAnsi="宋体"/>
              </w:rPr>
            </w:pPr>
            <w:r>
              <w:rPr>
                <w:rFonts w:ascii="宋体" w:hAnsi="宋体" w:hint="eastAsia"/>
              </w:rPr>
              <w:t>名称</w:t>
            </w:r>
          </w:p>
        </w:tc>
        <w:tc>
          <w:tcPr>
            <w:tcW w:w="851" w:type="dxa"/>
            <w:tcBorders>
              <w:top w:val="single" w:sz="12" w:space="0" w:color="auto"/>
              <w:left w:val="single" w:sz="6" w:space="0" w:color="auto"/>
              <w:bottom w:val="double" w:sz="6" w:space="0" w:color="auto"/>
              <w:right w:val="single" w:sz="6" w:space="0" w:color="auto"/>
            </w:tcBorders>
          </w:tcPr>
          <w:p w14:paraId="658EDE57">
            <w:pPr>
              <w:spacing w:line="360" w:lineRule="auto"/>
              <w:rPr>
                <w:rFonts w:ascii="宋体" w:hAnsi="宋体"/>
              </w:rPr>
            </w:pPr>
            <w:r>
              <w:rPr>
                <w:rFonts w:ascii="宋体" w:hAnsi="宋体" w:hint="eastAsia"/>
              </w:rPr>
              <w:t>单位</w:t>
            </w:r>
          </w:p>
        </w:tc>
        <w:tc>
          <w:tcPr>
            <w:tcW w:w="774" w:type="dxa"/>
            <w:tcBorders>
              <w:top w:val="single" w:sz="12" w:space="0" w:color="auto"/>
              <w:left w:val="single" w:sz="6" w:space="0" w:color="auto"/>
              <w:bottom w:val="double" w:sz="6" w:space="0" w:color="auto"/>
              <w:right w:val="single" w:sz="6" w:space="0" w:color="auto"/>
            </w:tcBorders>
          </w:tcPr>
          <w:p w14:paraId="7168D481">
            <w:pPr>
              <w:spacing w:line="360" w:lineRule="auto"/>
              <w:rPr>
                <w:rFonts w:ascii="宋体" w:hAnsi="宋体"/>
              </w:rPr>
            </w:pPr>
            <w:r>
              <w:rPr>
                <w:rFonts w:ascii="宋体" w:hAnsi="宋体" w:hint="eastAsia"/>
              </w:rPr>
              <w:t>数量</w:t>
            </w:r>
          </w:p>
        </w:tc>
        <w:tc>
          <w:tcPr>
            <w:tcW w:w="1352" w:type="dxa"/>
            <w:tcBorders>
              <w:top w:val="single" w:sz="12" w:space="0" w:color="auto"/>
              <w:left w:val="single" w:sz="6" w:space="0" w:color="auto"/>
              <w:bottom w:val="double" w:sz="6" w:space="0" w:color="auto"/>
              <w:right w:val="single" w:sz="6" w:space="0" w:color="auto"/>
            </w:tcBorders>
          </w:tcPr>
          <w:p w14:paraId="630213FA">
            <w:pPr>
              <w:spacing w:line="360" w:lineRule="auto"/>
              <w:rPr>
                <w:rFonts w:ascii="宋体" w:hAnsi="宋体"/>
              </w:rPr>
            </w:pPr>
            <w:r>
              <w:rPr>
                <w:rFonts w:ascii="宋体" w:hAnsi="宋体" w:hint="eastAsia"/>
              </w:rPr>
              <w:t>单价（元）</w:t>
            </w:r>
          </w:p>
        </w:tc>
        <w:tc>
          <w:tcPr>
            <w:tcW w:w="1418" w:type="dxa"/>
            <w:tcBorders>
              <w:top w:val="single" w:sz="12" w:space="0" w:color="auto"/>
              <w:left w:val="single" w:sz="6" w:space="0" w:color="auto"/>
              <w:bottom w:val="double" w:sz="6" w:space="0" w:color="auto"/>
              <w:right w:val="single" w:sz="6" w:space="0" w:color="auto"/>
            </w:tcBorders>
          </w:tcPr>
          <w:p w14:paraId="1BCA5D05">
            <w:pPr>
              <w:spacing w:line="360" w:lineRule="auto"/>
              <w:rPr>
                <w:rFonts w:ascii="宋体" w:hAnsi="宋体"/>
              </w:rPr>
            </w:pPr>
            <w:r>
              <w:rPr>
                <w:rFonts w:ascii="宋体" w:hAnsi="宋体" w:hint="eastAsia"/>
              </w:rPr>
              <w:t>合价（元）</w:t>
            </w:r>
          </w:p>
        </w:tc>
        <w:tc>
          <w:tcPr>
            <w:tcW w:w="1701" w:type="dxa"/>
            <w:tcBorders>
              <w:top w:val="single" w:sz="12" w:space="0" w:color="auto"/>
              <w:left w:val="single" w:sz="6" w:space="0" w:color="auto"/>
              <w:bottom w:val="double" w:sz="6" w:space="0" w:color="auto"/>
              <w:right w:val="single" w:sz="12" w:space="0" w:color="auto"/>
            </w:tcBorders>
          </w:tcPr>
          <w:p w14:paraId="4E2C412C">
            <w:pPr>
              <w:spacing w:line="360" w:lineRule="auto"/>
              <w:rPr>
                <w:rFonts w:ascii="宋体" w:hAnsi="宋体"/>
              </w:rPr>
            </w:pPr>
            <w:r>
              <w:rPr>
                <w:rFonts w:ascii="宋体" w:hAnsi="宋体" w:hint="eastAsia"/>
              </w:rPr>
              <w:t>备注</w:t>
            </w:r>
          </w:p>
        </w:tc>
      </w:tr>
      <w:tr w14:paraId="50BFBABF">
        <w:tblPrEx>
          <w:tblW w:w="0" w:type="auto"/>
          <w:tblInd w:w="-114" w:type="dxa"/>
          <w:tblLayout w:type="fixed"/>
          <w:tblCellMar>
            <w:top w:w="0" w:type="dxa"/>
            <w:left w:w="28" w:type="dxa"/>
            <w:bottom w:w="0" w:type="dxa"/>
            <w:right w:w="28" w:type="dxa"/>
          </w:tblCellMar>
        </w:tblPrEx>
        <w:tc>
          <w:tcPr>
            <w:tcW w:w="993" w:type="dxa"/>
            <w:tcBorders>
              <w:top w:val="double" w:sz="6" w:space="0" w:color="auto"/>
              <w:left w:val="single" w:sz="12" w:space="0" w:color="auto"/>
              <w:bottom w:val="single" w:sz="6" w:space="0" w:color="auto"/>
              <w:right w:val="single" w:sz="6" w:space="0" w:color="auto"/>
            </w:tcBorders>
          </w:tcPr>
          <w:p w14:paraId="7508A719">
            <w:pPr>
              <w:spacing w:line="360" w:lineRule="auto"/>
              <w:rPr>
                <w:rFonts w:ascii="宋体" w:hAnsi="宋体"/>
              </w:rPr>
            </w:pPr>
          </w:p>
        </w:tc>
        <w:tc>
          <w:tcPr>
            <w:tcW w:w="1984" w:type="dxa"/>
            <w:tcBorders>
              <w:top w:val="double" w:sz="6" w:space="0" w:color="auto"/>
              <w:left w:val="single" w:sz="6" w:space="0" w:color="auto"/>
              <w:bottom w:val="single" w:sz="6" w:space="0" w:color="auto"/>
              <w:right w:val="single" w:sz="6" w:space="0" w:color="auto"/>
            </w:tcBorders>
          </w:tcPr>
          <w:p w14:paraId="5F5C367D">
            <w:pPr>
              <w:spacing w:line="360" w:lineRule="auto"/>
              <w:rPr>
                <w:rFonts w:ascii="宋体" w:hAnsi="宋体"/>
              </w:rPr>
            </w:pPr>
          </w:p>
        </w:tc>
        <w:tc>
          <w:tcPr>
            <w:tcW w:w="851" w:type="dxa"/>
            <w:tcBorders>
              <w:top w:val="double" w:sz="6" w:space="0" w:color="auto"/>
              <w:left w:val="single" w:sz="6" w:space="0" w:color="auto"/>
              <w:bottom w:val="single" w:sz="6" w:space="0" w:color="auto"/>
              <w:right w:val="single" w:sz="6" w:space="0" w:color="auto"/>
            </w:tcBorders>
          </w:tcPr>
          <w:p w14:paraId="294D8EC6">
            <w:pPr>
              <w:spacing w:line="360" w:lineRule="auto"/>
              <w:rPr>
                <w:rFonts w:ascii="宋体" w:hAnsi="宋体"/>
              </w:rPr>
            </w:pPr>
          </w:p>
        </w:tc>
        <w:tc>
          <w:tcPr>
            <w:tcW w:w="774" w:type="dxa"/>
            <w:tcBorders>
              <w:top w:val="double" w:sz="6" w:space="0" w:color="auto"/>
              <w:left w:val="single" w:sz="6" w:space="0" w:color="auto"/>
              <w:bottom w:val="single" w:sz="6" w:space="0" w:color="auto"/>
              <w:right w:val="single" w:sz="6" w:space="0" w:color="auto"/>
            </w:tcBorders>
          </w:tcPr>
          <w:p w14:paraId="76A6A030">
            <w:pPr>
              <w:spacing w:line="360" w:lineRule="auto"/>
              <w:rPr>
                <w:rFonts w:ascii="宋体" w:hAnsi="宋体"/>
              </w:rPr>
            </w:pPr>
          </w:p>
        </w:tc>
        <w:tc>
          <w:tcPr>
            <w:tcW w:w="1352" w:type="dxa"/>
            <w:tcBorders>
              <w:top w:val="double" w:sz="6" w:space="0" w:color="auto"/>
              <w:left w:val="single" w:sz="6" w:space="0" w:color="auto"/>
              <w:bottom w:val="single" w:sz="6" w:space="0" w:color="auto"/>
              <w:right w:val="single" w:sz="6" w:space="0" w:color="auto"/>
            </w:tcBorders>
          </w:tcPr>
          <w:p w14:paraId="7F95BD55">
            <w:pPr>
              <w:spacing w:line="360" w:lineRule="auto"/>
              <w:rPr>
                <w:rFonts w:ascii="宋体" w:hAnsi="宋体"/>
              </w:rPr>
            </w:pPr>
          </w:p>
        </w:tc>
        <w:tc>
          <w:tcPr>
            <w:tcW w:w="1418" w:type="dxa"/>
            <w:tcBorders>
              <w:top w:val="double" w:sz="6" w:space="0" w:color="auto"/>
              <w:left w:val="single" w:sz="6" w:space="0" w:color="auto"/>
              <w:bottom w:val="single" w:sz="6" w:space="0" w:color="auto"/>
              <w:right w:val="single" w:sz="6" w:space="0" w:color="auto"/>
            </w:tcBorders>
          </w:tcPr>
          <w:p w14:paraId="1BD8B020">
            <w:pPr>
              <w:spacing w:line="360" w:lineRule="auto"/>
              <w:rPr>
                <w:rFonts w:ascii="宋体" w:hAnsi="宋体"/>
              </w:rPr>
            </w:pPr>
          </w:p>
        </w:tc>
        <w:tc>
          <w:tcPr>
            <w:tcW w:w="1701" w:type="dxa"/>
            <w:tcBorders>
              <w:top w:val="double" w:sz="6" w:space="0" w:color="auto"/>
              <w:left w:val="single" w:sz="6" w:space="0" w:color="auto"/>
              <w:bottom w:val="single" w:sz="6" w:space="0" w:color="auto"/>
              <w:right w:val="single" w:sz="12" w:space="0" w:color="auto"/>
            </w:tcBorders>
          </w:tcPr>
          <w:p w14:paraId="693359EA">
            <w:pPr>
              <w:spacing w:line="360" w:lineRule="auto"/>
              <w:rPr>
                <w:rFonts w:ascii="宋体" w:hAnsi="宋体"/>
              </w:rPr>
            </w:pPr>
          </w:p>
        </w:tc>
      </w:tr>
      <w:tr w14:paraId="6D8FFDEA">
        <w:tblPrEx>
          <w:tblW w:w="0" w:type="auto"/>
          <w:tblInd w:w="-114" w:type="dxa"/>
          <w:tblLayout w:type="fixed"/>
          <w:tblCellMar>
            <w:top w:w="0" w:type="dxa"/>
            <w:left w:w="28" w:type="dxa"/>
            <w:bottom w:w="0" w:type="dxa"/>
            <w:right w:w="28" w:type="dxa"/>
          </w:tblCellMar>
        </w:tblPrEx>
        <w:tc>
          <w:tcPr>
            <w:tcW w:w="993" w:type="dxa"/>
            <w:tcBorders>
              <w:top w:val="nil"/>
              <w:left w:val="single" w:sz="12" w:space="0" w:color="auto"/>
              <w:bottom w:val="single" w:sz="6" w:space="0" w:color="auto"/>
              <w:right w:val="single" w:sz="6" w:space="0" w:color="auto"/>
            </w:tcBorders>
          </w:tcPr>
          <w:p w14:paraId="743489CB">
            <w:pPr>
              <w:spacing w:line="360" w:lineRule="auto"/>
              <w:rPr>
                <w:rFonts w:ascii="宋体" w:hAnsi="宋体"/>
              </w:rPr>
            </w:pPr>
          </w:p>
        </w:tc>
        <w:tc>
          <w:tcPr>
            <w:tcW w:w="1984" w:type="dxa"/>
            <w:tcBorders>
              <w:top w:val="nil"/>
              <w:left w:val="single" w:sz="6" w:space="0" w:color="auto"/>
              <w:bottom w:val="single" w:sz="6" w:space="0" w:color="auto"/>
              <w:right w:val="single" w:sz="6" w:space="0" w:color="auto"/>
            </w:tcBorders>
          </w:tcPr>
          <w:p w14:paraId="0842C6EC">
            <w:pPr>
              <w:spacing w:line="360" w:lineRule="auto"/>
              <w:rPr>
                <w:rFonts w:ascii="宋体" w:hAnsi="宋体"/>
              </w:rPr>
            </w:pPr>
          </w:p>
        </w:tc>
        <w:tc>
          <w:tcPr>
            <w:tcW w:w="851" w:type="dxa"/>
            <w:tcBorders>
              <w:top w:val="nil"/>
              <w:left w:val="single" w:sz="6" w:space="0" w:color="auto"/>
              <w:bottom w:val="single" w:sz="6" w:space="0" w:color="auto"/>
              <w:right w:val="single" w:sz="6" w:space="0" w:color="auto"/>
            </w:tcBorders>
          </w:tcPr>
          <w:p w14:paraId="4C7B8DE7">
            <w:pPr>
              <w:spacing w:line="360" w:lineRule="auto"/>
              <w:rPr>
                <w:rFonts w:ascii="宋体" w:hAnsi="宋体"/>
              </w:rPr>
            </w:pPr>
          </w:p>
        </w:tc>
        <w:tc>
          <w:tcPr>
            <w:tcW w:w="774" w:type="dxa"/>
            <w:tcBorders>
              <w:top w:val="nil"/>
              <w:left w:val="single" w:sz="6" w:space="0" w:color="auto"/>
              <w:bottom w:val="single" w:sz="6" w:space="0" w:color="auto"/>
              <w:right w:val="single" w:sz="6" w:space="0" w:color="auto"/>
            </w:tcBorders>
          </w:tcPr>
          <w:p w14:paraId="2721A7B6">
            <w:pPr>
              <w:spacing w:line="360" w:lineRule="auto"/>
              <w:rPr>
                <w:rFonts w:ascii="宋体" w:hAnsi="宋体"/>
              </w:rPr>
            </w:pPr>
          </w:p>
        </w:tc>
        <w:tc>
          <w:tcPr>
            <w:tcW w:w="1352" w:type="dxa"/>
            <w:tcBorders>
              <w:top w:val="nil"/>
              <w:left w:val="single" w:sz="6" w:space="0" w:color="auto"/>
              <w:bottom w:val="single" w:sz="6" w:space="0" w:color="auto"/>
              <w:right w:val="single" w:sz="6" w:space="0" w:color="auto"/>
            </w:tcBorders>
          </w:tcPr>
          <w:p w14:paraId="4ED5D7D1">
            <w:pPr>
              <w:spacing w:line="360" w:lineRule="auto"/>
              <w:rPr>
                <w:rFonts w:ascii="宋体" w:hAnsi="宋体"/>
              </w:rPr>
            </w:pPr>
          </w:p>
        </w:tc>
        <w:tc>
          <w:tcPr>
            <w:tcW w:w="1418" w:type="dxa"/>
            <w:tcBorders>
              <w:top w:val="nil"/>
              <w:left w:val="single" w:sz="6" w:space="0" w:color="auto"/>
              <w:bottom w:val="single" w:sz="6" w:space="0" w:color="auto"/>
              <w:right w:val="single" w:sz="6" w:space="0" w:color="auto"/>
            </w:tcBorders>
          </w:tcPr>
          <w:p w14:paraId="5C70BAE8">
            <w:pPr>
              <w:spacing w:line="360" w:lineRule="auto"/>
              <w:rPr>
                <w:rFonts w:ascii="宋体" w:hAnsi="宋体"/>
              </w:rPr>
            </w:pPr>
          </w:p>
        </w:tc>
        <w:tc>
          <w:tcPr>
            <w:tcW w:w="1701" w:type="dxa"/>
            <w:tcBorders>
              <w:top w:val="nil"/>
              <w:left w:val="single" w:sz="6" w:space="0" w:color="auto"/>
              <w:bottom w:val="single" w:sz="6" w:space="0" w:color="auto"/>
              <w:right w:val="single" w:sz="12" w:space="0" w:color="auto"/>
            </w:tcBorders>
          </w:tcPr>
          <w:p w14:paraId="483966F5">
            <w:pPr>
              <w:spacing w:line="360" w:lineRule="auto"/>
              <w:rPr>
                <w:rFonts w:ascii="宋体" w:hAnsi="宋体"/>
              </w:rPr>
            </w:pPr>
          </w:p>
        </w:tc>
      </w:tr>
      <w:tr w14:paraId="25F442CC">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555FEA16">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541D514A">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795E7B41">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637A3102">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74A33B95">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2DA1A3B1">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2040B568">
            <w:pPr>
              <w:spacing w:line="360" w:lineRule="auto"/>
              <w:rPr>
                <w:rFonts w:ascii="宋体" w:hAnsi="宋体"/>
              </w:rPr>
            </w:pPr>
          </w:p>
        </w:tc>
      </w:tr>
      <w:tr w14:paraId="56CEB63A">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212659EB">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4225AA72">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4926184A">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26C7619B">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7F305299">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426B7718">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729F8466">
            <w:pPr>
              <w:spacing w:line="360" w:lineRule="auto"/>
              <w:rPr>
                <w:rFonts w:ascii="宋体" w:hAnsi="宋体"/>
              </w:rPr>
            </w:pPr>
          </w:p>
        </w:tc>
      </w:tr>
      <w:tr w14:paraId="1C215169">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6F1759E4">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60D29D01">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3556B04D">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2B5F9003">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249EE810">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71F626F2">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642F1CB4">
            <w:pPr>
              <w:spacing w:line="360" w:lineRule="auto"/>
              <w:rPr>
                <w:rFonts w:ascii="宋体" w:hAnsi="宋体"/>
              </w:rPr>
            </w:pPr>
          </w:p>
        </w:tc>
      </w:tr>
      <w:tr w14:paraId="79D4DBCF">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0200FC83">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6BA28615">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3C042B4D">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16BF0DED">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6662662D">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79983C9F">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4C71397F">
            <w:pPr>
              <w:spacing w:line="360" w:lineRule="auto"/>
              <w:rPr>
                <w:rFonts w:ascii="宋体" w:hAnsi="宋体"/>
              </w:rPr>
            </w:pPr>
          </w:p>
        </w:tc>
      </w:tr>
      <w:tr w14:paraId="59AB348A">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32EAAFB6">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4FF9B00A">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5656B9E7">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6B505A41">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0FFDEF9A">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15BD613F">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5ACAD7A3">
            <w:pPr>
              <w:spacing w:line="360" w:lineRule="auto"/>
              <w:rPr>
                <w:rFonts w:ascii="宋体" w:hAnsi="宋体"/>
              </w:rPr>
            </w:pPr>
          </w:p>
        </w:tc>
      </w:tr>
      <w:tr w14:paraId="58F26C9A">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03E0F547">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06B23B1D">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3E590452">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1948DA65">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108396F8">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36343483">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52CF454C">
            <w:pPr>
              <w:spacing w:line="360" w:lineRule="auto"/>
              <w:rPr>
                <w:rFonts w:ascii="宋体" w:hAnsi="宋体"/>
              </w:rPr>
            </w:pPr>
          </w:p>
        </w:tc>
      </w:tr>
      <w:tr w14:paraId="25194AE7">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714E610E">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28965F74">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20507C16">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58C8C1AD">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79461EA1">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011853D0">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7747B5EA">
            <w:pPr>
              <w:spacing w:line="360" w:lineRule="auto"/>
              <w:rPr>
                <w:rFonts w:ascii="宋体" w:hAnsi="宋体"/>
              </w:rPr>
            </w:pPr>
          </w:p>
        </w:tc>
      </w:tr>
      <w:tr w14:paraId="36A1C003">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5907EEA3">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6F383EA8">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12485037">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53C005D3">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68969CCB">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24CC78F1">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1A404DE1">
            <w:pPr>
              <w:spacing w:line="360" w:lineRule="auto"/>
              <w:rPr>
                <w:rFonts w:ascii="宋体" w:hAnsi="宋体"/>
              </w:rPr>
            </w:pPr>
          </w:p>
        </w:tc>
      </w:tr>
      <w:tr w14:paraId="2C2EB193">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7AB3A94B">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05262AF0">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3EC1CBA8">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3D2D4C50">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1F7FEE20">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5B55BA25">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30B0994C">
            <w:pPr>
              <w:spacing w:line="360" w:lineRule="auto"/>
              <w:rPr>
                <w:rFonts w:ascii="宋体" w:hAnsi="宋体"/>
              </w:rPr>
            </w:pPr>
          </w:p>
        </w:tc>
      </w:tr>
      <w:tr w14:paraId="026A2EA4">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74FD4A66">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4CCDB7EB">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11332727">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53388375">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19BCDB2D">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52C712BF">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5EC0A0AF">
            <w:pPr>
              <w:spacing w:line="360" w:lineRule="auto"/>
              <w:rPr>
                <w:rFonts w:ascii="宋体" w:hAnsi="宋体"/>
              </w:rPr>
            </w:pPr>
          </w:p>
        </w:tc>
      </w:tr>
      <w:tr w14:paraId="3EB34BF7">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319F47B6">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46B96C29">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633180A9">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427BA3BF">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09590A78">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1D5B7682">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5494DE94">
            <w:pPr>
              <w:spacing w:line="360" w:lineRule="auto"/>
              <w:rPr>
                <w:rFonts w:ascii="宋体" w:hAnsi="宋体"/>
              </w:rPr>
            </w:pPr>
          </w:p>
        </w:tc>
      </w:tr>
      <w:tr w14:paraId="56718663">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4D5CC302">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66D40960">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32C46CF2">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0012F6AB">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37E8AD4D">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0ECABBCC">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34C2FCBF">
            <w:pPr>
              <w:spacing w:line="360" w:lineRule="auto"/>
              <w:rPr>
                <w:rFonts w:ascii="宋体" w:hAnsi="宋体"/>
              </w:rPr>
            </w:pPr>
          </w:p>
        </w:tc>
      </w:tr>
      <w:tr w14:paraId="24F4EED1">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76F6D679">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64AB4FCE">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63736EF2">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1C209B07">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24ED0D8D">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33755C32">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0DC908FE">
            <w:pPr>
              <w:spacing w:line="360" w:lineRule="auto"/>
              <w:rPr>
                <w:rFonts w:ascii="宋体" w:hAnsi="宋体"/>
              </w:rPr>
            </w:pPr>
          </w:p>
        </w:tc>
      </w:tr>
      <w:tr w14:paraId="4C9E22E5">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5081DBFA">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5E10275D">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152FA19B">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2C5AC1E1">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212914FA">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05B9FD80">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43189B77">
            <w:pPr>
              <w:spacing w:line="360" w:lineRule="auto"/>
              <w:rPr>
                <w:rFonts w:ascii="宋体" w:hAnsi="宋体"/>
              </w:rPr>
            </w:pPr>
          </w:p>
        </w:tc>
      </w:tr>
      <w:tr w14:paraId="47B633B3">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14218577">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1DBEC720">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64B8CB6A">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37FBF58B">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2D4BF6BF">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27397C8A">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6203CB18">
            <w:pPr>
              <w:spacing w:line="360" w:lineRule="auto"/>
              <w:rPr>
                <w:rFonts w:ascii="宋体" w:hAnsi="宋体"/>
              </w:rPr>
            </w:pPr>
          </w:p>
        </w:tc>
      </w:tr>
      <w:tr w14:paraId="723F536A">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076D314D">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4EA8E283">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484E8389">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169A11E1">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427975EE">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1F971721">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19203911">
            <w:pPr>
              <w:spacing w:line="360" w:lineRule="auto"/>
              <w:rPr>
                <w:rFonts w:ascii="宋体" w:hAnsi="宋体"/>
              </w:rPr>
            </w:pPr>
          </w:p>
        </w:tc>
      </w:tr>
      <w:tr w14:paraId="3B9FBE5D">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7102F982">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55600F4C">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76A59A1D">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79F4DD09">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379B67F3">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53889B66">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5D297F72">
            <w:pPr>
              <w:spacing w:line="360" w:lineRule="auto"/>
              <w:rPr>
                <w:rFonts w:ascii="宋体" w:hAnsi="宋体"/>
              </w:rPr>
            </w:pPr>
          </w:p>
        </w:tc>
      </w:tr>
      <w:tr w14:paraId="0B2AF6A7">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1304B3DA">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6C2D3782">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2A36FD4A">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564C3653">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1F9686A9">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0D22CC23">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05B543BF">
            <w:pPr>
              <w:spacing w:line="360" w:lineRule="auto"/>
              <w:rPr>
                <w:rFonts w:ascii="宋体" w:hAnsi="宋体"/>
              </w:rPr>
            </w:pPr>
          </w:p>
        </w:tc>
      </w:tr>
      <w:tr w14:paraId="16253B4F">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62D89B6E">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699DA335">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5EA00602">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63E32DA1">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183B0748">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5A1FED83">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3C7D3C7D">
            <w:pPr>
              <w:spacing w:line="360" w:lineRule="auto"/>
              <w:rPr>
                <w:rFonts w:ascii="宋体" w:hAnsi="宋体"/>
              </w:rPr>
            </w:pPr>
          </w:p>
        </w:tc>
      </w:tr>
      <w:tr w14:paraId="53C250D6">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1D91F418">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4C3E68A1">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587E62B5">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1DACBB17">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33AF7735">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4A70C942">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75226BB0">
            <w:pPr>
              <w:spacing w:line="360" w:lineRule="auto"/>
              <w:rPr>
                <w:rFonts w:ascii="宋体" w:hAnsi="宋体"/>
              </w:rPr>
            </w:pPr>
          </w:p>
        </w:tc>
      </w:tr>
      <w:tr w14:paraId="02E34F48">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10E5AA45">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653BE46F">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1174F336">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279A519D">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6A18F179">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5C7F2C82">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36C926DF">
            <w:pPr>
              <w:spacing w:line="360" w:lineRule="auto"/>
              <w:rPr>
                <w:rFonts w:ascii="宋体" w:hAnsi="宋体"/>
              </w:rPr>
            </w:pPr>
          </w:p>
        </w:tc>
      </w:tr>
      <w:tr w14:paraId="6BCFA314">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6" w:space="0" w:color="auto"/>
              <w:right w:val="single" w:sz="6" w:space="0" w:color="auto"/>
            </w:tcBorders>
          </w:tcPr>
          <w:p w14:paraId="18D5D454">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0892EE10">
            <w:pPr>
              <w:spacing w:line="360" w:lineRule="auto"/>
              <w:rPr>
                <w:rFonts w:ascii="宋体" w:hAnsi="宋体"/>
              </w:rPr>
            </w:pPr>
          </w:p>
        </w:tc>
        <w:tc>
          <w:tcPr>
            <w:tcW w:w="851" w:type="dxa"/>
            <w:tcBorders>
              <w:top w:val="single" w:sz="6" w:space="0" w:color="auto"/>
              <w:left w:val="single" w:sz="6" w:space="0" w:color="auto"/>
              <w:bottom w:val="single" w:sz="6" w:space="0" w:color="auto"/>
              <w:right w:val="single" w:sz="6" w:space="0" w:color="auto"/>
            </w:tcBorders>
          </w:tcPr>
          <w:p w14:paraId="19A83C6C">
            <w:pPr>
              <w:spacing w:line="360" w:lineRule="auto"/>
              <w:rPr>
                <w:rFonts w:ascii="宋体" w:hAnsi="宋体"/>
              </w:rPr>
            </w:pPr>
          </w:p>
        </w:tc>
        <w:tc>
          <w:tcPr>
            <w:tcW w:w="774" w:type="dxa"/>
            <w:tcBorders>
              <w:top w:val="single" w:sz="6" w:space="0" w:color="auto"/>
              <w:left w:val="single" w:sz="6" w:space="0" w:color="auto"/>
              <w:bottom w:val="single" w:sz="6" w:space="0" w:color="auto"/>
              <w:right w:val="single" w:sz="6" w:space="0" w:color="auto"/>
            </w:tcBorders>
          </w:tcPr>
          <w:p w14:paraId="68047815">
            <w:pPr>
              <w:spacing w:line="360" w:lineRule="auto"/>
              <w:rPr>
                <w:rFonts w:ascii="宋体" w:hAnsi="宋体"/>
              </w:rPr>
            </w:pPr>
          </w:p>
        </w:tc>
        <w:tc>
          <w:tcPr>
            <w:tcW w:w="1352" w:type="dxa"/>
            <w:tcBorders>
              <w:top w:val="single" w:sz="6" w:space="0" w:color="auto"/>
              <w:left w:val="single" w:sz="6" w:space="0" w:color="auto"/>
              <w:bottom w:val="single" w:sz="6" w:space="0" w:color="auto"/>
              <w:right w:val="single" w:sz="6" w:space="0" w:color="auto"/>
            </w:tcBorders>
          </w:tcPr>
          <w:p w14:paraId="290E94FD">
            <w:pPr>
              <w:spacing w:line="360" w:lineRule="auto"/>
              <w:rPr>
                <w:rFonts w:ascii="宋体" w:hAnsi="宋体"/>
              </w:rPr>
            </w:pPr>
          </w:p>
        </w:tc>
        <w:tc>
          <w:tcPr>
            <w:tcW w:w="1418" w:type="dxa"/>
            <w:tcBorders>
              <w:top w:val="single" w:sz="6" w:space="0" w:color="auto"/>
              <w:left w:val="single" w:sz="6" w:space="0" w:color="auto"/>
              <w:bottom w:val="single" w:sz="6" w:space="0" w:color="auto"/>
              <w:right w:val="single" w:sz="6" w:space="0" w:color="auto"/>
            </w:tcBorders>
          </w:tcPr>
          <w:p w14:paraId="14FE1A6D">
            <w:pPr>
              <w:spacing w:line="360" w:lineRule="auto"/>
              <w:rPr>
                <w:rFonts w:ascii="宋体" w:hAnsi="宋体"/>
              </w:rPr>
            </w:pPr>
          </w:p>
        </w:tc>
        <w:tc>
          <w:tcPr>
            <w:tcW w:w="1701" w:type="dxa"/>
            <w:tcBorders>
              <w:top w:val="single" w:sz="6" w:space="0" w:color="auto"/>
              <w:left w:val="single" w:sz="6" w:space="0" w:color="auto"/>
              <w:bottom w:val="single" w:sz="6" w:space="0" w:color="auto"/>
              <w:right w:val="single" w:sz="12" w:space="0" w:color="auto"/>
            </w:tcBorders>
          </w:tcPr>
          <w:p w14:paraId="00E0337B">
            <w:pPr>
              <w:spacing w:line="360" w:lineRule="auto"/>
              <w:rPr>
                <w:rFonts w:ascii="宋体" w:hAnsi="宋体"/>
              </w:rPr>
            </w:pPr>
          </w:p>
        </w:tc>
      </w:tr>
      <w:tr w14:paraId="3773BB30">
        <w:tblPrEx>
          <w:tblW w:w="0" w:type="auto"/>
          <w:tblInd w:w="-114" w:type="dxa"/>
          <w:tblLayout w:type="fixed"/>
          <w:tblCellMar>
            <w:top w:w="0" w:type="dxa"/>
            <w:left w:w="28" w:type="dxa"/>
            <w:bottom w:w="0" w:type="dxa"/>
            <w:right w:w="28" w:type="dxa"/>
          </w:tblCellMar>
        </w:tblPrEx>
        <w:tc>
          <w:tcPr>
            <w:tcW w:w="993" w:type="dxa"/>
            <w:tcBorders>
              <w:top w:val="single" w:sz="6" w:space="0" w:color="auto"/>
              <w:left w:val="single" w:sz="12" w:space="0" w:color="auto"/>
              <w:bottom w:val="single" w:sz="12" w:space="0" w:color="auto"/>
              <w:right w:val="single" w:sz="6" w:space="0" w:color="auto"/>
            </w:tcBorders>
          </w:tcPr>
          <w:p w14:paraId="721C2F2F">
            <w:pPr>
              <w:spacing w:line="360" w:lineRule="auto"/>
              <w:rPr>
                <w:rFonts w:ascii="宋体" w:hAnsi="宋体"/>
              </w:rPr>
            </w:pPr>
          </w:p>
        </w:tc>
        <w:tc>
          <w:tcPr>
            <w:tcW w:w="1984" w:type="dxa"/>
            <w:tcBorders>
              <w:top w:val="single" w:sz="6" w:space="0" w:color="auto"/>
              <w:left w:val="single" w:sz="6" w:space="0" w:color="auto"/>
              <w:bottom w:val="single" w:sz="12" w:space="0" w:color="auto"/>
              <w:right w:val="single" w:sz="6" w:space="0" w:color="auto"/>
            </w:tcBorders>
          </w:tcPr>
          <w:p w14:paraId="6B805DFF">
            <w:pPr>
              <w:spacing w:line="360" w:lineRule="auto"/>
              <w:rPr>
                <w:rFonts w:ascii="宋体" w:hAnsi="宋体"/>
              </w:rPr>
            </w:pPr>
          </w:p>
        </w:tc>
        <w:tc>
          <w:tcPr>
            <w:tcW w:w="851" w:type="dxa"/>
            <w:tcBorders>
              <w:top w:val="single" w:sz="6" w:space="0" w:color="auto"/>
              <w:left w:val="single" w:sz="6" w:space="0" w:color="auto"/>
              <w:bottom w:val="single" w:sz="12" w:space="0" w:color="auto"/>
              <w:right w:val="single" w:sz="6" w:space="0" w:color="auto"/>
            </w:tcBorders>
          </w:tcPr>
          <w:p w14:paraId="3B638D54">
            <w:pPr>
              <w:spacing w:line="360" w:lineRule="auto"/>
              <w:rPr>
                <w:rFonts w:ascii="宋体" w:hAnsi="宋体"/>
              </w:rPr>
            </w:pPr>
          </w:p>
        </w:tc>
        <w:tc>
          <w:tcPr>
            <w:tcW w:w="774" w:type="dxa"/>
            <w:tcBorders>
              <w:top w:val="single" w:sz="6" w:space="0" w:color="auto"/>
              <w:left w:val="single" w:sz="6" w:space="0" w:color="auto"/>
              <w:bottom w:val="single" w:sz="12" w:space="0" w:color="auto"/>
              <w:right w:val="single" w:sz="6" w:space="0" w:color="auto"/>
            </w:tcBorders>
          </w:tcPr>
          <w:p w14:paraId="55D97130">
            <w:pPr>
              <w:spacing w:line="360" w:lineRule="auto"/>
              <w:rPr>
                <w:rFonts w:ascii="宋体" w:hAnsi="宋体"/>
              </w:rPr>
            </w:pPr>
          </w:p>
        </w:tc>
        <w:tc>
          <w:tcPr>
            <w:tcW w:w="1352" w:type="dxa"/>
            <w:tcBorders>
              <w:top w:val="single" w:sz="6" w:space="0" w:color="auto"/>
              <w:left w:val="single" w:sz="6" w:space="0" w:color="auto"/>
              <w:bottom w:val="single" w:sz="12" w:space="0" w:color="auto"/>
              <w:right w:val="single" w:sz="6" w:space="0" w:color="auto"/>
            </w:tcBorders>
          </w:tcPr>
          <w:p w14:paraId="76A5A5FB">
            <w:pPr>
              <w:spacing w:line="360" w:lineRule="auto"/>
              <w:rPr>
                <w:rFonts w:ascii="宋体" w:hAnsi="宋体"/>
              </w:rPr>
            </w:pPr>
          </w:p>
        </w:tc>
        <w:tc>
          <w:tcPr>
            <w:tcW w:w="1418" w:type="dxa"/>
            <w:tcBorders>
              <w:top w:val="single" w:sz="6" w:space="0" w:color="auto"/>
              <w:left w:val="single" w:sz="6" w:space="0" w:color="auto"/>
              <w:bottom w:val="single" w:sz="12" w:space="0" w:color="auto"/>
              <w:right w:val="single" w:sz="6" w:space="0" w:color="auto"/>
            </w:tcBorders>
          </w:tcPr>
          <w:p w14:paraId="33943713">
            <w:pPr>
              <w:spacing w:line="360" w:lineRule="auto"/>
              <w:rPr>
                <w:rFonts w:ascii="宋体" w:hAnsi="宋体"/>
              </w:rPr>
            </w:pPr>
          </w:p>
        </w:tc>
        <w:tc>
          <w:tcPr>
            <w:tcW w:w="1701" w:type="dxa"/>
            <w:tcBorders>
              <w:top w:val="single" w:sz="6" w:space="0" w:color="auto"/>
              <w:left w:val="single" w:sz="6" w:space="0" w:color="auto"/>
              <w:bottom w:val="single" w:sz="12" w:space="0" w:color="auto"/>
              <w:right w:val="single" w:sz="12" w:space="0" w:color="auto"/>
            </w:tcBorders>
          </w:tcPr>
          <w:p w14:paraId="45935908">
            <w:pPr>
              <w:spacing w:line="360" w:lineRule="auto"/>
              <w:rPr>
                <w:rFonts w:ascii="宋体" w:hAnsi="宋体"/>
              </w:rPr>
            </w:pPr>
          </w:p>
        </w:tc>
      </w:tr>
    </w:tbl>
    <w:p w14:paraId="1CD851FD">
      <w:pPr>
        <w:spacing w:line="360" w:lineRule="auto"/>
        <w:rPr>
          <w:rFonts w:ascii="宋体" w:hAnsi="宋体"/>
          <w:kern w:val="2"/>
        </w:rPr>
      </w:pPr>
    </w:p>
    <w:p w14:paraId="7D690020">
      <w:pPr>
        <w:spacing w:line="360" w:lineRule="auto"/>
        <w:jc w:val="center"/>
        <w:rPr>
          <w:rFonts w:ascii="宋体" w:hAnsi="宋体"/>
          <w:b/>
        </w:rPr>
      </w:pPr>
      <w:r>
        <w:rPr>
          <w:rFonts w:ascii="宋体" w:hAnsi="宋体" w:hint="eastAsia"/>
          <w:b/>
        </w:rPr>
        <w:t>11-3：专业工程暂估价表</w:t>
      </w:r>
    </w:p>
    <w:tbl>
      <w:tblPr>
        <w:tblStyle w:val="TableNormal"/>
        <w:tblW w:w="0" w:type="auto"/>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
      <w:tblGrid>
        <w:gridCol w:w="879"/>
        <w:gridCol w:w="1984"/>
        <w:gridCol w:w="4678"/>
        <w:gridCol w:w="1276"/>
      </w:tblGrid>
      <w:tr w14:paraId="05B2E8F8">
        <w:tblPrEx>
          <w:tblW w:w="0" w:type="auto"/>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Ex>
        <w:tc>
          <w:tcPr>
            <w:tcW w:w="879" w:type="dxa"/>
            <w:tcBorders>
              <w:top w:val="single" w:sz="12" w:space="0" w:color="auto"/>
              <w:left w:val="single" w:sz="12" w:space="0" w:color="auto"/>
              <w:bottom w:val="double" w:sz="6" w:space="0" w:color="auto"/>
              <w:right w:val="single" w:sz="6" w:space="0" w:color="auto"/>
            </w:tcBorders>
          </w:tcPr>
          <w:p w14:paraId="73FD3E41">
            <w:pPr>
              <w:spacing w:line="360" w:lineRule="auto"/>
              <w:rPr>
                <w:rFonts w:ascii="宋体" w:hAnsi="宋体"/>
              </w:rPr>
            </w:pPr>
            <w:r>
              <w:rPr>
                <w:rFonts w:ascii="宋体" w:hAnsi="宋体" w:hint="eastAsia"/>
              </w:rPr>
              <w:t>序号</w:t>
            </w:r>
          </w:p>
        </w:tc>
        <w:tc>
          <w:tcPr>
            <w:tcW w:w="1984" w:type="dxa"/>
            <w:tcBorders>
              <w:top w:val="single" w:sz="12" w:space="0" w:color="auto"/>
              <w:left w:val="single" w:sz="6" w:space="0" w:color="auto"/>
              <w:bottom w:val="double" w:sz="6" w:space="0" w:color="auto"/>
              <w:right w:val="single" w:sz="6" w:space="0" w:color="auto"/>
            </w:tcBorders>
          </w:tcPr>
          <w:p w14:paraId="2C57D500">
            <w:pPr>
              <w:spacing w:line="360" w:lineRule="auto"/>
              <w:rPr>
                <w:rFonts w:ascii="宋体" w:hAnsi="宋体"/>
              </w:rPr>
            </w:pPr>
            <w:r>
              <w:rPr>
                <w:rFonts w:ascii="宋体" w:hAnsi="宋体" w:hint="eastAsia"/>
              </w:rPr>
              <w:t>专业工程名称</w:t>
            </w:r>
          </w:p>
        </w:tc>
        <w:tc>
          <w:tcPr>
            <w:tcW w:w="4678" w:type="dxa"/>
            <w:tcBorders>
              <w:top w:val="single" w:sz="12" w:space="0" w:color="auto"/>
              <w:left w:val="single" w:sz="6" w:space="0" w:color="auto"/>
              <w:bottom w:val="double" w:sz="6" w:space="0" w:color="auto"/>
              <w:right w:val="single" w:sz="6" w:space="0" w:color="auto"/>
            </w:tcBorders>
          </w:tcPr>
          <w:p w14:paraId="25ED3C7D">
            <w:pPr>
              <w:spacing w:line="360" w:lineRule="auto"/>
              <w:rPr>
                <w:rFonts w:ascii="宋体" w:hAnsi="宋体"/>
              </w:rPr>
            </w:pPr>
            <w:r>
              <w:rPr>
                <w:rFonts w:ascii="宋体" w:hAnsi="宋体" w:hint="eastAsia"/>
              </w:rPr>
              <w:t>工程内容</w:t>
            </w:r>
          </w:p>
        </w:tc>
        <w:tc>
          <w:tcPr>
            <w:tcW w:w="1276" w:type="dxa"/>
            <w:tcBorders>
              <w:top w:val="single" w:sz="12" w:space="0" w:color="auto"/>
              <w:left w:val="single" w:sz="6" w:space="0" w:color="auto"/>
              <w:bottom w:val="double" w:sz="6" w:space="0" w:color="auto"/>
              <w:right w:val="single" w:sz="12" w:space="0" w:color="auto"/>
            </w:tcBorders>
          </w:tcPr>
          <w:p w14:paraId="33EEB428">
            <w:pPr>
              <w:spacing w:line="360" w:lineRule="auto"/>
              <w:rPr>
                <w:rFonts w:ascii="宋体" w:hAnsi="宋体"/>
              </w:rPr>
            </w:pPr>
            <w:r>
              <w:rPr>
                <w:rFonts w:ascii="宋体" w:hAnsi="宋体" w:hint="eastAsia"/>
              </w:rPr>
              <w:t>金额</w:t>
            </w:r>
          </w:p>
        </w:tc>
      </w:tr>
      <w:tr w14:paraId="7C4A06C4">
        <w:tblPrEx>
          <w:tblW w:w="0" w:type="auto"/>
          <w:tblInd w:w="0" w:type="dxa"/>
          <w:tblLayout w:type="fixed"/>
          <w:tblCellMar>
            <w:top w:w="0" w:type="dxa"/>
            <w:left w:w="28" w:type="dxa"/>
            <w:bottom w:w="0" w:type="dxa"/>
            <w:right w:w="28" w:type="dxa"/>
          </w:tblCellMar>
        </w:tblPrEx>
        <w:tc>
          <w:tcPr>
            <w:tcW w:w="879" w:type="dxa"/>
            <w:tcBorders>
              <w:top w:val="double" w:sz="6" w:space="0" w:color="auto"/>
              <w:left w:val="single" w:sz="12" w:space="0" w:color="auto"/>
              <w:bottom w:val="single" w:sz="6" w:space="0" w:color="auto"/>
              <w:right w:val="single" w:sz="6" w:space="0" w:color="auto"/>
            </w:tcBorders>
          </w:tcPr>
          <w:p w14:paraId="387F3423">
            <w:pPr>
              <w:spacing w:line="360" w:lineRule="auto"/>
              <w:rPr>
                <w:rFonts w:ascii="宋体" w:hAnsi="宋体"/>
              </w:rPr>
            </w:pPr>
          </w:p>
        </w:tc>
        <w:tc>
          <w:tcPr>
            <w:tcW w:w="1984" w:type="dxa"/>
            <w:tcBorders>
              <w:top w:val="double" w:sz="6" w:space="0" w:color="auto"/>
              <w:left w:val="single" w:sz="6" w:space="0" w:color="auto"/>
              <w:bottom w:val="single" w:sz="6" w:space="0" w:color="auto"/>
              <w:right w:val="single" w:sz="6" w:space="0" w:color="auto"/>
            </w:tcBorders>
          </w:tcPr>
          <w:p w14:paraId="1540BA82">
            <w:pPr>
              <w:spacing w:line="360" w:lineRule="auto"/>
              <w:rPr>
                <w:rFonts w:ascii="宋体" w:hAnsi="宋体"/>
              </w:rPr>
            </w:pPr>
          </w:p>
        </w:tc>
        <w:tc>
          <w:tcPr>
            <w:tcW w:w="4678" w:type="dxa"/>
            <w:tcBorders>
              <w:top w:val="double" w:sz="6" w:space="0" w:color="auto"/>
              <w:left w:val="single" w:sz="6" w:space="0" w:color="auto"/>
              <w:bottom w:val="single" w:sz="6" w:space="0" w:color="auto"/>
              <w:right w:val="single" w:sz="6" w:space="0" w:color="auto"/>
            </w:tcBorders>
          </w:tcPr>
          <w:p w14:paraId="46D894CC">
            <w:pPr>
              <w:spacing w:line="360" w:lineRule="auto"/>
              <w:rPr>
                <w:rFonts w:ascii="宋体" w:hAnsi="宋体"/>
              </w:rPr>
            </w:pPr>
          </w:p>
        </w:tc>
        <w:tc>
          <w:tcPr>
            <w:tcW w:w="1276" w:type="dxa"/>
            <w:tcBorders>
              <w:top w:val="double" w:sz="6" w:space="0" w:color="auto"/>
              <w:left w:val="single" w:sz="6" w:space="0" w:color="auto"/>
              <w:bottom w:val="single" w:sz="6" w:space="0" w:color="auto"/>
              <w:right w:val="single" w:sz="12" w:space="0" w:color="auto"/>
            </w:tcBorders>
          </w:tcPr>
          <w:p w14:paraId="289E9555">
            <w:pPr>
              <w:spacing w:line="360" w:lineRule="auto"/>
              <w:rPr>
                <w:rFonts w:ascii="宋体" w:hAnsi="宋体"/>
              </w:rPr>
            </w:pPr>
          </w:p>
        </w:tc>
      </w:tr>
      <w:tr w14:paraId="709BA06D">
        <w:tblPrEx>
          <w:tblW w:w="0" w:type="auto"/>
          <w:tblInd w:w="0" w:type="dxa"/>
          <w:tblLayout w:type="fixed"/>
          <w:tblCellMar>
            <w:top w:w="0" w:type="dxa"/>
            <w:left w:w="28" w:type="dxa"/>
            <w:bottom w:w="0" w:type="dxa"/>
            <w:right w:w="28" w:type="dxa"/>
          </w:tblCellMar>
        </w:tblPrEx>
        <w:tc>
          <w:tcPr>
            <w:tcW w:w="879" w:type="dxa"/>
            <w:tcBorders>
              <w:top w:val="nil"/>
              <w:left w:val="single" w:sz="12" w:space="0" w:color="auto"/>
              <w:bottom w:val="single" w:sz="6" w:space="0" w:color="auto"/>
              <w:right w:val="single" w:sz="6" w:space="0" w:color="auto"/>
            </w:tcBorders>
          </w:tcPr>
          <w:p w14:paraId="57CF91EB">
            <w:pPr>
              <w:spacing w:line="360" w:lineRule="auto"/>
              <w:rPr>
                <w:rFonts w:ascii="宋体" w:hAnsi="宋体"/>
              </w:rPr>
            </w:pPr>
          </w:p>
        </w:tc>
        <w:tc>
          <w:tcPr>
            <w:tcW w:w="1984" w:type="dxa"/>
            <w:tcBorders>
              <w:top w:val="nil"/>
              <w:left w:val="single" w:sz="6" w:space="0" w:color="auto"/>
              <w:bottom w:val="single" w:sz="6" w:space="0" w:color="auto"/>
              <w:right w:val="single" w:sz="6" w:space="0" w:color="auto"/>
            </w:tcBorders>
          </w:tcPr>
          <w:p w14:paraId="4B214B2B">
            <w:pPr>
              <w:spacing w:line="360" w:lineRule="auto"/>
              <w:rPr>
                <w:rFonts w:ascii="宋体" w:hAnsi="宋体"/>
              </w:rPr>
            </w:pPr>
          </w:p>
        </w:tc>
        <w:tc>
          <w:tcPr>
            <w:tcW w:w="4678" w:type="dxa"/>
            <w:tcBorders>
              <w:top w:val="nil"/>
              <w:left w:val="single" w:sz="6" w:space="0" w:color="auto"/>
              <w:bottom w:val="single" w:sz="6" w:space="0" w:color="auto"/>
              <w:right w:val="single" w:sz="6" w:space="0" w:color="auto"/>
            </w:tcBorders>
          </w:tcPr>
          <w:p w14:paraId="6C6668EC">
            <w:pPr>
              <w:spacing w:line="360" w:lineRule="auto"/>
              <w:rPr>
                <w:rFonts w:ascii="宋体" w:hAnsi="宋体"/>
              </w:rPr>
            </w:pPr>
          </w:p>
        </w:tc>
        <w:tc>
          <w:tcPr>
            <w:tcW w:w="1276" w:type="dxa"/>
            <w:tcBorders>
              <w:top w:val="nil"/>
              <w:left w:val="single" w:sz="6" w:space="0" w:color="auto"/>
              <w:bottom w:val="single" w:sz="6" w:space="0" w:color="auto"/>
              <w:right w:val="single" w:sz="12" w:space="0" w:color="auto"/>
            </w:tcBorders>
          </w:tcPr>
          <w:p w14:paraId="64830175">
            <w:pPr>
              <w:spacing w:line="360" w:lineRule="auto"/>
              <w:rPr>
                <w:rFonts w:ascii="宋体" w:hAnsi="宋体"/>
              </w:rPr>
            </w:pPr>
          </w:p>
        </w:tc>
      </w:tr>
      <w:tr w14:paraId="0C934B6A">
        <w:tblPrEx>
          <w:tblW w:w="0" w:type="auto"/>
          <w:tblInd w:w="0" w:type="dxa"/>
          <w:tblLayout w:type="fixed"/>
          <w:tblCellMar>
            <w:top w:w="0" w:type="dxa"/>
            <w:left w:w="28" w:type="dxa"/>
            <w:bottom w:w="0" w:type="dxa"/>
            <w:right w:w="28" w:type="dxa"/>
          </w:tblCellMar>
        </w:tblPrEx>
        <w:tc>
          <w:tcPr>
            <w:tcW w:w="879" w:type="dxa"/>
            <w:tcBorders>
              <w:top w:val="nil"/>
              <w:left w:val="single" w:sz="12" w:space="0" w:color="auto"/>
              <w:bottom w:val="single" w:sz="6" w:space="0" w:color="auto"/>
              <w:right w:val="single" w:sz="6" w:space="0" w:color="auto"/>
            </w:tcBorders>
          </w:tcPr>
          <w:p w14:paraId="1B8C64E6">
            <w:pPr>
              <w:spacing w:line="360" w:lineRule="auto"/>
              <w:rPr>
                <w:rFonts w:ascii="宋体" w:hAnsi="宋体"/>
              </w:rPr>
            </w:pPr>
          </w:p>
        </w:tc>
        <w:tc>
          <w:tcPr>
            <w:tcW w:w="1984" w:type="dxa"/>
            <w:tcBorders>
              <w:top w:val="nil"/>
              <w:left w:val="single" w:sz="6" w:space="0" w:color="auto"/>
              <w:bottom w:val="single" w:sz="6" w:space="0" w:color="auto"/>
              <w:right w:val="single" w:sz="6" w:space="0" w:color="auto"/>
            </w:tcBorders>
          </w:tcPr>
          <w:p w14:paraId="54FF34AC">
            <w:pPr>
              <w:spacing w:line="360" w:lineRule="auto"/>
              <w:rPr>
                <w:rFonts w:ascii="宋体" w:hAnsi="宋体"/>
              </w:rPr>
            </w:pPr>
          </w:p>
        </w:tc>
        <w:tc>
          <w:tcPr>
            <w:tcW w:w="4678" w:type="dxa"/>
            <w:tcBorders>
              <w:top w:val="nil"/>
              <w:left w:val="single" w:sz="6" w:space="0" w:color="auto"/>
              <w:bottom w:val="single" w:sz="6" w:space="0" w:color="auto"/>
              <w:right w:val="single" w:sz="6" w:space="0" w:color="auto"/>
            </w:tcBorders>
          </w:tcPr>
          <w:p w14:paraId="516FFFF4">
            <w:pPr>
              <w:spacing w:line="360" w:lineRule="auto"/>
              <w:rPr>
                <w:rFonts w:ascii="宋体" w:hAnsi="宋体"/>
              </w:rPr>
            </w:pPr>
          </w:p>
        </w:tc>
        <w:tc>
          <w:tcPr>
            <w:tcW w:w="1276" w:type="dxa"/>
            <w:tcBorders>
              <w:top w:val="nil"/>
              <w:left w:val="single" w:sz="6" w:space="0" w:color="auto"/>
              <w:bottom w:val="single" w:sz="6" w:space="0" w:color="auto"/>
              <w:right w:val="single" w:sz="12" w:space="0" w:color="auto"/>
            </w:tcBorders>
          </w:tcPr>
          <w:p w14:paraId="3389716D">
            <w:pPr>
              <w:spacing w:line="360" w:lineRule="auto"/>
              <w:rPr>
                <w:rFonts w:ascii="宋体" w:hAnsi="宋体"/>
              </w:rPr>
            </w:pPr>
          </w:p>
        </w:tc>
      </w:tr>
      <w:tr w14:paraId="609DA5F9">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2DB3E641">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7850BF19">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2A15A237">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4508C60B">
            <w:pPr>
              <w:spacing w:line="360" w:lineRule="auto"/>
              <w:rPr>
                <w:rFonts w:ascii="宋体" w:hAnsi="宋体"/>
              </w:rPr>
            </w:pPr>
          </w:p>
        </w:tc>
      </w:tr>
      <w:tr w14:paraId="345B8F97">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6B9B956E">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7F17466F">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50C14A5B">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5612CBFB">
            <w:pPr>
              <w:spacing w:line="360" w:lineRule="auto"/>
              <w:rPr>
                <w:rFonts w:ascii="宋体" w:hAnsi="宋体"/>
              </w:rPr>
            </w:pPr>
          </w:p>
        </w:tc>
      </w:tr>
      <w:tr w14:paraId="26CEBE1D">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3494FD5B">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363A6940">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2E5EFDB6">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65E12610">
            <w:pPr>
              <w:spacing w:line="360" w:lineRule="auto"/>
              <w:rPr>
                <w:rFonts w:ascii="宋体" w:hAnsi="宋体"/>
              </w:rPr>
            </w:pPr>
          </w:p>
        </w:tc>
      </w:tr>
      <w:tr w14:paraId="6630A79F">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24FF5FD9">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7FB481D3">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61286170">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4654EB04">
            <w:pPr>
              <w:spacing w:line="360" w:lineRule="auto"/>
              <w:rPr>
                <w:rFonts w:ascii="宋体" w:hAnsi="宋体"/>
              </w:rPr>
            </w:pPr>
          </w:p>
        </w:tc>
      </w:tr>
      <w:tr w14:paraId="483F2594">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5AFF96BA">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3B4DCC81">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0BA1637F">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0482A7D7">
            <w:pPr>
              <w:spacing w:line="360" w:lineRule="auto"/>
              <w:rPr>
                <w:rFonts w:ascii="宋体" w:hAnsi="宋体"/>
              </w:rPr>
            </w:pPr>
          </w:p>
        </w:tc>
      </w:tr>
      <w:tr w14:paraId="6AA70605">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35534682">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2EF31C7B">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71D2E7A9">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4143D3E2">
            <w:pPr>
              <w:spacing w:line="360" w:lineRule="auto"/>
              <w:rPr>
                <w:rFonts w:ascii="宋体" w:hAnsi="宋体"/>
              </w:rPr>
            </w:pPr>
          </w:p>
        </w:tc>
      </w:tr>
      <w:tr w14:paraId="170F13C9">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3B1ACC55">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251267AF">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604A8E51">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135C033A">
            <w:pPr>
              <w:spacing w:line="360" w:lineRule="auto"/>
              <w:rPr>
                <w:rFonts w:ascii="宋体" w:hAnsi="宋体"/>
              </w:rPr>
            </w:pPr>
          </w:p>
        </w:tc>
      </w:tr>
      <w:tr w14:paraId="57C5180C">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691328FF">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043EE996">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28EAA045">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5E616223">
            <w:pPr>
              <w:spacing w:line="360" w:lineRule="auto"/>
              <w:rPr>
                <w:rFonts w:ascii="宋体" w:hAnsi="宋体"/>
              </w:rPr>
            </w:pPr>
          </w:p>
        </w:tc>
      </w:tr>
      <w:tr w14:paraId="60DF5792">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71AF644E">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58608097">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60A7D259">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73195350">
            <w:pPr>
              <w:spacing w:line="360" w:lineRule="auto"/>
              <w:rPr>
                <w:rFonts w:ascii="宋体" w:hAnsi="宋体"/>
              </w:rPr>
            </w:pPr>
          </w:p>
        </w:tc>
      </w:tr>
      <w:tr w14:paraId="1B782F2E">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3E882802">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41B543C8">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74942927">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7F1EAA35">
            <w:pPr>
              <w:spacing w:line="360" w:lineRule="auto"/>
              <w:rPr>
                <w:rFonts w:ascii="宋体" w:hAnsi="宋体"/>
              </w:rPr>
            </w:pPr>
          </w:p>
        </w:tc>
      </w:tr>
      <w:tr w14:paraId="1B4580E4">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3295D215">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6C490110">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48109796">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05305C34">
            <w:pPr>
              <w:spacing w:line="360" w:lineRule="auto"/>
              <w:rPr>
                <w:rFonts w:ascii="宋体" w:hAnsi="宋体"/>
              </w:rPr>
            </w:pPr>
          </w:p>
        </w:tc>
      </w:tr>
      <w:tr w14:paraId="6A9E0BC0">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39564C1B">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1EE3F018">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4068CD2F">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007E4FF0">
            <w:pPr>
              <w:spacing w:line="360" w:lineRule="auto"/>
              <w:rPr>
                <w:rFonts w:ascii="宋体" w:hAnsi="宋体"/>
              </w:rPr>
            </w:pPr>
          </w:p>
        </w:tc>
      </w:tr>
      <w:tr w14:paraId="20BF0C40">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6C85204A">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298BF54F">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741F46E7">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176DB719">
            <w:pPr>
              <w:spacing w:line="360" w:lineRule="auto"/>
              <w:rPr>
                <w:rFonts w:ascii="宋体" w:hAnsi="宋体"/>
              </w:rPr>
            </w:pPr>
          </w:p>
        </w:tc>
      </w:tr>
      <w:tr w14:paraId="6B787B89">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2D156076">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18E6E22A">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10CD5212">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1E1881C9">
            <w:pPr>
              <w:spacing w:line="360" w:lineRule="auto"/>
              <w:rPr>
                <w:rFonts w:ascii="宋体" w:hAnsi="宋体"/>
              </w:rPr>
            </w:pPr>
          </w:p>
        </w:tc>
      </w:tr>
      <w:tr w14:paraId="7A1912CF">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26D3EBD5">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071EA5E5">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5E98CA7E">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147A963C">
            <w:pPr>
              <w:spacing w:line="360" w:lineRule="auto"/>
              <w:rPr>
                <w:rFonts w:ascii="宋体" w:hAnsi="宋体"/>
              </w:rPr>
            </w:pPr>
          </w:p>
        </w:tc>
      </w:tr>
      <w:tr w14:paraId="1BAEA2FB">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75CFE522">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0A8374CC">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756E13CB">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63322EE3">
            <w:pPr>
              <w:spacing w:line="360" w:lineRule="auto"/>
              <w:rPr>
                <w:rFonts w:ascii="宋体" w:hAnsi="宋体"/>
              </w:rPr>
            </w:pPr>
          </w:p>
        </w:tc>
      </w:tr>
      <w:tr w14:paraId="63B3C56E">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3FB72A3C">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2F9C11DC">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390F69B6">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7FD2C936">
            <w:pPr>
              <w:spacing w:line="360" w:lineRule="auto"/>
              <w:rPr>
                <w:rFonts w:ascii="宋体" w:hAnsi="宋体"/>
              </w:rPr>
            </w:pPr>
          </w:p>
        </w:tc>
      </w:tr>
      <w:tr w14:paraId="349F7291">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3BF40632">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1E45E7D2">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296F0EAD">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36167B87">
            <w:pPr>
              <w:spacing w:line="360" w:lineRule="auto"/>
              <w:rPr>
                <w:rFonts w:ascii="宋体" w:hAnsi="宋体"/>
              </w:rPr>
            </w:pPr>
          </w:p>
        </w:tc>
      </w:tr>
      <w:tr w14:paraId="47A8456D">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42411FE6">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2D8699F1">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59974167">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78C98A3F">
            <w:pPr>
              <w:spacing w:line="360" w:lineRule="auto"/>
              <w:rPr>
                <w:rFonts w:ascii="宋体" w:hAnsi="宋体"/>
              </w:rPr>
            </w:pPr>
          </w:p>
        </w:tc>
      </w:tr>
      <w:tr w14:paraId="45085AAE">
        <w:tblPrEx>
          <w:tblW w:w="0" w:type="auto"/>
          <w:tblInd w:w="0" w:type="dxa"/>
          <w:tblLayout w:type="fixed"/>
          <w:tblCellMar>
            <w:top w:w="0" w:type="dxa"/>
            <w:left w:w="28" w:type="dxa"/>
            <w:bottom w:w="0" w:type="dxa"/>
            <w:right w:w="28" w:type="dxa"/>
          </w:tblCellMar>
        </w:tblPrEx>
        <w:tc>
          <w:tcPr>
            <w:tcW w:w="879" w:type="dxa"/>
            <w:tcBorders>
              <w:top w:val="single" w:sz="6" w:space="0" w:color="auto"/>
              <w:left w:val="single" w:sz="12" w:space="0" w:color="auto"/>
              <w:bottom w:val="single" w:sz="6" w:space="0" w:color="auto"/>
              <w:right w:val="single" w:sz="6" w:space="0" w:color="auto"/>
            </w:tcBorders>
          </w:tcPr>
          <w:p w14:paraId="1B3A0F81">
            <w:pPr>
              <w:spacing w:line="360" w:lineRule="auto"/>
              <w:rPr>
                <w:rFonts w:ascii="宋体" w:hAnsi="宋体"/>
              </w:rPr>
            </w:pPr>
          </w:p>
        </w:tc>
        <w:tc>
          <w:tcPr>
            <w:tcW w:w="1984" w:type="dxa"/>
            <w:tcBorders>
              <w:top w:val="single" w:sz="6" w:space="0" w:color="auto"/>
              <w:left w:val="single" w:sz="6" w:space="0" w:color="auto"/>
              <w:bottom w:val="single" w:sz="6" w:space="0" w:color="auto"/>
              <w:right w:val="single" w:sz="6" w:space="0" w:color="auto"/>
            </w:tcBorders>
          </w:tcPr>
          <w:p w14:paraId="080D87FF">
            <w:pPr>
              <w:spacing w:line="360" w:lineRule="auto"/>
              <w:rPr>
                <w:rFonts w:ascii="宋体" w:hAnsi="宋体"/>
              </w:rPr>
            </w:pPr>
          </w:p>
        </w:tc>
        <w:tc>
          <w:tcPr>
            <w:tcW w:w="4678" w:type="dxa"/>
            <w:tcBorders>
              <w:top w:val="single" w:sz="6" w:space="0" w:color="auto"/>
              <w:left w:val="single" w:sz="6" w:space="0" w:color="auto"/>
              <w:bottom w:val="single" w:sz="6" w:space="0" w:color="auto"/>
              <w:right w:val="single" w:sz="6" w:space="0" w:color="auto"/>
            </w:tcBorders>
          </w:tcPr>
          <w:p w14:paraId="4F33A038">
            <w:pPr>
              <w:spacing w:line="360" w:lineRule="auto"/>
              <w:rPr>
                <w:rFonts w:ascii="宋体" w:hAnsi="宋体"/>
              </w:rPr>
            </w:pPr>
          </w:p>
        </w:tc>
        <w:tc>
          <w:tcPr>
            <w:tcW w:w="1276" w:type="dxa"/>
            <w:tcBorders>
              <w:top w:val="single" w:sz="6" w:space="0" w:color="auto"/>
              <w:left w:val="single" w:sz="6" w:space="0" w:color="auto"/>
              <w:bottom w:val="single" w:sz="6" w:space="0" w:color="auto"/>
              <w:right w:val="single" w:sz="12" w:space="0" w:color="auto"/>
            </w:tcBorders>
          </w:tcPr>
          <w:p w14:paraId="19FB9222">
            <w:pPr>
              <w:spacing w:line="360" w:lineRule="auto"/>
              <w:rPr>
                <w:rFonts w:ascii="宋体" w:hAnsi="宋体"/>
              </w:rPr>
            </w:pPr>
          </w:p>
        </w:tc>
      </w:tr>
      <w:tr w14:paraId="61E771D4">
        <w:tblPrEx>
          <w:tblW w:w="0" w:type="auto"/>
          <w:tblInd w:w="0" w:type="dxa"/>
          <w:tblLayout w:type="fixed"/>
          <w:tblCellMar>
            <w:top w:w="0" w:type="dxa"/>
            <w:left w:w="28" w:type="dxa"/>
            <w:bottom w:w="0" w:type="dxa"/>
            <w:right w:w="28" w:type="dxa"/>
          </w:tblCellMar>
        </w:tblPrEx>
        <w:tc>
          <w:tcPr>
            <w:tcW w:w="8817" w:type="dxa"/>
            <w:gridSpan w:val="4"/>
            <w:tcBorders>
              <w:top w:val="single" w:sz="6" w:space="0" w:color="auto"/>
              <w:left w:val="single" w:sz="12" w:space="0" w:color="auto"/>
              <w:bottom w:val="single" w:sz="12" w:space="0" w:color="auto"/>
              <w:right w:val="single" w:sz="12" w:space="0" w:color="auto"/>
            </w:tcBorders>
          </w:tcPr>
          <w:p w14:paraId="420A9124">
            <w:pPr>
              <w:spacing w:line="360" w:lineRule="auto"/>
              <w:rPr>
                <w:rFonts w:ascii="宋体" w:hAnsi="宋体"/>
              </w:rPr>
            </w:pPr>
            <w:r>
              <w:rPr>
                <w:rFonts w:ascii="宋体" w:hAnsi="宋体" w:hint="eastAsia"/>
              </w:rPr>
              <w:t>小计：</w:t>
            </w:r>
          </w:p>
        </w:tc>
      </w:tr>
    </w:tbl>
    <w:p w14:paraId="3ED5B5A3">
      <w:pPr>
        <w:spacing w:line="36" w:lineRule="auto"/>
        <w:rPr>
          <w:rFonts w:ascii="宋体" w:hAnsi="宋体"/>
          <w:kern w:val="2"/>
          <w:sz w:val="27"/>
          <w:szCs w:val="22"/>
        </w:rPr>
      </w:pPr>
      <w:r>
        <w:rPr>
          <w:rFonts w:ascii="宋体" w:hAnsi="宋体" w:hint="eastAsia"/>
          <w:sz w:val="27"/>
        </w:rPr>
        <w:br w:type="page"/>
      </w:r>
    </w:p>
    <w:p w14:paraId="600A34FB">
      <w:pPr>
        <w:spacing w:line="36" w:lineRule="auto"/>
        <w:rPr>
          <w:rFonts w:ascii="宋体" w:hAnsi="宋体"/>
          <w:sz w:val="32"/>
          <w:szCs w:val="32"/>
        </w:rPr>
      </w:pPr>
      <w:r>
        <w:rPr>
          <w:rFonts w:ascii="MS Gothic" w:eastAsia="MS Gothic" w:hAnsi="MS Gothic" w:hint="eastAsia"/>
          <w:sz w:val="32"/>
          <w:szCs w:val="32"/>
        </w:rPr>
        <w:t>☐</w:t>
      </w:r>
      <w:r>
        <w:rPr>
          <w:rFonts w:ascii="宋体" w:hAnsi="宋体" w:hint="eastAsia"/>
          <w:sz w:val="32"/>
          <w:szCs w:val="32"/>
        </w:rPr>
        <w:t>适用于园林绿化工程</w:t>
      </w:r>
    </w:p>
    <w:p w14:paraId="6AE53A96">
      <w:pPr>
        <w:spacing w:line="360" w:lineRule="auto"/>
        <w:rPr>
          <w:rFonts w:ascii="宋体" w:hAnsi="宋体" w:cs="宋体"/>
          <w:bCs/>
          <w:sz w:val="30"/>
          <w:szCs w:val="30"/>
        </w:rPr>
      </w:pPr>
      <w:r>
        <w:rPr>
          <w:rFonts w:ascii="宋体" w:hAnsi="宋体" w:cs="宋体" w:hint="eastAsia"/>
          <w:bCs/>
          <w:sz w:val="30"/>
          <w:szCs w:val="30"/>
        </w:rPr>
        <w:t>（GF—2020—2605）</w:t>
      </w:r>
    </w:p>
    <w:p w14:paraId="463F1F5E">
      <w:pPr>
        <w:spacing w:line="360" w:lineRule="auto"/>
        <w:rPr>
          <w:rFonts w:ascii="Calibri" w:eastAsia="仿宋_GB2312" w:hAnsi="Calibri"/>
          <w:bCs/>
          <w:color w:val="000000"/>
          <w:sz w:val="32"/>
          <w:szCs w:val="32"/>
        </w:rPr>
      </w:pPr>
    </w:p>
    <w:p w14:paraId="33178607">
      <w:pPr>
        <w:spacing w:line="360" w:lineRule="auto"/>
        <w:jc w:val="center"/>
        <w:rPr>
          <w:rFonts w:eastAsia="华文中宋"/>
          <w:b/>
          <w:color w:val="000000"/>
          <w:sz w:val="52"/>
          <w:szCs w:val="52"/>
        </w:rPr>
      </w:pPr>
      <w:r>
        <w:rPr>
          <w:rFonts w:ascii="宋体" w:hAnsi="宋体" w:cs="宋体" w:hint="eastAsia"/>
          <w:b/>
          <w:bCs/>
          <w:sz w:val="32"/>
          <w:szCs w:val="28"/>
        </w:rPr>
        <w:t xml:space="preserve">                         合同编号：</w:t>
      </w:r>
      <w:r>
        <w:rPr>
          <w:rFonts w:ascii="宋体" w:hAnsi="宋体" w:cs="宋体" w:hint="eastAsia"/>
          <w:b/>
          <w:bCs/>
          <w:color w:val="00B0F0"/>
          <w:sz w:val="32"/>
          <w:szCs w:val="28"/>
        </w:rPr>
        <w:t>____________</w:t>
      </w:r>
    </w:p>
    <w:p w14:paraId="5CDE5ED0">
      <w:pPr>
        <w:spacing w:line="360" w:lineRule="auto"/>
        <w:jc w:val="center"/>
        <w:rPr>
          <w:rFonts w:eastAsia="华文中宋"/>
          <w:b/>
          <w:color w:val="000000"/>
          <w:sz w:val="52"/>
          <w:szCs w:val="52"/>
        </w:rPr>
      </w:pPr>
    </w:p>
    <w:p w14:paraId="3917F583">
      <w:pPr>
        <w:spacing w:line="360" w:lineRule="auto"/>
        <w:jc w:val="center"/>
        <w:rPr>
          <w:rFonts w:ascii="华文中宋" w:eastAsia="华文中宋" w:hAnsi="华文中宋" w:cs="华文中宋"/>
          <w:b/>
          <w:sz w:val="52"/>
          <w:szCs w:val="52"/>
        </w:rPr>
      </w:pPr>
      <w:r>
        <w:rPr>
          <w:rFonts w:ascii="华文中宋" w:eastAsia="华文中宋" w:hAnsi="华文中宋" w:cs="华文中宋" w:hint="eastAsia"/>
          <w:b/>
          <w:sz w:val="52"/>
          <w:szCs w:val="52"/>
        </w:rPr>
        <w:t>园林绿化工程施工合同</w:t>
      </w:r>
    </w:p>
    <w:p w14:paraId="7040123F">
      <w:pPr>
        <w:spacing w:line="360" w:lineRule="auto"/>
        <w:jc w:val="center"/>
        <w:rPr>
          <w:rFonts w:ascii="华文中宋" w:eastAsia="华文中宋" w:hAnsi="华文中宋" w:cs="华文中宋"/>
          <w:b/>
          <w:sz w:val="52"/>
          <w:szCs w:val="52"/>
        </w:rPr>
      </w:pPr>
      <w:r>
        <w:rPr>
          <w:rFonts w:ascii="华文中宋" w:eastAsia="华文中宋" w:hAnsi="华文中宋" w:cs="华文中宋" w:hint="eastAsia"/>
          <w:b/>
          <w:sz w:val="52"/>
          <w:szCs w:val="52"/>
        </w:rPr>
        <w:t>示范文本（试行）</w:t>
      </w:r>
    </w:p>
    <w:p w14:paraId="703984C3">
      <w:pPr>
        <w:spacing w:line="360" w:lineRule="auto"/>
        <w:jc w:val="center"/>
        <w:rPr>
          <w:rFonts w:ascii="Calibri" w:eastAsia="华文中宋" w:hAnsi="Calibri"/>
          <w:b/>
          <w:color w:val="000000"/>
          <w:sz w:val="52"/>
          <w:szCs w:val="52"/>
        </w:rPr>
      </w:pPr>
    </w:p>
    <w:p w14:paraId="22408F0E">
      <w:pPr>
        <w:spacing w:line="360" w:lineRule="auto"/>
        <w:jc w:val="center"/>
        <w:rPr>
          <w:rFonts w:eastAsia="华文中宋"/>
          <w:b/>
          <w:color w:val="000000"/>
          <w:sz w:val="52"/>
          <w:szCs w:val="52"/>
        </w:rPr>
      </w:pPr>
    </w:p>
    <w:p w14:paraId="51400DCC">
      <w:pPr>
        <w:spacing w:line="360" w:lineRule="auto"/>
        <w:jc w:val="center"/>
        <w:rPr>
          <w:rFonts w:eastAsia="华文中宋"/>
          <w:b/>
          <w:color w:val="000000"/>
          <w:sz w:val="52"/>
          <w:szCs w:val="52"/>
        </w:rPr>
      </w:pPr>
    </w:p>
    <w:p w14:paraId="7AF32F82">
      <w:pPr>
        <w:rPr>
          <w:rFonts w:eastAsia="宋体"/>
          <w:b/>
          <w:bCs/>
          <w:sz w:val="32"/>
          <w:szCs w:val="22"/>
        </w:rPr>
      </w:pPr>
    </w:p>
    <w:p w14:paraId="76056463">
      <w:pPr>
        <w:rPr>
          <w:b/>
          <w:bCs/>
          <w:sz w:val="32"/>
        </w:rPr>
      </w:pPr>
    </w:p>
    <w:p w14:paraId="6E6ADC9F">
      <w:pPr>
        <w:ind w:firstLine="840" w:firstLineChars="400"/>
        <w:rPr>
          <w:b/>
          <w:bCs/>
          <w:sz w:val="32"/>
          <w:lang w:eastAsia="zh-CN"/>
        </w:rPr>
      </w:pPr>
      <w:r>
        <w:rPr>
          <w:sz w:val="21"/>
        </w:rPr>
        <mc:AlternateContent>
          <mc:Choice Requires="wps">
            <w:drawing>
              <wp:anchor distT="0" distB="0" distL="114300" distR="114300" simplePos="0" relativeHeight="251670528" behindDoc="0" locked="0" layoutInCell="1" allowOverlap="1">
                <wp:simplePos x="0" y="0"/>
                <wp:positionH relativeFrom="column">
                  <wp:posOffset>4341495</wp:posOffset>
                </wp:positionH>
                <wp:positionV relativeFrom="paragraph">
                  <wp:posOffset>194310</wp:posOffset>
                </wp:positionV>
                <wp:extent cx="723900" cy="457200"/>
                <wp:effectExtent l="8890" t="13970" r="10160" b="5080"/>
                <wp:wrapNone/>
                <wp:docPr id="10"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3900" cy="457200"/>
                        </a:xfrm>
                        <a:prstGeom prst="rect">
                          <a:avLst/>
                        </a:prstGeom>
                        <a:noFill/>
                        <a:ln w="9525">
                          <a:solidFill>
                            <a:srgbClr val="FFFFFF"/>
                          </a:solidFill>
                          <a:miter lim="800000"/>
                        </a:ln>
                      </wps:spPr>
                      <wps:txbx>
                        <w:txbxContent>
                          <w:p>
                            <w:pPr>
                              <w:rPr>
                                <w:b/>
                                <w:bCs/>
                                <w:sz w:val="32"/>
                              </w:rPr>
                            </w:pPr>
                            <w:r>
                              <w:rPr>
                                <w:rFonts w:hint="eastAsia"/>
                                <w:b/>
                                <w:bCs/>
                                <w:sz w:val="32"/>
                              </w:rPr>
                              <w:t>制定</w:t>
                            </w:r>
                          </w:p>
                        </w:txbxContent>
                      </wps:txbx>
                      <wps:bodyPr rot="0" vert="horz" wrap="square" anchor="t" anchorCtr="0" upright="1"/>
                    </wps:wsp>
                  </a:graphicData>
                </a:graphic>
              </wp:anchor>
            </w:drawing>
          </mc:Choice>
          <mc:Fallback>
            <w:pict>
              <v:shape id="文本框 5" o:spid="_x0000_s1031" type="#_x0000_t202" style="width:57pt;height:36pt;margin-top:15.3pt;margin-left:341.85pt;mso-height-relative:page;mso-width-relative:page;position:absolute;z-index:251671552" coordsize="21600,21600" filled="f" stroked="t" strokecolor="white">
                <v:stroke joinstyle="miter"/>
                <o:lock v:ext="edit" aspectratio="f"/>
                <v:textbox>
                  <w:txbxContent>
                    <w:p w14:paraId="318BCC10">
                      <w:pPr>
                        <w:rPr>
                          <w:b/>
                          <w:bCs/>
                          <w:sz w:val="32"/>
                        </w:rPr>
                      </w:pPr>
                      <w:permStart w:id="1123" w:edGrp="everyone"/>
                      <w:r>
                        <w:rPr>
                          <w:rFonts w:hint="eastAsia"/>
                          <w:b/>
                          <w:bCs/>
                          <w:sz w:val="32"/>
                        </w:rPr>
                        <w:t>制定</w:t>
                      </w:r>
                      <w:permEnd w:id="1123"/>
                    </w:p>
                  </w:txbxContent>
                </v:textbox>
              </v:shape>
            </w:pict>
          </mc:Fallback>
        </mc:AlternateContent>
      </w:r>
      <w:r>
        <w:rPr>
          <w:rFonts w:hint="eastAsia"/>
          <w:b/>
          <w:bCs/>
          <w:sz w:val="32"/>
          <w:lang w:eastAsia="zh-CN"/>
        </w:rPr>
        <w:t>中华人民共和国住房和城乡建设部</w:t>
      </w:r>
    </w:p>
    <w:p w14:paraId="2896D634">
      <w:pPr>
        <w:spacing w:line="360" w:lineRule="auto"/>
        <w:ind w:firstLine="1920" w:firstLineChars="600"/>
        <w:rPr>
          <w:b/>
          <w:color w:val="000000"/>
          <w:sz w:val="28"/>
          <w:szCs w:val="28"/>
          <w:lang w:eastAsia="zh-CN"/>
        </w:rPr>
      </w:pPr>
      <w:r>
        <w:rPr>
          <w:rFonts w:hint="eastAsia"/>
          <w:b/>
          <w:bCs/>
          <w:sz w:val="32"/>
          <w:lang w:eastAsia="zh-CN"/>
        </w:rPr>
        <w:t>国家市场监督管理总局</w:t>
      </w:r>
    </w:p>
    <w:p w14:paraId="716AEB9E">
      <w:pPr>
        <w:spacing w:line="360" w:lineRule="auto"/>
        <w:rPr>
          <w:b/>
          <w:color w:val="000000"/>
          <w:sz w:val="28"/>
          <w:szCs w:val="28"/>
          <w:lang w:eastAsia="zh-CN"/>
        </w:rPr>
      </w:pPr>
    </w:p>
    <w:p w14:paraId="5BC3C1DD">
      <w:pPr>
        <w:spacing w:line="360" w:lineRule="auto"/>
        <w:ind w:right="3108" w:firstLine="4173" w:rightChars="1295" w:firstLineChars="1304"/>
        <w:jc w:val="distribute"/>
        <w:rPr>
          <w:b/>
          <w:color w:val="000000"/>
          <w:sz w:val="32"/>
          <w:szCs w:val="28"/>
          <w:lang w:eastAsia="zh-CN"/>
        </w:rPr>
      </w:pPr>
    </w:p>
    <w:p w14:paraId="0E79D75F">
      <w:pPr>
        <w:rPr>
          <w:rFonts w:ascii="华文中宋" w:eastAsia="华文中宋" w:hAnsi="华文中宋"/>
          <w:b/>
          <w:sz w:val="44"/>
          <w:szCs w:val="44"/>
          <w:lang w:eastAsia="zh-CN"/>
        </w:rPr>
        <w:sectPr>
          <w:type w:val="continuous"/>
          <w:pgSz w:w="11906" w:h="16838"/>
          <w:pgMar w:top="2098" w:right="1757" w:bottom="1984" w:left="1757" w:header="851" w:footer="992" w:gutter="0"/>
          <w:pgNumType w:start="0"/>
          <w:cols w:num="1" w:space="720"/>
          <w:docGrid w:type="lines" w:linePitch="312" w:charSpace="0"/>
        </w:sectPr>
      </w:pPr>
    </w:p>
    <w:p w14:paraId="10E2E27E">
      <w:pPr>
        <w:pStyle w:val="Heading1"/>
        <w:spacing w:before="260" w:after="260" w:line="360" w:lineRule="auto"/>
        <w:ind w:left="-240" w:right="-240" w:leftChars="-100" w:rightChars="-100"/>
        <w:jc w:val="center"/>
        <w:rPr>
          <w:rFonts w:ascii="宋体" w:hAnsi="宋体" w:cs="宋体"/>
          <w:b w:val="0"/>
          <w:color w:val="000000"/>
          <w:sz w:val="24"/>
          <w:szCs w:val="24"/>
        </w:rPr>
      </w:pPr>
      <w:bookmarkStart w:id="1124" w:name="_Toc296890982"/>
      <w:bookmarkEnd w:id="1124"/>
      <w:bookmarkStart w:id="1125" w:name="_Toc296503025"/>
      <w:bookmarkEnd w:id="1125"/>
      <w:r>
        <w:rPr>
          <w:rFonts w:ascii="宋体" w:hAnsi="宋体" w:cs="宋体" w:hint="eastAsia"/>
          <w:bCs w:val="0"/>
          <w:color w:val="000000"/>
          <w:sz w:val="32"/>
          <w:szCs w:val="32"/>
        </w:rPr>
        <w:t xml:space="preserve"> </w:t>
      </w:r>
      <w:bookmarkStart w:id="1126" w:name="_Toc509499434"/>
      <w:bookmarkStart w:id="1127" w:name="_Toc2143857470"/>
      <w:bookmarkStart w:id="1128" w:name="_Toc2128344692"/>
      <w:r>
        <w:rPr>
          <w:rFonts w:ascii="宋体" w:hAnsi="宋体" w:cs="宋体" w:hint="eastAsia"/>
          <w:bCs w:val="0"/>
          <w:color w:val="000000"/>
          <w:sz w:val="32"/>
          <w:szCs w:val="32"/>
        </w:rPr>
        <w:t>第一部分 合同协议书</w:t>
      </w:r>
      <w:bookmarkEnd w:id="1126"/>
      <w:bookmarkEnd w:id="1127"/>
      <w:bookmarkEnd w:id="1128"/>
    </w:p>
    <w:p w14:paraId="5A393952">
      <w:pPr>
        <w:spacing w:line="360" w:lineRule="auto"/>
        <w:ind w:left="-240" w:right="-240" w:leftChars="-100" w:rightChars="-100"/>
        <w:rPr>
          <w:rFonts w:ascii="宋体" w:hAnsi="宋体" w:cs="宋体"/>
          <w:bCs/>
          <w:color w:val="000000"/>
          <w:u w:val="single"/>
          <w:lang w:eastAsia="zh-CN"/>
        </w:rPr>
      </w:pPr>
      <w:r>
        <w:rPr>
          <w:rFonts w:ascii="宋体" w:hAnsi="宋体" w:cs="宋体" w:hint="eastAsia"/>
          <w:b/>
          <w:color w:val="000000"/>
          <w:lang w:eastAsia="zh-CN"/>
        </w:rPr>
        <w:t>发包人（全称）：</w:t>
      </w:r>
      <w:r>
        <w:rPr>
          <w:rFonts w:ascii="宋体" w:hAnsi="宋体" w:cs="宋体" w:hint="eastAsia"/>
          <w:bCs/>
          <w:color w:val="00B0F0"/>
          <w:u w:val="single"/>
          <w:lang w:eastAsia="zh-CN"/>
        </w:rPr>
        <w:t xml:space="preserve">                                           </w:t>
      </w:r>
    </w:p>
    <w:p w14:paraId="1551C888">
      <w:pPr>
        <w:spacing w:line="360" w:lineRule="auto"/>
        <w:ind w:left="-240" w:right="-240" w:leftChars="-100" w:rightChars="-100"/>
        <w:rPr>
          <w:rFonts w:ascii="宋体" w:hAnsi="宋体" w:cs="宋体"/>
          <w:bCs/>
          <w:color w:val="000000"/>
          <w:u w:val="single"/>
          <w:lang w:eastAsia="zh-CN"/>
        </w:rPr>
      </w:pPr>
      <w:r>
        <w:rPr>
          <w:rFonts w:ascii="宋体" w:hAnsi="宋体" w:cs="宋体" w:hint="eastAsia"/>
          <w:b/>
          <w:color w:val="000000"/>
          <w:lang w:eastAsia="zh-CN"/>
        </w:rPr>
        <w:t>承包人（全称）：</w:t>
      </w:r>
      <w:r>
        <w:rPr>
          <w:rFonts w:ascii="宋体" w:hAnsi="宋体" w:cs="宋体" w:hint="eastAsia"/>
          <w:bCs/>
          <w:color w:val="00B0F0"/>
          <w:u w:val="single"/>
          <w:lang w:eastAsia="zh-CN"/>
        </w:rPr>
        <w:t xml:space="preserve">                                           </w:t>
      </w:r>
    </w:p>
    <w:p w14:paraId="674CB984">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根据《中华人民共和国民法典》《中华人民共和国建筑法》及有关法律规定，遵循平等、自愿、公平和诚实信用的原则，双方就</w:t>
      </w:r>
      <w:r>
        <w:rPr>
          <w:rFonts w:ascii="宋体" w:hAnsi="宋体" w:cs="宋体" w:hint="eastAsia"/>
          <w:bCs/>
          <w:color w:val="00B0F0"/>
          <w:u w:val="single"/>
          <w:lang w:eastAsia="zh-CN"/>
        </w:rPr>
        <w:t xml:space="preserve">                    </w:t>
      </w:r>
      <w:r>
        <w:rPr>
          <w:rFonts w:ascii="宋体" w:hAnsi="宋体" w:cs="宋体" w:hint="eastAsia"/>
          <w:bCs/>
          <w:color w:val="000000"/>
          <w:lang w:eastAsia="zh-CN"/>
        </w:rPr>
        <w:t>工程施工及有关事项协商一致，共同达成如下协议：</w:t>
      </w:r>
    </w:p>
    <w:p w14:paraId="2FD70D95">
      <w:pPr>
        <w:pStyle w:val="Heading2"/>
        <w:spacing w:before="0" w:after="0"/>
        <w:ind w:left="-240" w:right="-240" w:leftChars="-100" w:rightChars="-100"/>
        <w:rPr>
          <w:rFonts w:ascii="宋体" w:hAnsi="宋体" w:cs="宋体"/>
          <w:b w:val="0"/>
          <w:color w:val="000000"/>
          <w:sz w:val="24"/>
          <w:szCs w:val="24"/>
        </w:rPr>
      </w:pPr>
      <w:r>
        <w:rPr>
          <w:rFonts w:ascii="宋体" w:hAnsi="宋体" w:cs="宋体" w:hint="eastAsia"/>
          <w:b w:val="0"/>
          <w:color w:val="000000"/>
          <w:sz w:val="24"/>
          <w:szCs w:val="24"/>
        </w:rPr>
        <w:t xml:space="preserve">    </w:t>
      </w:r>
      <w:bookmarkStart w:id="1129" w:name="_Toc445784615"/>
      <w:bookmarkStart w:id="1130" w:name="_Toc1433341455"/>
      <w:r>
        <w:rPr>
          <w:rFonts w:ascii="宋体" w:hAnsi="宋体" w:cs="宋体" w:hint="eastAsia"/>
          <w:b w:val="0"/>
          <w:color w:val="000000"/>
          <w:sz w:val="24"/>
          <w:szCs w:val="24"/>
        </w:rPr>
        <w:t>一、工程概况</w:t>
      </w:r>
      <w:bookmarkEnd w:id="1129"/>
      <w:bookmarkEnd w:id="1130"/>
    </w:p>
    <w:p w14:paraId="41DCE67F">
      <w:pPr>
        <w:spacing w:line="360" w:lineRule="auto"/>
        <w:ind w:left="-240" w:right="-240" w:firstLine="470" w:leftChars="-100" w:rightChars="-100" w:firstLineChars="196"/>
        <w:rPr>
          <w:rFonts w:ascii="宋体" w:hAnsi="宋体" w:cs="宋体"/>
          <w:bCs/>
          <w:color w:val="000000"/>
          <w:u w:val="single"/>
          <w:lang w:eastAsia="zh-CN"/>
        </w:rPr>
      </w:pPr>
      <w:r>
        <w:rPr>
          <w:rFonts w:ascii="宋体" w:hAnsi="宋体" w:cs="宋体" w:hint="eastAsia"/>
          <w:bCs/>
          <w:color w:val="000000"/>
          <w:lang w:eastAsia="zh-CN"/>
        </w:rPr>
        <w:t>1.工程名称：</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p>
    <w:p w14:paraId="328CFAAC">
      <w:pPr>
        <w:spacing w:line="360" w:lineRule="auto"/>
        <w:ind w:left="-240" w:right="-240" w:firstLine="470" w:leftChars="-100" w:rightChars="-100" w:firstLineChars="196"/>
        <w:rPr>
          <w:rFonts w:ascii="宋体" w:hAnsi="宋体" w:cs="宋体"/>
          <w:bCs/>
          <w:color w:val="000000"/>
          <w:lang w:eastAsia="zh-CN"/>
        </w:rPr>
      </w:pPr>
      <w:r>
        <w:rPr>
          <w:rFonts w:ascii="宋体" w:hAnsi="宋体" w:cs="宋体" w:hint="eastAsia"/>
          <w:bCs/>
          <w:color w:val="000000"/>
          <w:lang w:eastAsia="zh-CN"/>
        </w:rPr>
        <w:t>2.工程地点：</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p>
    <w:p w14:paraId="48355ACB">
      <w:pPr>
        <w:spacing w:line="360" w:lineRule="auto"/>
        <w:ind w:left="-240" w:right="-240" w:firstLine="470" w:leftChars="-100" w:rightChars="-100" w:firstLineChars="196"/>
        <w:rPr>
          <w:rFonts w:ascii="宋体" w:hAnsi="宋体" w:cs="宋体"/>
          <w:bCs/>
          <w:color w:val="000000"/>
          <w:lang w:eastAsia="zh-CN"/>
        </w:rPr>
      </w:pPr>
      <w:r>
        <w:rPr>
          <w:rFonts w:ascii="宋体" w:hAnsi="宋体" w:cs="宋体" w:hint="eastAsia"/>
          <w:bCs/>
          <w:color w:val="000000"/>
          <w:lang w:eastAsia="zh-CN"/>
        </w:rPr>
        <w:t>3.工程立项批准文号：</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p>
    <w:p w14:paraId="420A3BE9">
      <w:pPr>
        <w:spacing w:line="360" w:lineRule="auto"/>
        <w:ind w:left="-240" w:right="-240" w:firstLine="470" w:leftChars="-100" w:rightChars="-100" w:firstLineChars="196"/>
        <w:rPr>
          <w:rFonts w:ascii="宋体" w:hAnsi="宋体" w:cs="宋体"/>
          <w:bCs/>
          <w:color w:val="000000"/>
          <w:lang w:eastAsia="zh-CN"/>
        </w:rPr>
      </w:pPr>
      <w:r>
        <w:rPr>
          <w:rFonts w:ascii="宋体" w:hAnsi="宋体" w:cs="宋体" w:hint="eastAsia"/>
          <w:bCs/>
          <w:color w:val="000000"/>
          <w:lang w:eastAsia="zh-CN"/>
        </w:rPr>
        <w:t>4.资金来源：</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p>
    <w:p w14:paraId="36E21E82">
      <w:pPr>
        <w:spacing w:line="360" w:lineRule="auto"/>
        <w:ind w:left="-240" w:right="-240" w:firstLine="470" w:leftChars="-100" w:rightChars="-100" w:firstLineChars="196"/>
        <w:rPr>
          <w:rFonts w:ascii="宋体" w:hAnsi="宋体" w:cs="宋体"/>
          <w:bCs/>
          <w:color w:val="000000"/>
          <w:lang w:eastAsia="zh-CN"/>
        </w:rPr>
      </w:pPr>
      <w:r>
        <w:rPr>
          <w:rFonts w:ascii="宋体" w:hAnsi="宋体" w:cs="宋体" w:hint="eastAsia"/>
          <w:bCs/>
          <w:color w:val="000000"/>
          <w:lang w:eastAsia="zh-CN"/>
        </w:rPr>
        <w:t>5.工程规模：</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p>
    <w:p w14:paraId="507E9B90">
      <w:pPr>
        <w:spacing w:line="360" w:lineRule="auto"/>
        <w:ind w:left="-240" w:right="-240" w:firstLine="470" w:leftChars="-100" w:rightChars="-100" w:firstLineChars="196"/>
        <w:rPr>
          <w:rFonts w:ascii="宋体" w:hAnsi="宋体" w:cs="宋体"/>
          <w:bCs/>
          <w:color w:val="000000"/>
          <w:lang w:eastAsia="zh-CN"/>
        </w:rPr>
      </w:pPr>
      <w:r>
        <w:rPr>
          <w:rFonts w:ascii="宋体" w:hAnsi="宋体" w:cs="宋体" w:hint="eastAsia"/>
          <w:bCs/>
          <w:color w:val="000000"/>
          <w:lang w:eastAsia="zh-CN"/>
        </w:rPr>
        <w:t>群体工程应附《承包人承揽工程项目一览表》（附件1）。</w:t>
      </w:r>
    </w:p>
    <w:p w14:paraId="19C545B1">
      <w:pPr>
        <w:spacing w:line="360" w:lineRule="auto"/>
        <w:ind w:left="-240" w:right="-240" w:firstLine="470" w:leftChars="-100" w:rightChars="-100" w:firstLineChars="196"/>
        <w:rPr>
          <w:rFonts w:ascii="宋体" w:hAnsi="宋体" w:cs="宋体"/>
          <w:bCs/>
          <w:color w:val="000000"/>
          <w:lang w:eastAsia="zh-CN"/>
        </w:rPr>
      </w:pPr>
      <w:r>
        <w:rPr>
          <w:rFonts w:ascii="宋体" w:hAnsi="宋体" w:cs="宋体" w:hint="eastAsia"/>
          <w:bCs/>
          <w:color w:val="000000"/>
          <w:lang w:eastAsia="zh-CN"/>
        </w:rPr>
        <w:t>6.工程承包范围：</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p>
    <w:p w14:paraId="2E1D168C">
      <w:pPr>
        <w:pStyle w:val="Heading2"/>
        <w:spacing w:before="0" w:after="0"/>
        <w:ind w:left="-240" w:right="-240" w:firstLine="480" w:leftChars="-100" w:rightChars="-100" w:firstLineChars="200"/>
        <w:rPr>
          <w:rFonts w:ascii="宋体" w:hAnsi="宋体" w:cs="宋体"/>
          <w:b w:val="0"/>
          <w:color w:val="000000"/>
          <w:sz w:val="24"/>
          <w:szCs w:val="24"/>
        </w:rPr>
      </w:pPr>
      <w:bookmarkStart w:id="1131" w:name="_Toc1515347488"/>
      <w:bookmarkStart w:id="1132" w:name="_Toc712002224"/>
      <w:r>
        <w:rPr>
          <w:rFonts w:ascii="宋体" w:hAnsi="宋体" w:cs="宋体" w:hint="eastAsia"/>
          <w:b w:val="0"/>
          <w:color w:val="000000"/>
          <w:sz w:val="24"/>
          <w:szCs w:val="24"/>
        </w:rPr>
        <w:t>二、合同工期</w:t>
      </w:r>
      <w:bookmarkEnd w:id="1131"/>
      <w:bookmarkEnd w:id="1132"/>
    </w:p>
    <w:p w14:paraId="4D452DF2">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计划开工日期：</w:t>
      </w:r>
      <w:r>
        <w:rPr>
          <w:rFonts w:ascii="宋体" w:hAnsi="宋体" w:cs="宋体" w:hint="eastAsia"/>
          <w:bCs/>
          <w:color w:val="00B0F0"/>
          <w:u w:val="single"/>
          <w:lang w:eastAsia="zh-CN"/>
        </w:rPr>
        <w:t xml:space="preserve">        </w:t>
      </w:r>
      <w:r>
        <w:rPr>
          <w:rFonts w:ascii="宋体" w:hAnsi="宋体" w:cs="宋体" w:hint="eastAsia"/>
          <w:bCs/>
          <w:color w:val="000000"/>
          <w:lang w:eastAsia="zh-CN"/>
        </w:rPr>
        <w:t>年</w:t>
      </w:r>
      <w:r>
        <w:rPr>
          <w:rFonts w:ascii="宋体" w:hAnsi="宋体" w:cs="宋体" w:hint="eastAsia"/>
          <w:bCs/>
          <w:color w:val="00B0F0"/>
          <w:u w:val="single"/>
          <w:lang w:eastAsia="zh-CN"/>
        </w:rPr>
        <w:t xml:space="preserve">    </w:t>
      </w:r>
      <w:r>
        <w:rPr>
          <w:rFonts w:ascii="宋体" w:hAnsi="宋体" w:cs="宋体" w:hint="eastAsia"/>
          <w:bCs/>
          <w:color w:val="000000"/>
          <w:lang w:eastAsia="zh-CN"/>
        </w:rPr>
        <w:t>月</w:t>
      </w:r>
      <w:r>
        <w:rPr>
          <w:rFonts w:ascii="宋体" w:hAnsi="宋体" w:cs="宋体" w:hint="eastAsia"/>
          <w:bCs/>
          <w:color w:val="00B0F0"/>
          <w:u w:val="single"/>
          <w:lang w:eastAsia="zh-CN"/>
        </w:rPr>
        <w:t xml:space="preserve">    </w:t>
      </w:r>
      <w:r>
        <w:rPr>
          <w:rFonts w:ascii="宋体" w:hAnsi="宋体" w:cs="宋体" w:hint="eastAsia"/>
          <w:bCs/>
          <w:color w:val="000000"/>
          <w:lang w:eastAsia="zh-CN"/>
        </w:rPr>
        <w:t>日。</w:t>
      </w:r>
    </w:p>
    <w:p w14:paraId="0239F440">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计划竣工日期：</w:t>
      </w:r>
      <w:r>
        <w:rPr>
          <w:rFonts w:ascii="宋体" w:hAnsi="宋体" w:cs="宋体" w:hint="eastAsia"/>
          <w:bCs/>
          <w:color w:val="00B0F0"/>
          <w:u w:val="single"/>
          <w:lang w:eastAsia="zh-CN"/>
        </w:rPr>
        <w:t xml:space="preserve">        </w:t>
      </w:r>
      <w:r>
        <w:rPr>
          <w:rFonts w:ascii="宋体" w:hAnsi="宋体" w:cs="宋体" w:hint="eastAsia"/>
          <w:bCs/>
          <w:color w:val="000000"/>
          <w:lang w:eastAsia="zh-CN"/>
        </w:rPr>
        <w:t>年</w:t>
      </w:r>
      <w:r>
        <w:rPr>
          <w:rFonts w:ascii="宋体" w:hAnsi="宋体" w:cs="宋体" w:hint="eastAsia"/>
          <w:bCs/>
          <w:color w:val="00B0F0"/>
          <w:u w:val="single"/>
          <w:lang w:eastAsia="zh-CN"/>
        </w:rPr>
        <w:t xml:space="preserve">    </w:t>
      </w:r>
      <w:r>
        <w:rPr>
          <w:rFonts w:ascii="宋体" w:hAnsi="宋体" w:cs="宋体" w:hint="eastAsia"/>
          <w:bCs/>
          <w:color w:val="000000"/>
          <w:lang w:eastAsia="zh-CN"/>
        </w:rPr>
        <w:t>月</w:t>
      </w:r>
      <w:r>
        <w:rPr>
          <w:rFonts w:ascii="宋体" w:hAnsi="宋体" w:cs="宋体" w:hint="eastAsia"/>
          <w:bCs/>
          <w:color w:val="00B0F0"/>
          <w:u w:val="single"/>
          <w:lang w:eastAsia="zh-CN"/>
        </w:rPr>
        <w:t xml:space="preserve">    </w:t>
      </w:r>
      <w:r>
        <w:rPr>
          <w:rFonts w:ascii="宋体" w:hAnsi="宋体" w:cs="宋体" w:hint="eastAsia"/>
          <w:bCs/>
          <w:color w:val="000000"/>
          <w:lang w:eastAsia="zh-CN"/>
        </w:rPr>
        <w:t>日。</w:t>
      </w:r>
    </w:p>
    <w:p w14:paraId="1216AE82">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工期总日历天数：</w:t>
      </w:r>
      <w:r>
        <w:rPr>
          <w:rFonts w:ascii="宋体" w:hAnsi="宋体" w:cs="宋体" w:hint="eastAsia"/>
          <w:bCs/>
          <w:color w:val="00B0F0"/>
          <w:u w:val="single"/>
          <w:lang w:eastAsia="zh-CN"/>
        </w:rPr>
        <w:t xml:space="preserve">      </w:t>
      </w:r>
      <w:r>
        <w:rPr>
          <w:rFonts w:ascii="宋体" w:hAnsi="宋体" w:cs="宋体" w:hint="eastAsia"/>
          <w:bCs/>
          <w:color w:val="000000"/>
          <w:lang w:eastAsia="zh-CN"/>
        </w:rPr>
        <w:t>天，阶段性工期：</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p>
    <w:p w14:paraId="61B5DD22">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工期总日历天数与根据前述计划开竣工日期计算的工期天数不一致的，以工期总日历天数为准。</w:t>
      </w:r>
    </w:p>
    <w:p w14:paraId="15F682EB">
      <w:pPr>
        <w:pStyle w:val="Heading2"/>
        <w:spacing w:before="0" w:after="0"/>
        <w:ind w:left="-240" w:right="-240" w:firstLine="480" w:leftChars="-100" w:rightChars="-100" w:firstLineChars="200"/>
        <w:rPr>
          <w:rFonts w:ascii="宋体" w:hAnsi="宋体" w:cs="宋体"/>
          <w:b w:val="0"/>
          <w:color w:val="000000"/>
          <w:sz w:val="24"/>
          <w:szCs w:val="24"/>
        </w:rPr>
      </w:pPr>
      <w:bookmarkStart w:id="1133" w:name="_Toc385210886"/>
      <w:bookmarkStart w:id="1134" w:name="_Toc1520902222"/>
      <w:r>
        <w:rPr>
          <w:rFonts w:ascii="宋体" w:hAnsi="宋体" w:cs="宋体" w:hint="eastAsia"/>
          <w:b w:val="0"/>
          <w:color w:val="000000"/>
          <w:sz w:val="24"/>
          <w:szCs w:val="24"/>
        </w:rPr>
        <w:t>三、质量标准</w:t>
      </w:r>
      <w:bookmarkEnd w:id="1133"/>
      <w:bookmarkEnd w:id="1134"/>
    </w:p>
    <w:p w14:paraId="6D50E524">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工程质量符合</w:t>
      </w:r>
      <w:r>
        <w:rPr>
          <w:rFonts w:ascii="宋体" w:hAnsi="宋体" w:cs="宋体" w:hint="eastAsia"/>
          <w:bCs/>
          <w:color w:val="00B0F0"/>
          <w:u w:val="single"/>
          <w:lang w:eastAsia="zh-CN"/>
        </w:rPr>
        <w:t xml:space="preserve">                                   </w:t>
      </w:r>
      <w:r>
        <w:rPr>
          <w:rFonts w:ascii="宋体" w:hAnsi="宋体" w:cs="宋体" w:hint="eastAsia"/>
          <w:bCs/>
          <w:color w:val="000000"/>
          <w:lang w:eastAsia="zh-CN"/>
        </w:rPr>
        <w:t>标准；</w:t>
      </w:r>
    </w:p>
    <w:p w14:paraId="24640A23">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园林绿化养护质量符合</w:t>
      </w:r>
      <w:r>
        <w:rPr>
          <w:rFonts w:ascii="MS Gothic" w:eastAsia="MS Gothic" w:hAnsi="MS Gothic" w:cs="宋体" w:hint="eastAsia"/>
          <w:bCs/>
          <w:color w:val="000000"/>
          <w:lang w:eastAsia="zh-CN"/>
        </w:rPr>
        <w:t>☐</w:t>
      </w:r>
      <w:r>
        <w:rPr>
          <w:rFonts w:ascii="宋体" w:hAnsi="宋体" w:cs="宋体" w:hint="eastAsia"/>
          <w:bCs/>
          <w:color w:val="000000"/>
          <w:lang w:eastAsia="zh-CN"/>
        </w:rPr>
        <w:t>《园林绿化养护标准》（CJJ/T287）或</w:t>
      </w:r>
      <w:r>
        <w:rPr>
          <w:rFonts w:ascii="MS Gothic" w:eastAsia="MS Gothic" w:hAnsi="MS Gothic" w:cs="宋体" w:hint="eastAsia"/>
          <w:bCs/>
          <w:color w:val="000000"/>
          <w:lang w:eastAsia="zh-CN"/>
        </w:rPr>
        <w:t>☐</w:t>
      </w:r>
      <w:r>
        <w:rPr>
          <w:rFonts w:ascii="宋体" w:hAnsi="宋体" w:cs="宋体" w:hint="eastAsia"/>
          <w:bCs/>
          <w:color w:val="000000"/>
          <w:u w:val="single"/>
          <w:lang w:eastAsia="zh-CN"/>
        </w:rPr>
        <w:t xml:space="preserve">                            </w:t>
      </w:r>
      <w:r>
        <w:rPr>
          <w:rFonts w:ascii="宋体" w:hAnsi="宋体" w:cs="宋体" w:hint="eastAsia"/>
          <w:bCs/>
          <w:color w:val="000000"/>
          <w:lang w:eastAsia="zh-CN"/>
        </w:rPr>
        <w:t>（地方标准）中</w:t>
      </w:r>
      <w:r>
        <w:rPr>
          <w:rFonts w:ascii="宋体" w:hAnsi="宋体" w:cs="宋体" w:hint="eastAsia"/>
          <w:bCs/>
          <w:color w:val="00B0F0"/>
          <w:u w:val="single"/>
          <w:lang w:eastAsia="zh-CN"/>
        </w:rPr>
        <w:t xml:space="preserve">     </w:t>
      </w:r>
      <w:r>
        <w:rPr>
          <w:rFonts w:ascii="宋体" w:hAnsi="宋体" w:cs="宋体" w:hint="eastAsia"/>
          <w:bCs/>
          <w:color w:val="000000"/>
          <w:lang w:eastAsia="zh-CN"/>
        </w:rPr>
        <w:t xml:space="preserve">级标准。  </w:t>
      </w:r>
    </w:p>
    <w:p w14:paraId="6CC54277">
      <w:pPr>
        <w:pStyle w:val="Heading2"/>
        <w:spacing w:before="0" w:after="0"/>
        <w:ind w:left="-240" w:right="-240" w:firstLine="480" w:leftChars="-100" w:rightChars="-100" w:firstLineChars="200"/>
        <w:rPr>
          <w:rFonts w:ascii="宋体" w:hAnsi="宋体" w:cs="宋体"/>
          <w:b w:val="0"/>
          <w:color w:val="000000"/>
          <w:sz w:val="24"/>
          <w:szCs w:val="24"/>
        </w:rPr>
      </w:pPr>
      <w:bookmarkStart w:id="1135" w:name="_Toc204832942"/>
      <w:bookmarkStart w:id="1136" w:name="_Toc1032760150"/>
      <w:r>
        <w:rPr>
          <w:rFonts w:ascii="宋体" w:hAnsi="宋体" w:cs="宋体" w:hint="eastAsia"/>
          <w:b w:val="0"/>
          <w:color w:val="000000"/>
          <w:sz w:val="24"/>
          <w:szCs w:val="24"/>
        </w:rPr>
        <w:t>四、签约合同价与合同价格形式</w:t>
      </w:r>
      <w:bookmarkEnd w:id="1135"/>
      <w:bookmarkEnd w:id="1136"/>
      <w:r>
        <w:rPr>
          <w:rFonts w:ascii="宋体" w:hAnsi="宋体" w:cs="宋体" w:hint="eastAsia"/>
          <w:b w:val="0"/>
          <w:color w:val="000000"/>
          <w:sz w:val="24"/>
          <w:szCs w:val="24"/>
        </w:rPr>
        <w:tab/>
      </w:r>
    </w:p>
    <w:p w14:paraId="0B88C330">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1.签约合同价（不含税）为：</w:t>
      </w:r>
    </w:p>
    <w:p w14:paraId="3F90895D">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人民币（大写）</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r>
        <w:rPr>
          <w:rFonts w:ascii="宋体" w:hAnsi="宋体" w:cs="宋体" w:hint="eastAsia"/>
          <w:bCs/>
          <w:color w:val="00B0F0"/>
          <w:u w:val="single"/>
          <w:lang w:eastAsia="zh-CN"/>
        </w:rPr>
        <w:t xml:space="preserve">        </w:t>
      </w:r>
      <w:r>
        <w:rPr>
          <w:rFonts w:ascii="宋体" w:hAnsi="宋体" w:cs="宋体" w:hint="eastAsia"/>
          <w:bCs/>
          <w:color w:val="000000"/>
          <w:lang w:eastAsia="zh-CN"/>
        </w:rPr>
        <w:t>元)；税率：</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p>
    <w:p w14:paraId="5356465B">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含税金额：人民币（大写）</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r>
        <w:rPr>
          <w:rFonts w:ascii="宋体" w:hAnsi="宋体" w:cs="宋体" w:hint="eastAsia"/>
          <w:bCs/>
          <w:color w:val="00B0F0"/>
          <w:u w:val="single"/>
          <w:lang w:eastAsia="zh-CN"/>
        </w:rPr>
        <w:t xml:space="preserve">        </w:t>
      </w:r>
      <w:r>
        <w:rPr>
          <w:rFonts w:ascii="宋体" w:hAnsi="宋体" w:cs="宋体" w:hint="eastAsia"/>
          <w:bCs/>
          <w:color w:val="000000"/>
          <w:lang w:eastAsia="zh-CN"/>
        </w:rPr>
        <w:t>元)。</w:t>
      </w:r>
    </w:p>
    <w:p w14:paraId="0799104B">
      <w:pPr>
        <w:spacing w:line="360" w:lineRule="auto"/>
        <w:ind w:left="-240" w:right="-240" w:leftChars="-100" w:rightChars="-100"/>
        <w:rPr>
          <w:rFonts w:ascii="宋体" w:hAnsi="宋体" w:cs="宋体"/>
          <w:bCs/>
          <w:color w:val="000000"/>
          <w:lang w:eastAsia="zh-CN"/>
        </w:rPr>
      </w:pPr>
      <w:r>
        <w:rPr>
          <w:rFonts w:ascii="宋体" w:hAnsi="宋体" w:cs="宋体" w:hint="eastAsia"/>
          <w:bCs/>
          <w:color w:val="000000"/>
          <w:lang w:eastAsia="zh-CN"/>
        </w:rPr>
        <w:t>其中：</w:t>
      </w:r>
    </w:p>
    <w:p w14:paraId="1C55D6E4">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（1）安全文明施工费（含税）：</w:t>
      </w:r>
    </w:p>
    <w:p w14:paraId="00469BB0">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人民币（大写）</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r>
        <w:rPr>
          <w:rFonts w:ascii="宋体" w:hAnsi="宋体" w:cs="宋体" w:hint="eastAsia"/>
          <w:bCs/>
          <w:color w:val="00B0F0"/>
          <w:u w:val="single"/>
          <w:lang w:eastAsia="zh-CN"/>
        </w:rPr>
        <w:t xml:space="preserve">        </w:t>
      </w:r>
      <w:r>
        <w:rPr>
          <w:rFonts w:ascii="宋体" w:hAnsi="宋体" w:cs="宋体" w:hint="eastAsia"/>
          <w:bCs/>
          <w:color w:val="000000"/>
          <w:lang w:eastAsia="zh-CN"/>
        </w:rPr>
        <w:t>元)；</w:t>
      </w:r>
    </w:p>
    <w:p w14:paraId="42197035">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（2）暂估价金额（含税）：</w:t>
      </w:r>
    </w:p>
    <w:p w14:paraId="4E2B3E90">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人民币（大写）</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r>
        <w:rPr>
          <w:rFonts w:ascii="宋体" w:hAnsi="宋体" w:cs="宋体" w:hint="eastAsia"/>
          <w:bCs/>
          <w:color w:val="00B0F0"/>
          <w:u w:val="single"/>
          <w:lang w:eastAsia="zh-CN"/>
        </w:rPr>
        <w:t xml:space="preserve">        </w:t>
      </w:r>
      <w:r>
        <w:rPr>
          <w:rFonts w:ascii="宋体" w:hAnsi="宋体" w:cs="宋体" w:hint="eastAsia"/>
          <w:bCs/>
          <w:color w:val="000000"/>
          <w:lang w:eastAsia="zh-CN"/>
        </w:rPr>
        <w:t>元)；</w:t>
      </w:r>
    </w:p>
    <w:p w14:paraId="188B33DE">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（3）暂列金额（含税）：</w:t>
      </w:r>
    </w:p>
    <w:p w14:paraId="4FD5FC45">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人民币（大写）</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r>
        <w:rPr>
          <w:rFonts w:ascii="宋体" w:hAnsi="宋体" w:cs="宋体" w:hint="eastAsia"/>
          <w:bCs/>
          <w:color w:val="00B0F0"/>
          <w:u w:val="single"/>
          <w:lang w:eastAsia="zh-CN"/>
        </w:rPr>
        <w:t xml:space="preserve">        </w:t>
      </w:r>
      <w:r>
        <w:rPr>
          <w:rFonts w:ascii="宋体" w:hAnsi="宋体" w:cs="宋体" w:hint="eastAsia"/>
          <w:bCs/>
          <w:color w:val="000000"/>
          <w:lang w:eastAsia="zh-CN"/>
        </w:rPr>
        <w:t>元)；</w:t>
      </w:r>
    </w:p>
    <w:p w14:paraId="2038A82E">
      <w:pPr>
        <w:spacing w:line="360" w:lineRule="auto"/>
        <w:ind w:left="-240" w:right="-240" w:firstLine="480" w:leftChars="-100" w:rightChars="-100" w:firstLineChars="200"/>
        <w:rPr>
          <w:rFonts w:ascii="宋体" w:hAnsi="宋体" w:cs="宋体"/>
          <w:bCs/>
          <w:color w:val="000000"/>
          <w:highlight w:val="yellow"/>
          <w:lang w:eastAsia="zh-CN"/>
        </w:rPr>
      </w:pPr>
      <w:r>
        <w:rPr>
          <w:rFonts w:ascii="宋体" w:hAnsi="宋体" w:cs="宋体" w:hint="eastAsia"/>
          <w:bCs/>
          <w:color w:val="000000"/>
          <w:lang w:eastAsia="zh-CN"/>
        </w:rPr>
        <w:t>（4）农民工工伤保险（含税）：</w:t>
      </w:r>
    </w:p>
    <w:p w14:paraId="0D82DA43">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人民币（大写）</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r>
        <w:rPr>
          <w:rFonts w:ascii="宋体" w:hAnsi="宋体" w:cs="宋体" w:hint="eastAsia"/>
          <w:bCs/>
          <w:color w:val="00B0F0"/>
          <w:u w:val="single"/>
          <w:lang w:eastAsia="zh-CN"/>
        </w:rPr>
        <w:t xml:space="preserve">        </w:t>
      </w:r>
      <w:r>
        <w:rPr>
          <w:rFonts w:ascii="宋体" w:hAnsi="宋体" w:cs="宋体" w:hint="eastAsia"/>
          <w:bCs/>
          <w:color w:val="000000"/>
          <w:lang w:eastAsia="zh-CN"/>
        </w:rPr>
        <w:t>元)。</w:t>
      </w:r>
    </w:p>
    <w:p w14:paraId="0E785394">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2.合同价格形式：</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p>
    <w:p w14:paraId="69F8EC59">
      <w:pPr>
        <w:spacing w:line="360" w:lineRule="auto"/>
        <w:ind w:left="-240" w:right="-240" w:firstLine="480" w:leftChars="-100" w:rightChars="-100" w:firstLineChars="200"/>
        <w:outlineLvl w:val="1"/>
        <w:rPr>
          <w:rFonts w:ascii="宋体" w:hAnsi="宋体" w:cs="宋体"/>
          <w:bCs/>
          <w:color w:val="000000"/>
          <w:lang w:eastAsia="zh-CN"/>
        </w:rPr>
      </w:pPr>
      <w:bookmarkStart w:id="1137" w:name="_Toc578358000"/>
      <w:bookmarkStart w:id="1138" w:name="_Toc1266145827"/>
      <w:r>
        <w:rPr>
          <w:rFonts w:ascii="宋体" w:hAnsi="宋体" w:cs="宋体" w:hint="eastAsia"/>
          <w:bCs/>
          <w:color w:val="000000"/>
          <w:lang w:eastAsia="zh-CN"/>
        </w:rPr>
        <w:t>五、承包人项目负责人</w:t>
      </w:r>
      <w:bookmarkEnd w:id="1137"/>
      <w:bookmarkEnd w:id="1138"/>
    </w:p>
    <w:p w14:paraId="21BF8A6A">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姓名：</w:t>
      </w:r>
      <w:r>
        <w:rPr>
          <w:rFonts w:ascii="宋体" w:hAnsi="宋体" w:cs="宋体" w:hint="eastAsia"/>
          <w:bCs/>
          <w:color w:val="00B0F0"/>
          <w:u w:val="single"/>
          <w:lang w:eastAsia="zh-CN"/>
        </w:rPr>
        <w:t xml:space="preserve">            </w:t>
      </w:r>
      <w:r>
        <w:rPr>
          <w:rFonts w:ascii="宋体" w:hAnsi="宋体" w:cs="宋体" w:hint="eastAsia"/>
          <w:bCs/>
          <w:color w:val="000000"/>
          <w:lang w:eastAsia="zh-CN"/>
        </w:rPr>
        <w:t>；身份证号：</w:t>
      </w:r>
      <w:r>
        <w:rPr>
          <w:rFonts w:ascii="宋体" w:hAnsi="宋体" w:cs="宋体" w:hint="eastAsia"/>
          <w:bCs/>
          <w:color w:val="00B0F0"/>
          <w:u w:val="single"/>
          <w:lang w:eastAsia="zh-CN"/>
        </w:rPr>
        <w:t xml:space="preserve">                      </w:t>
      </w:r>
      <w:r>
        <w:rPr>
          <w:rFonts w:ascii="宋体" w:hAnsi="宋体" w:cs="宋体" w:hint="eastAsia"/>
          <w:bCs/>
          <w:color w:val="000000"/>
          <w:lang w:eastAsia="zh-CN"/>
        </w:rPr>
        <w:t xml:space="preserve">。 </w:t>
      </w:r>
    </w:p>
    <w:p w14:paraId="34A93C67">
      <w:pPr>
        <w:spacing w:line="360" w:lineRule="auto"/>
        <w:ind w:left="-240" w:right="-240" w:firstLine="480" w:leftChars="-100" w:rightChars="-100" w:firstLineChars="200"/>
        <w:outlineLvl w:val="1"/>
        <w:rPr>
          <w:rFonts w:ascii="宋体" w:hAnsi="宋体" w:cs="宋体"/>
          <w:bCs/>
          <w:color w:val="000000"/>
          <w:lang w:eastAsia="zh-CN"/>
        </w:rPr>
      </w:pPr>
      <w:bookmarkStart w:id="1139" w:name="_Toc565350378"/>
      <w:bookmarkStart w:id="1140" w:name="_Toc1315372893"/>
      <w:r>
        <w:rPr>
          <w:rFonts w:ascii="宋体" w:hAnsi="宋体" w:cs="宋体" w:hint="eastAsia"/>
          <w:bCs/>
          <w:color w:val="000000"/>
          <w:lang w:eastAsia="zh-CN"/>
        </w:rPr>
        <w:t>六、预付款</w:t>
      </w:r>
      <w:bookmarkEnd w:id="1139"/>
      <w:bookmarkEnd w:id="1140"/>
    </w:p>
    <w:p w14:paraId="17B3754D">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预付款：发包人在合同签订后，</w:t>
      </w:r>
      <w:r>
        <w:rPr>
          <w:rFonts w:ascii="宋体" w:hAnsi="宋体" w:cs="宋体" w:hint="eastAsia"/>
          <w:bCs/>
          <w:color w:val="00B0F0"/>
          <w:u w:val="single"/>
          <w:lang w:eastAsia="zh-CN"/>
        </w:rPr>
        <w:t xml:space="preserve">    </w:t>
      </w:r>
      <w:r>
        <w:rPr>
          <w:rFonts w:ascii="宋体" w:hAnsi="宋体" w:cs="宋体" w:hint="eastAsia"/>
          <w:bCs/>
          <w:color w:val="000000"/>
          <w:lang w:eastAsia="zh-CN"/>
        </w:rPr>
        <w:t>个工作日内支付合同价的</w:t>
      </w:r>
      <w:r>
        <w:rPr>
          <w:rFonts w:ascii="宋体" w:hAnsi="宋体" w:cs="宋体" w:hint="eastAsia"/>
          <w:bCs/>
          <w:color w:val="00B0F0"/>
          <w:u w:val="single"/>
          <w:lang w:eastAsia="zh-CN"/>
        </w:rPr>
        <w:t xml:space="preserve">     </w:t>
      </w:r>
      <w:r>
        <w:rPr>
          <w:rFonts w:ascii="宋体" w:hAnsi="宋体" w:cs="宋体" w:hint="eastAsia"/>
          <w:bCs/>
          <w:color w:val="000000"/>
          <w:lang w:eastAsia="zh-CN"/>
        </w:rPr>
        <w:t>%作为工程预付款。</w:t>
      </w:r>
    </w:p>
    <w:p w14:paraId="3498A780">
      <w:pPr>
        <w:spacing w:line="360" w:lineRule="auto"/>
        <w:ind w:left="-240" w:right="-240" w:firstLine="480" w:leftChars="-100" w:rightChars="-100" w:firstLineChars="200"/>
        <w:outlineLvl w:val="1"/>
        <w:rPr>
          <w:rFonts w:ascii="宋体" w:hAnsi="宋体" w:cs="宋体"/>
          <w:bCs/>
          <w:color w:val="000000"/>
          <w:lang w:eastAsia="zh-CN"/>
        </w:rPr>
      </w:pPr>
      <w:bookmarkStart w:id="1141" w:name="_Toc1430992058"/>
      <w:bookmarkStart w:id="1142" w:name="_Toc1555190768"/>
      <w:r>
        <w:rPr>
          <w:rFonts w:ascii="宋体" w:hAnsi="宋体" w:cs="宋体" w:hint="eastAsia"/>
          <w:bCs/>
          <w:color w:val="000000"/>
          <w:lang w:eastAsia="zh-CN"/>
        </w:rPr>
        <w:t>七、绿化种植及养护要求</w:t>
      </w:r>
      <w:bookmarkEnd w:id="1141"/>
      <w:bookmarkEnd w:id="1142"/>
    </w:p>
    <w:p w14:paraId="52E7874E">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1.在施工过程及绿化养护期内植物死亡，须按原设计品种和规格更换，更换费用由承包人承担。</w:t>
      </w:r>
    </w:p>
    <w:p w14:paraId="1259660B">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2.竣工验收时苗木成活率约定（乔木、灌木、地被、草坪等）：</w:t>
      </w:r>
    </w:p>
    <w:p w14:paraId="6A5507BC">
      <w:pPr>
        <w:spacing w:line="360" w:lineRule="auto"/>
        <w:ind w:left="-240" w:right="-240" w:leftChars="-100" w:rightChars="-100"/>
        <w:rPr>
          <w:rFonts w:ascii="宋体" w:hAnsi="宋体" w:cs="宋体"/>
          <w:bCs/>
          <w:color w:val="000000"/>
          <w:u w:val="single"/>
          <w:lang w:eastAsia="zh-CN"/>
        </w:rPr>
      </w:pPr>
      <w:r>
        <w:rPr>
          <w:rFonts w:ascii="宋体" w:hAnsi="宋体" w:cs="宋体" w:hint="eastAsia"/>
          <w:bCs/>
          <w:color w:val="00B0F0"/>
          <w:u w:val="single"/>
          <w:lang w:eastAsia="zh-CN"/>
        </w:rPr>
        <w:t xml:space="preserve">                                                       </w:t>
      </w:r>
      <w:r>
        <w:rPr>
          <w:rFonts w:ascii="宋体" w:hAnsi="宋体" w:cs="宋体" w:hint="eastAsia"/>
          <w:bCs/>
          <w:color w:val="000000"/>
          <w:lang w:eastAsia="zh-CN"/>
        </w:rPr>
        <w:t>。</w:t>
      </w:r>
    </w:p>
    <w:p w14:paraId="102AD97A">
      <w:pPr>
        <w:spacing w:line="360" w:lineRule="auto"/>
        <w:ind w:left="-240" w:right="-240" w:firstLine="480" w:leftChars="-100" w:rightChars="-100" w:firstLineChars="200"/>
        <w:rPr>
          <w:rFonts w:ascii="宋体" w:hAnsi="宋体" w:cs="宋体"/>
          <w:bCs/>
          <w:color w:val="000000"/>
          <w:u w:val="single"/>
          <w:lang w:eastAsia="zh-CN"/>
        </w:rPr>
      </w:pPr>
      <w:r>
        <w:rPr>
          <w:rFonts w:ascii="宋体" w:hAnsi="宋体" w:cs="宋体" w:hint="eastAsia"/>
          <w:bCs/>
          <w:color w:val="000000"/>
          <w:lang w:eastAsia="zh-CN"/>
        </w:rPr>
        <w:t>3.养护期满移交时苗木成活率约定（乔木、灌木、地被、草坪等）：</w:t>
      </w:r>
      <w:r>
        <w:rPr>
          <w:rFonts w:ascii="宋体" w:hAnsi="宋体" w:cs="宋体" w:hint="eastAsia"/>
          <w:bCs/>
          <w:color w:val="00B0F0"/>
          <w:u w:val="single"/>
          <w:lang w:eastAsia="zh-CN"/>
        </w:rPr>
        <w:t xml:space="preserve">                                                </w:t>
      </w:r>
      <w:r>
        <w:rPr>
          <w:rFonts w:ascii="宋体" w:hAnsi="宋体" w:cs="宋体" w:hint="eastAsia"/>
          <w:bCs/>
          <w:color w:val="000000"/>
          <w:lang w:eastAsia="zh-CN"/>
        </w:rPr>
        <w:t>。</w:t>
      </w:r>
    </w:p>
    <w:p w14:paraId="5CD1B0C8">
      <w:pPr>
        <w:spacing w:line="360" w:lineRule="auto"/>
        <w:ind w:left="-240" w:right="-240" w:firstLine="480" w:leftChars="-100" w:rightChars="-100" w:firstLineChars="200"/>
        <w:outlineLvl w:val="1"/>
        <w:rPr>
          <w:rFonts w:ascii="宋体" w:hAnsi="宋体" w:cs="宋体"/>
          <w:bCs/>
          <w:color w:val="000000"/>
        </w:rPr>
      </w:pPr>
      <w:bookmarkStart w:id="1143" w:name="_Toc1430684837"/>
      <w:bookmarkStart w:id="1144" w:name="_Toc367134989"/>
      <w:r>
        <w:rPr>
          <w:rFonts w:ascii="宋体" w:hAnsi="宋体" w:cs="宋体" w:hint="eastAsia"/>
          <w:bCs/>
          <w:color w:val="000000"/>
        </w:rPr>
        <w:t>八、其他要求：</w:t>
      </w:r>
      <w:bookmarkEnd w:id="1143"/>
      <w:bookmarkEnd w:id="1144"/>
      <w:r>
        <w:rPr>
          <w:rFonts w:ascii="宋体" w:hAnsi="宋体" w:cs="宋体" w:hint="eastAsia"/>
          <w:bCs/>
          <w:color w:val="00B0F0"/>
          <w:u w:val="single"/>
        </w:rPr>
        <w:t xml:space="preserve">                                       </w:t>
      </w:r>
      <w:r>
        <w:rPr>
          <w:rFonts w:ascii="宋体" w:hAnsi="宋体" w:cs="宋体" w:hint="eastAsia"/>
          <w:bCs/>
          <w:color w:val="00B0F0"/>
        </w:rPr>
        <w:t xml:space="preserve"> </w:t>
      </w:r>
      <w:r>
        <w:rPr>
          <w:rFonts w:ascii="宋体" w:hAnsi="宋体" w:cs="宋体" w:hint="eastAsia"/>
          <w:bCs/>
          <w:color w:val="000000"/>
        </w:rPr>
        <w:t>。</w:t>
      </w:r>
    </w:p>
    <w:p w14:paraId="1F907A69">
      <w:pPr>
        <w:spacing w:line="360" w:lineRule="auto"/>
        <w:ind w:left="-240" w:right="-240" w:firstLine="480" w:leftChars="-100" w:rightChars="-100" w:firstLineChars="200"/>
        <w:outlineLvl w:val="1"/>
        <w:rPr>
          <w:rFonts w:ascii="宋体" w:hAnsi="宋体" w:cs="宋体"/>
          <w:bCs/>
          <w:color w:val="000000"/>
        </w:rPr>
      </w:pPr>
      <w:bookmarkStart w:id="1145" w:name="_Toc184090255"/>
      <w:bookmarkStart w:id="1146" w:name="_Toc1318737122"/>
      <w:r>
        <w:rPr>
          <w:rFonts w:ascii="宋体" w:hAnsi="宋体" w:cs="宋体" w:hint="eastAsia"/>
          <w:bCs/>
          <w:color w:val="000000"/>
        </w:rPr>
        <w:t>九、合同文件构成</w:t>
      </w:r>
      <w:bookmarkEnd w:id="1145"/>
      <w:bookmarkEnd w:id="1146"/>
    </w:p>
    <w:p w14:paraId="4E25AE14">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本协议书与下列文件一起构成合同文件：</w:t>
      </w:r>
    </w:p>
    <w:p w14:paraId="37CBE816">
      <w:pPr>
        <w:autoSpaceDE w:val="0"/>
        <w:autoSpaceDN w:val="0"/>
        <w:adjustRightInd w:val="0"/>
        <w:spacing w:line="360" w:lineRule="auto"/>
        <w:ind w:left="-240" w:right="-240" w:firstLine="480" w:leftChars="-100" w:rightChars="-100" w:firstLineChars="200"/>
        <w:rPr>
          <w:rFonts w:ascii="宋体" w:hAnsi="宋体" w:cs="宋体"/>
          <w:bCs/>
          <w:color w:val="000000"/>
          <w:u w:val="single"/>
          <w:lang w:eastAsia="zh-CN"/>
        </w:rPr>
      </w:pPr>
      <w:r>
        <w:rPr>
          <w:rFonts w:ascii="宋体" w:hAnsi="宋体" w:cs="宋体" w:hint="eastAsia"/>
          <w:bCs/>
          <w:color w:val="000000"/>
          <w:lang w:eastAsia="zh-CN"/>
        </w:rPr>
        <w:t>（1）中标通知书（如果有）；（2）投标函及其附录（如果有）；（3）专用合同条款及其附件；（4）通用合同条款；（5）技术标准和要求；（6）图纸；（7）已标价工程量清单或预算书；</w:t>
      </w:r>
      <w:r>
        <w:rPr>
          <w:rFonts w:ascii="宋体" w:hAnsi="宋体" w:cs="宋体" w:hint="eastAsia"/>
          <w:bCs/>
          <w:lang w:eastAsia="zh-CN"/>
        </w:rPr>
        <w:t>（8）其他合同文件。</w:t>
      </w:r>
    </w:p>
    <w:p w14:paraId="6C25EAE1">
      <w:pPr>
        <w:autoSpaceDE w:val="0"/>
        <w:autoSpaceDN w:val="0"/>
        <w:adjustRightInd w:val="0"/>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在合同订立及履行过程中形成的与合同有关的文件均构成合同文件组成部分。</w:t>
      </w:r>
    </w:p>
    <w:p w14:paraId="6C2247BA">
      <w:pPr>
        <w:autoSpaceDE w:val="0"/>
        <w:autoSpaceDN w:val="0"/>
        <w:adjustRightInd w:val="0"/>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上述各项合同文件包括合同当事人就该项合同文件所作出的补充和修改，属于同一类内容的文件，应以最新签署的为准。专用合同条款及其附件须经合同当事人签字或盖章。</w:t>
      </w:r>
    </w:p>
    <w:p w14:paraId="375395E3">
      <w:pPr>
        <w:spacing w:line="360" w:lineRule="auto"/>
        <w:ind w:left="-240" w:right="-240" w:firstLine="480" w:leftChars="-100" w:rightChars="-100" w:firstLineChars="200"/>
        <w:outlineLvl w:val="1"/>
        <w:rPr>
          <w:rFonts w:ascii="宋体" w:hAnsi="宋体" w:cs="宋体"/>
          <w:bCs/>
          <w:color w:val="000000"/>
          <w:lang w:eastAsia="zh-CN"/>
        </w:rPr>
      </w:pPr>
      <w:bookmarkStart w:id="1147" w:name="_Toc410640064"/>
      <w:bookmarkStart w:id="1148" w:name="_Toc1718441829"/>
      <w:r>
        <w:rPr>
          <w:rFonts w:ascii="宋体" w:hAnsi="宋体" w:cs="宋体" w:hint="eastAsia"/>
          <w:bCs/>
          <w:color w:val="000000"/>
          <w:lang w:eastAsia="zh-CN"/>
        </w:rPr>
        <w:t>十、承诺</w:t>
      </w:r>
      <w:bookmarkEnd w:id="1147"/>
      <w:bookmarkEnd w:id="1148"/>
    </w:p>
    <w:p w14:paraId="31AB7470">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1.发包人承诺按照法律规定履行项目审批手续、筹集工程建设资金并按照合同约定的期限和方式支付合同价款，及时足额支付人工费用至农民工工资专用账户，并加强对施工总承包单位按时足额支付农民工工资的监督。</w:t>
      </w:r>
    </w:p>
    <w:p w14:paraId="52F95682">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2.承包人承诺按照法律规定及合同约定组织完成工程施工，确保工程质量和安全，不进行转包及违法分包，并在缺陷责任期及保修期内承担相应的工程维修责任；按照有关规定开设农民工工资专用账户，专项用于支付本工程农民工工资。农民工工资拨付周期不超过1个月。</w:t>
      </w:r>
    </w:p>
    <w:p w14:paraId="02C645BA">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3.发包人和承包人通过招投标形式签订合同的，双方理解并承诺不再就同一工程另行签订与合同实质性内容相背离的协议。</w:t>
      </w:r>
    </w:p>
    <w:p w14:paraId="3278DDC3">
      <w:pPr>
        <w:spacing w:line="360" w:lineRule="auto"/>
        <w:ind w:left="-240" w:right="-240" w:leftChars="-100" w:rightChars="-100"/>
        <w:outlineLvl w:val="1"/>
        <w:rPr>
          <w:rFonts w:ascii="宋体" w:hAnsi="宋体" w:cs="宋体"/>
          <w:bCs/>
          <w:color w:val="000000"/>
          <w:lang w:eastAsia="zh-CN"/>
        </w:rPr>
      </w:pPr>
      <w:r>
        <w:rPr>
          <w:rFonts w:ascii="宋体" w:hAnsi="宋体" w:cs="宋体" w:hint="eastAsia"/>
          <w:bCs/>
          <w:color w:val="000000"/>
          <w:lang w:eastAsia="zh-CN"/>
        </w:rPr>
        <w:t xml:space="preserve">    </w:t>
      </w:r>
      <w:bookmarkStart w:id="1149" w:name="_Toc1209713496"/>
      <w:bookmarkStart w:id="1150" w:name="_Toc1094819545"/>
      <w:r>
        <w:rPr>
          <w:rFonts w:ascii="宋体" w:hAnsi="宋体" w:cs="宋体" w:hint="eastAsia"/>
          <w:bCs/>
          <w:color w:val="000000"/>
          <w:lang w:eastAsia="zh-CN"/>
        </w:rPr>
        <w:t>十一、词语含义</w:t>
      </w:r>
      <w:bookmarkEnd w:id="1149"/>
      <w:bookmarkEnd w:id="1150"/>
    </w:p>
    <w:p w14:paraId="5A99C7BD">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本协议书中词语含义与通用合同条款、专用合同条款中赋予的含义相同。</w:t>
      </w:r>
    </w:p>
    <w:p w14:paraId="628480CD">
      <w:pPr>
        <w:pStyle w:val="Heading2"/>
        <w:spacing w:before="0" w:after="0"/>
        <w:ind w:left="-240" w:right="-240" w:leftChars="-100" w:rightChars="-100"/>
        <w:rPr>
          <w:rFonts w:ascii="宋体" w:hAnsi="宋体" w:cs="宋体"/>
          <w:b w:val="0"/>
          <w:color w:val="000000"/>
          <w:sz w:val="24"/>
          <w:szCs w:val="24"/>
        </w:rPr>
      </w:pPr>
      <w:r>
        <w:rPr>
          <w:rFonts w:ascii="宋体" w:hAnsi="宋体" w:cs="宋体" w:hint="eastAsia"/>
          <w:b w:val="0"/>
          <w:color w:val="000000"/>
          <w:sz w:val="24"/>
          <w:szCs w:val="24"/>
        </w:rPr>
        <w:t xml:space="preserve">    </w:t>
      </w:r>
      <w:bookmarkStart w:id="1151" w:name="_Toc1843922025"/>
      <w:bookmarkStart w:id="1152" w:name="_Toc1302915076"/>
      <w:r>
        <w:rPr>
          <w:rFonts w:ascii="宋体" w:hAnsi="宋体" w:cs="宋体" w:hint="eastAsia"/>
          <w:b w:val="0"/>
          <w:color w:val="000000"/>
          <w:sz w:val="24"/>
          <w:szCs w:val="24"/>
        </w:rPr>
        <w:t>十二、签订时间</w:t>
      </w:r>
      <w:bookmarkEnd w:id="1151"/>
      <w:bookmarkEnd w:id="1152"/>
    </w:p>
    <w:p w14:paraId="79022735">
      <w:pPr>
        <w:keepLines/>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本合同于</w:t>
      </w:r>
      <w:r>
        <w:rPr>
          <w:rFonts w:ascii="宋体" w:hAnsi="宋体" w:cs="宋体" w:hint="eastAsia"/>
          <w:bCs/>
          <w:color w:val="00B0F0"/>
          <w:u w:val="single"/>
          <w:lang w:eastAsia="zh-CN"/>
        </w:rPr>
        <w:t xml:space="preserve">        </w:t>
      </w:r>
      <w:r>
        <w:rPr>
          <w:rFonts w:ascii="宋体" w:hAnsi="宋体" w:cs="宋体" w:hint="eastAsia"/>
          <w:bCs/>
          <w:color w:val="000000"/>
          <w:lang w:eastAsia="zh-CN"/>
        </w:rPr>
        <w:t>年</w:t>
      </w:r>
      <w:r>
        <w:rPr>
          <w:rFonts w:ascii="宋体" w:hAnsi="宋体" w:cs="宋体" w:hint="eastAsia"/>
          <w:bCs/>
          <w:color w:val="00B0F0"/>
          <w:u w:val="single"/>
          <w:lang w:eastAsia="zh-CN"/>
        </w:rPr>
        <w:t xml:space="preserve">    </w:t>
      </w:r>
      <w:r>
        <w:rPr>
          <w:rFonts w:ascii="宋体" w:hAnsi="宋体" w:cs="宋体" w:hint="eastAsia"/>
          <w:bCs/>
          <w:color w:val="000000"/>
          <w:lang w:eastAsia="zh-CN"/>
        </w:rPr>
        <w:t>月</w:t>
      </w:r>
      <w:r>
        <w:rPr>
          <w:rFonts w:ascii="宋体" w:hAnsi="宋体" w:cs="宋体" w:hint="eastAsia"/>
          <w:bCs/>
          <w:color w:val="00B0F0"/>
          <w:u w:val="single"/>
          <w:lang w:eastAsia="zh-CN"/>
        </w:rPr>
        <w:t xml:space="preserve">    </w:t>
      </w:r>
      <w:r>
        <w:rPr>
          <w:rFonts w:ascii="宋体" w:hAnsi="宋体" w:cs="宋体" w:hint="eastAsia"/>
          <w:bCs/>
          <w:color w:val="000000"/>
          <w:lang w:eastAsia="zh-CN"/>
        </w:rPr>
        <w:t>日签订。</w:t>
      </w:r>
    </w:p>
    <w:p w14:paraId="7515ECAC">
      <w:pPr>
        <w:pStyle w:val="Heading2"/>
        <w:spacing w:before="0" w:after="0"/>
        <w:ind w:left="-240" w:right="-240" w:leftChars="-100" w:rightChars="-100"/>
        <w:rPr>
          <w:rFonts w:ascii="宋体" w:hAnsi="宋体" w:cs="宋体"/>
          <w:b w:val="0"/>
          <w:color w:val="000000"/>
          <w:sz w:val="24"/>
          <w:szCs w:val="24"/>
        </w:rPr>
      </w:pPr>
      <w:r>
        <w:rPr>
          <w:rFonts w:ascii="宋体" w:hAnsi="宋体" w:cs="宋体" w:hint="eastAsia"/>
          <w:b w:val="0"/>
          <w:color w:val="000000"/>
          <w:sz w:val="24"/>
          <w:szCs w:val="24"/>
        </w:rPr>
        <w:t xml:space="preserve">    </w:t>
      </w:r>
      <w:bookmarkStart w:id="1153" w:name="_Toc251726425"/>
      <w:bookmarkStart w:id="1154" w:name="_Toc441671965"/>
      <w:r>
        <w:rPr>
          <w:rFonts w:ascii="宋体" w:hAnsi="宋体" w:cs="宋体" w:hint="eastAsia"/>
          <w:b w:val="0"/>
          <w:color w:val="000000"/>
          <w:sz w:val="24"/>
          <w:szCs w:val="24"/>
        </w:rPr>
        <w:t>十三、签订地点</w:t>
      </w:r>
      <w:bookmarkEnd w:id="1153"/>
      <w:bookmarkEnd w:id="1154"/>
    </w:p>
    <w:p w14:paraId="263BE885">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本合同在</w:t>
      </w:r>
      <w:r>
        <w:rPr>
          <w:rFonts w:ascii="宋体" w:hAnsi="宋体" w:cs="宋体" w:hint="eastAsia"/>
          <w:bCs/>
          <w:color w:val="00B0F0"/>
          <w:u w:val="single"/>
          <w:lang w:eastAsia="zh-CN"/>
        </w:rPr>
        <w:t xml:space="preserve">                                       </w:t>
      </w:r>
      <w:r>
        <w:rPr>
          <w:rFonts w:ascii="宋体" w:hAnsi="宋体" w:cs="宋体" w:hint="eastAsia"/>
          <w:bCs/>
          <w:color w:val="000000"/>
          <w:lang w:eastAsia="zh-CN"/>
        </w:rPr>
        <w:t>签订。</w:t>
      </w:r>
    </w:p>
    <w:p w14:paraId="16BC073E">
      <w:pPr>
        <w:pStyle w:val="Heading2"/>
        <w:spacing w:before="0" w:after="0"/>
        <w:ind w:left="-240" w:right="-240" w:leftChars="-100" w:rightChars="-100"/>
        <w:rPr>
          <w:rFonts w:ascii="宋体" w:hAnsi="宋体" w:cs="宋体"/>
          <w:b w:val="0"/>
          <w:color w:val="000000"/>
          <w:sz w:val="24"/>
          <w:szCs w:val="24"/>
        </w:rPr>
      </w:pPr>
      <w:r>
        <w:rPr>
          <w:rFonts w:ascii="宋体" w:hAnsi="宋体" w:cs="宋体" w:hint="eastAsia"/>
          <w:b w:val="0"/>
          <w:color w:val="000000"/>
          <w:sz w:val="24"/>
          <w:szCs w:val="24"/>
        </w:rPr>
        <w:t xml:space="preserve">    </w:t>
      </w:r>
      <w:bookmarkStart w:id="1155" w:name="_Toc1799890158"/>
      <w:bookmarkStart w:id="1156" w:name="_Toc1858176615"/>
      <w:r>
        <w:rPr>
          <w:rFonts w:ascii="宋体" w:hAnsi="宋体" w:cs="宋体" w:hint="eastAsia"/>
          <w:b w:val="0"/>
          <w:color w:val="000000"/>
          <w:sz w:val="24"/>
          <w:szCs w:val="24"/>
        </w:rPr>
        <w:t>十四、补充协议</w:t>
      </w:r>
      <w:bookmarkEnd w:id="1155"/>
      <w:bookmarkEnd w:id="1156"/>
    </w:p>
    <w:p w14:paraId="4D6D1CB8">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合同未尽事宜，合同当事人另行签订补充协议，补充协议是合同的组成部分。</w:t>
      </w:r>
    </w:p>
    <w:p w14:paraId="013B4931">
      <w:pPr>
        <w:pStyle w:val="Heading2"/>
        <w:spacing w:before="0" w:after="0"/>
        <w:ind w:left="-240" w:right="-240" w:leftChars="-100" w:rightChars="-100"/>
        <w:rPr>
          <w:rFonts w:ascii="宋体" w:hAnsi="宋体" w:cs="宋体"/>
          <w:b w:val="0"/>
          <w:color w:val="000000"/>
          <w:sz w:val="24"/>
          <w:szCs w:val="24"/>
        </w:rPr>
      </w:pPr>
      <w:r>
        <w:rPr>
          <w:rFonts w:ascii="宋体" w:hAnsi="宋体" w:cs="宋体" w:hint="eastAsia"/>
          <w:b w:val="0"/>
          <w:color w:val="000000"/>
          <w:sz w:val="24"/>
          <w:szCs w:val="24"/>
        </w:rPr>
        <w:t xml:space="preserve">    </w:t>
      </w:r>
      <w:bookmarkStart w:id="1157" w:name="_Toc1600665821"/>
      <w:bookmarkStart w:id="1158" w:name="_Toc111240637"/>
      <w:r>
        <w:rPr>
          <w:rFonts w:ascii="宋体" w:hAnsi="宋体" w:cs="宋体" w:hint="eastAsia"/>
          <w:b w:val="0"/>
          <w:color w:val="000000"/>
          <w:sz w:val="24"/>
          <w:szCs w:val="24"/>
        </w:rPr>
        <w:t>十五、合同生效</w:t>
      </w:r>
      <w:bookmarkEnd w:id="1157"/>
      <w:bookmarkEnd w:id="1158"/>
    </w:p>
    <w:p w14:paraId="459C561B">
      <w:pPr>
        <w:spacing w:line="360" w:lineRule="auto"/>
        <w:ind w:left="-240" w:right="-240" w:firstLine="480" w:leftChars="-100" w:rightChars="-100" w:firstLineChars="200"/>
        <w:rPr>
          <w:rFonts w:ascii="宋体" w:hAnsi="宋体" w:cs="宋体"/>
          <w:bCs/>
          <w:color w:val="000000"/>
        </w:rPr>
      </w:pPr>
      <w:r>
        <w:rPr>
          <w:rFonts w:ascii="宋体" w:hAnsi="宋体" w:cs="宋体" w:hint="eastAsia"/>
          <w:bCs/>
          <w:color w:val="000000"/>
        </w:rPr>
        <w:t>本合同自</w:t>
      </w:r>
      <w:r>
        <w:rPr>
          <w:rFonts w:ascii="宋体" w:hAnsi="宋体" w:cs="宋体" w:hint="eastAsia"/>
          <w:bCs/>
          <w:color w:val="00B0F0"/>
          <w:u w:val="single"/>
        </w:rPr>
        <w:t xml:space="preserve">                                       </w:t>
      </w:r>
      <w:r>
        <w:rPr>
          <w:rFonts w:ascii="宋体" w:hAnsi="宋体" w:cs="宋体" w:hint="eastAsia"/>
          <w:bCs/>
          <w:color w:val="000000"/>
        </w:rPr>
        <w:t>生效。</w:t>
      </w:r>
    </w:p>
    <w:p w14:paraId="0BD79606">
      <w:pPr>
        <w:pStyle w:val="Heading2"/>
        <w:spacing w:before="0" w:after="0"/>
        <w:ind w:left="-240" w:right="-240" w:leftChars="-100" w:rightChars="-100"/>
        <w:rPr>
          <w:rFonts w:ascii="宋体" w:hAnsi="宋体" w:cs="宋体"/>
          <w:b w:val="0"/>
          <w:color w:val="000000"/>
          <w:sz w:val="24"/>
          <w:szCs w:val="24"/>
        </w:rPr>
      </w:pPr>
      <w:r>
        <w:rPr>
          <w:rFonts w:ascii="宋体" w:hAnsi="宋体" w:cs="宋体" w:hint="eastAsia"/>
          <w:b w:val="0"/>
          <w:color w:val="000000"/>
          <w:sz w:val="24"/>
          <w:szCs w:val="24"/>
        </w:rPr>
        <w:t xml:space="preserve">    </w:t>
      </w:r>
      <w:bookmarkStart w:id="1159" w:name="_Toc273056816"/>
      <w:bookmarkStart w:id="1160" w:name="_Toc118154563"/>
      <w:r>
        <w:rPr>
          <w:rFonts w:ascii="宋体" w:hAnsi="宋体" w:cs="宋体" w:hint="eastAsia"/>
          <w:b w:val="0"/>
          <w:color w:val="000000"/>
          <w:sz w:val="24"/>
          <w:szCs w:val="24"/>
        </w:rPr>
        <w:t>十六、合同份数</w:t>
      </w:r>
      <w:bookmarkEnd w:id="1159"/>
      <w:bookmarkEnd w:id="1160"/>
    </w:p>
    <w:p w14:paraId="3AB6841A">
      <w:pPr>
        <w:spacing w:line="360" w:lineRule="auto"/>
        <w:ind w:left="-240" w:right="-240" w:firstLine="480" w:leftChars="-100" w:rightChars="-100" w:firstLineChars="200"/>
        <w:rPr>
          <w:rFonts w:ascii="宋体" w:hAnsi="宋体" w:cs="宋体"/>
          <w:bCs/>
          <w:color w:val="000000"/>
          <w:lang w:eastAsia="zh-CN"/>
        </w:rPr>
      </w:pPr>
      <w:r>
        <w:rPr>
          <w:rFonts w:ascii="宋体" w:hAnsi="宋体" w:cs="宋体" w:hint="eastAsia"/>
          <w:bCs/>
          <w:color w:val="000000"/>
          <w:lang w:eastAsia="zh-CN"/>
        </w:rPr>
        <w:t>本合同一式</w:t>
      </w:r>
      <w:r>
        <w:rPr>
          <w:rFonts w:ascii="宋体" w:hAnsi="宋体" w:cs="宋体" w:hint="eastAsia"/>
          <w:bCs/>
          <w:color w:val="00B0F0"/>
          <w:u w:val="single"/>
          <w:lang w:eastAsia="zh-CN"/>
        </w:rPr>
        <w:t xml:space="preserve">    </w:t>
      </w:r>
      <w:r>
        <w:rPr>
          <w:rFonts w:ascii="宋体" w:hAnsi="宋体" w:cs="宋体" w:hint="eastAsia"/>
          <w:bCs/>
          <w:color w:val="000000"/>
          <w:lang w:eastAsia="zh-CN"/>
        </w:rPr>
        <w:t>份，均具有同等法律效力，发包人执</w:t>
      </w:r>
      <w:r>
        <w:rPr>
          <w:rFonts w:ascii="宋体" w:hAnsi="宋体" w:cs="宋体" w:hint="eastAsia"/>
          <w:bCs/>
          <w:color w:val="00B0F0"/>
          <w:u w:val="single"/>
          <w:lang w:eastAsia="zh-CN"/>
        </w:rPr>
        <w:t xml:space="preserve">    </w:t>
      </w:r>
      <w:r>
        <w:rPr>
          <w:rFonts w:ascii="宋体" w:hAnsi="宋体" w:cs="宋体" w:hint="eastAsia"/>
          <w:bCs/>
          <w:color w:val="000000"/>
          <w:lang w:eastAsia="zh-CN"/>
        </w:rPr>
        <w:t>份，承包人执</w:t>
      </w:r>
      <w:r>
        <w:rPr>
          <w:rFonts w:ascii="宋体" w:hAnsi="宋体" w:cs="宋体" w:hint="eastAsia"/>
          <w:bCs/>
          <w:color w:val="00B0F0"/>
          <w:u w:val="single"/>
          <w:lang w:eastAsia="zh-CN"/>
        </w:rPr>
        <w:t xml:space="preserve">    </w:t>
      </w:r>
      <w:r>
        <w:rPr>
          <w:rFonts w:ascii="宋体" w:hAnsi="宋体" w:cs="宋体" w:hint="eastAsia"/>
          <w:bCs/>
          <w:color w:val="000000"/>
          <w:lang w:eastAsia="zh-CN"/>
        </w:rPr>
        <w:t>份。</w:t>
      </w:r>
    </w:p>
    <w:p w14:paraId="22359CFC">
      <w:pPr>
        <w:spacing w:line="360" w:lineRule="auto"/>
        <w:ind w:left="-240" w:right="-240" w:leftChars="-100" w:rightChars="-100"/>
        <w:rPr>
          <w:rFonts w:ascii="宋体" w:hAnsi="宋体" w:cs="宋体"/>
          <w:color w:val="000000"/>
          <w:lang w:eastAsia="zh-CN"/>
        </w:rPr>
      </w:pPr>
    </w:p>
    <w:p w14:paraId="40C47BFD">
      <w:pPr>
        <w:spacing w:line="360" w:lineRule="auto"/>
        <w:ind w:left="-240" w:right="-240" w:leftChars="-100" w:rightChars="-100"/>
        <w:rPr>
          <w:rFonts w:ascii="宋体" w:hAnsi="宋体" w:cs="宋体"/>
          <w:color w:val="000000"/>
          <w:lang w:eastAsia="zh-CN"/>
        </w:rPr>
      </w:pPr>
    </w:p>
    <w:p w14:paraId="47A27922">
      <w:pPr>
        <w:spacing w:line="360" w:lineRule="auto"/>
        <w:ind w:right="-240" w:rightChars="-100"/>
        <w:rPr>
          <w:rFonts w:ascii="宋体" w:hAnsi="宋体" w:cs="宋体"/>
          <w:color w:val="000000"/>
          <w:lang w:eastAsia="zh-CN"/>
        </w:rPr>
      </w:pPr>
    </w:p>
    <w:p w14:paraId="1382CF16">
      <w:pPr>
        <w:spacing w:line="360" w:lineRule="auto"/>
        <w:ind w:left="-240" w:right="-240" w:leftChars="-100" w:rightChars="-100"/>
        <w:rPr>
          <w:rFonts w:ascii="宋体" w:hAnsi="宋体" w:cs="宋体"/>
          <w:color w:val="000000"/>
          <w:lang w:eastAsia="zh-CN"/>
        </w:rPr>
      </w:pPr>
    </w:p>
    <w:p w14:paraId="72189878">
      <w:pPr>
        <w:spacing w:line="360" w:lineRule="auto"/>
        <w:ind w:left="-240" w:right="-240" w:leftChars="-100" w:rightChars="-100"/>
        <w:rPr>
          <w:rFonts w:ascii="宋体" w:hAnsi="宋体" w:cs="宋体"/>
          <w:color w:val="000000"/>
          <w:lang w:eastAsia="zh-CN"/>
        </w:rPr>
      </w:pPr>
    </w:p>
    <w:p w14:paraId="678F0D3C">
      <w:pPr>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发包人：（公章）              承包人：（公章）</w:t>
      </w:r>
    </w:p>
    <w:p w14:paraId="63741F12">
      <w:pPr>
        <w:spacing w:line="360" w:lineRule="auto"/>
        <w:ind w:left="-240" w:right="-240" w:leftChars="-100" w:rightChars="-100"/>
        <w:rPr>
          <w:rFonts w:ascii="宋体" w:hAnsi="宋体" w:cs="宋体"/>
          <w:color w:val="000000"/>
          <w:u w:val="single"/>
          <w:lang w:eastAsia="zh-CN"/>
        </w:rPr>
      </w:pPr>
      <w:r>
        <w:rPr>
          <w:rFonts w:ascii="宋体" w:hAnsi="宋体" w:cs="宋体" w:hint="eastAsia"/>
          <w:color w:val="000000"/>
          <w:lang w:eastAsia="zh-CN"/>
        </w:rPr>
        <w:t xml:space="preserve">                                 </w:t>
      </w:r>
    </w:p>
    <w:p w14:paraId="60BCB60E">
      <w:pPr>
        <w:spacing w:line="360" w:lineRule="auto"/>
        <w:ind w:left="-240" w:right="-240" w:leftChars="-100" w:rightChars="-100"/>
        <w:rPr>
          <w:rFonts w:ascii="宋体" w:hAnsi="宋体" w:cs="宋体"/>
          <w:color w:val="000000"/>
        </w:rPr>
      </w:pPr>
      <w:r>
        <w:rPr>
          <w:rFonts w:ascii="宋体" w:hAnsi="宋体" w:cs="宋体" w:hint="eastAsia"/>
          <w:color w:val="000000"/>
        </w:rPr>
        <w:t>法定代表人或其委托代理人：    法定代表人或其委托代理人：</w:t>
      </w:r>
    </w:p>
    <w:p w14:paraId="63781B11">
      <w:pPr>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（签字）                      （签字）</w:t>
      </w:r>
    </w:p>
    <w:p w14:paraId="0644EB8B">
      <w:pPr>
        <w:tabs>
          <w:tab w:val="left" w:pos="4410"/>
        </w:tabs>
        <w:spacing w:line="360" w:lineRule="auto"/>
        <w:ind w:left="-240" w:right="-240" w:leftChars="-100" w:rightChars="-100"/>
        <w:rPr>
          <w:rFonts w:ascii="宋体" w:hAnsi="宋体" w:cs="宋体"/>
          <w:color w:val="0000FF"/>
          <w:lang w:eastAsia="zh-CN"/>
        </w:rPr>
      </w:pPr>
    </w:p>
    <w:p w14:paraId="1575ADB9">
      <w:pPr>
        <w:tabs>
          <w:tab w:val="left" w:pos="4410"/>
        </w:tabs>
        <w:spacing w:line="360" w:lineRule="auto"/>
        <w:ind w:left="-240" w:right="-240" w:leftChars="-100" w:rightChars="-100"/>
        <w:rPr>
          <w:rFonts w:ascii="宋体" w:hAnsi="宋体" w:cs="宋体"/>
          <w:color w:val="000000"/>
          <w:lang w:eastAsia="zh-CN"/>
        </w:rPr>
      </w:pPr>
      <w:r>
        <w:rPr>
          <w:rFonts w:ascii="宋体" w:hAnsi="宋体" w:cs="宋体" w:hint="eastAsia"/>
          <w:lang w:eastAsia="zh-CN"/>
        </w:rPr>
        <w:t>社会统一信用代码：</w:t>
      </w:r>
      <w:r>
        <w:rPr>
          <w:rFonts w:ascii="宋体" w:hAnsi="宋体" w:cs="宋体" w:hint="eastAsia"/>
          <w:color w:val="00B0F0"/>
          <w:u w:val="single"/>
          <w:lang w:eastAsia="zh-CN"/>
        </w:rPr>
        <w:t xml:space="preserve">          </w:t>
      </w:r>
      <w:r>
        <w:rPr>
          <w:rFonts w:ascii="宋体" w:hAnsi="宋体" w:cs="宋体" w:hint="eastAsia"/>
          <w:lang w:eastAsia="zh-CN"/>
        </w:rPr>
        <w:t xml:space="preserve">  社会统一信用代码：</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w:t>
      </w:r>
    </w:p>
    <w:p w14:paraId="7F67AAA7">
      <w:pPr>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地  址：</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地  址：</w:t>
      </w:r>
      <w:r>
        <w:rPr>
          <w:rFonts w:ascii="宋体" w:hAnsi="宋体" w:cs="宋体" w:hint="eastAsia"/>
          <w:color w:val="00B0F0"/>
          <w:u w:val="single"/>
          <w:lang w:eastAsia="zh-CN"/>
        </w:rPr>
        <w:t xml:space="preserve">                      </w:t>
      </w:r>
    </w:p>
    <w:p w14:paraId="7FABF7FC">
      <w:pPr>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邮政编码：</w:t>
      </w:r>
      <w:r>
        <w:rPr>
          <w:rFonts w:ascii="宋体" w:hAnsi="宋体" w:cs="宋体" w:hint="eastAsia"/>
          <w:color w:val="00B0F0"/>
          <w:u w:val="single"/>
          <w:lang w:eastAsia="zh-CN"/>
        </w:rPr>
        <w:t xml:space="preserve">                  </w:t>
      </w:r>
      <w:r>
        <w:rPr>
          <w:rFonts w:ascii="宋体" w:hAnsi="宋体" w:cs="宋体" w:hint="eastAsia"/>
          <w:color w:val="00B0F0"/>
          <w:lang w:eastAsia="zh-CN"/>
        </w:rPr>
        <w:t xml:space="preserve"> </w:t>
      </w:r>
      <w:r>
        <w:rPr>
          <w:rFonts w:ascii="宋体" w:hAnsi="宋体" w:cs="宋体" w:hint="eastAsia"/>
          <w:color w:val="000000"/>
          <w:lang w:eastAsia="zh-CN"/>
        </w:rPr>
        <w:t xml:space="preserve"> 邮政编码：</w:t>
      </w:r>
      <w:r>
        <w:rPr>
          <w:rFonts w:ascii="宋体" w:hAnsi="宋体" w:cs="宋体" w:hint="eastAsia"/>
          <w:color w:val="00B0F0"/>
          <w:u w:val="single"/>
          <w:lang w:eastAsia="zh-CN"/>
        </w:rPr>
        <w:t xml:space="preserve">                   </w:t>
      </w:r>
    </w:p>
    <w:p w14:paraId="5ECDEB68">
      <w:pPr>
        <w:spacing w:line="360" w:lineRule="auto"/>
        <w:ind w:left="-240" w:right="-240" w:leftChars="-100" w:rightChars="-100"/>
        <w:rPr>
          <w:rFonts w:ascii="宋体" w:hAnsi="宋体" w:cs="宋体"/>
          <w:color w:val="000000"/>
        </w:rPr>
      </w:pPr>
      <w:r>
        <w:rPr>
          <w:rFonts w:ascii="宋体" w:hAnsi="宋体" w:cs="宋体" w:hint="eastAsia"/>
          <w:color w:val="000000"/>
        </w:rPr>
        <w:t>法定代表人：</w:t>
      </w:r>
      <w:r>
        <w:rPr>
          <w:rFonts w:ascii="宋体" w:hAnsi="宋体" w:cs="宋体" w:hint="eastAsia"/>
          <w:color w:val="00B0F0"/>
          <w:u w:val="single"/>
        </w:rPr>
        <w:t xml:space="preserve">                </w:t>
      </w:r>
      <w:r>
        <w:rPr>
          <w:rFonts w:ascii="宋体" w:hAnsi="宋体" w:cs="宋体" w:hint="eastAsia"/>
          <w:color w:val="000000"/>
        </w:rPr>
        <w:t xml:space="preserve">  法定代表人：</w:t>
      </w:r>
      <w:r>
        <w:rPr>
          <w:rFonts w:ascii="宋体" w:hAnsi="宋体" w:cs="宋体" w:hint="eastAsia"/>
          <w:color w:val="00B0F0"/>
          <w:u w:val="single"/>
        </w:rPr>
        <w:t xml:space="preserve">                </w:t>
      </w:r>
    </w:p>
    <w:p w14:paraId="4450780F">
      <w:pPr>
        <w:spacing w:line="360" w:lineRule="auto"/>
        <w:ind w:left="-240" w:right="-240" w:leftChars="-100" w:rightChars="-100"/>
        <w:rPr>
          <w:rFonts w:ascii="宋体" w:hAnsi="宋体" w:cs="宋体"/>
          <w:color w:val="000000"/>
        </w:rPr>
      </w:pPr>
      <w:r>
        <w:rPr>
          <w:rFonts w:ascii="宋体" w:hAnsi="宋体" w:cs="宋体" w:hint="eastAsia"/>
          <w:color w:val="000000"/>
        </w:rPr>
        <w:t>委托代理人：</w:t>
      </w:r>
      <w:r>
        <w:rPr>
          <w:rFonts w:ascii="宋体" w:hAnsi="宋体" w:cs="宋体" w:hint="eastAsia"/>
          <w:color w:val="00B0F0"/>
          <w:u w:val="single"/>
        </w:rPr>
        <w:t xml:space="preserve">                </w:t>
      </w:r>
      <w:r>
        <w:rPr>
          <w:rFonts w:ascii="宋体" w:hAnsi="宋体" w:cs="宋体" w:hint="eastAsia"/>
          <w:color w:val="000000"/>
        </w:rPr>
        <w:t xml:space="preserve">  委托代理人：</w:t>
      </w:r>
      <w:r>
        <w:rPr>
          <w:rFonts w:ascii="宋体" w:hAnsi="宋体" w:cs="宋体" w:hint="eastAsia"/>
          <w:color w:val="00B0F0"/>
          <w:u w:val="single"/>
        </w:rPr>
        <w:t xml:space="preserve">                </w:t>
      </w:r>
    </w:p>
    <w:p w14:paraId="62A7A1D8">
      <w:pPr>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电  话：</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电  话：</w:t>
      </w:r>
      <w:r>
        <w:rPr>
          <w:rFonts w:ascii="宋体" w:hAnsi="宋体" w:cs="宋体" w:hint="eastAsia"/>
          <w:color w:val="00B0F0"/>
          <w:u w:val="single"/>
          <w:lang w:eastAsia="zh-CN"/>
        </w:rPr>
        <w:t xml:space="preserve">                    </w:t>
      </w:r>
    </w:p>
    <w:p w14:paraId="4B38E56D">
      <w:pPr>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传  真：</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传  真：</w:t>
      </w:r>
      <w:r>
        <w:rPr>
          <w:rFonts w:ascii="宋体" w:hAnsi="宋体" w:cs="宋体" w:hint="eastAsia"/>
          <w:color w:val="00B0F0"/>
          <w:u w:val="single"/>
          <w:lang w:eastAsia="zh-CN"/>
        </w:rPr>
        <w:t xml:space="preserve">                    </w:t>
      </w:r>
    </w:p>
    <w:p w14:paraId="70D2BF47">
      <w:pPr>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电子信箱：</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电子信箱：</w:t>
      </w:r>
      <w:r>
        <w:rPr>
          <w:rFonts w:ascii="宋体" w:hAnsi="宋体" w:cs="宋体" w:hint="eastAsia"/>
          <w:color w:val="00B0F0"/>
          <w:u w:val="single"/>
          <w:lang w:eastAsia="zh-CN"/>
        </w:rPr>
        <w:t xml:space="preserve">                  </w:t>
      </w:r>
    </w:p>
    <w:p w14:paraId="7ACED91C">
      <w:pPr>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开户银行：</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开户银行：</w:t>
      </w:r>
      <w:r>
        <w:rPr>
          <w:rFonts w:ascii="宋体" w:hAnsi="宋体" w:cs="宋体" w:hint="eastAsia"/>
          <w:color w:val="00B0F0"/>
          <w:u w:val="single"/>
          <w:lang w:eastAsia="zh-CN"/>
        </w:rPr>
        <w:t xml:space="preserve">                  </w:t>
      </w:r>
    </w:p>
    <w:p w14:paraId="1247DABD">
      <w:pPr>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账  号：</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账  号：</w:t>
      </w:r>
      <w:r>
        <w:rPr>
          <w:rFonts w:ascii="宋体" w:hAnsi="宋体" w:cs="宋体" w:hint="eastAsia"/>
          <w:color w:val="00B0F0"/>
          <w:u w:val="single"/>
          <w:lang w:eastAsia="zh-CN"/>
        </w:rPr>
        <w:t xml:space="preserve">                    </w:t>
      </w:r>
    </w:p>
    <w:p w14:paraId="12B2DF21">
      <w:pPr>
        <w:spacing w:line="360" w:lineRule="auto"/>
        <w:rPr>
          <w:rFonts w:ascii="宋体" w:hAnsi="宋体" w:cs="宋体"/>
          <w:color w:val="000000"/>
          <w:lang w:eastAsia="zh-CN"/>
        </w:rPr>
        <w:sectPr>
          <w:pgSz w:w="11906" w:h="16838"/>
          <w:pgMar w:top="2098" w:right="1757" w:bottom="1984" w:left="1757" w:header="851" w:footer="1417" w:gutter="0"/>
          <w:pgNumType w:start="1"/>
          <w:cols w:num="1" w:space="720"/>
          <w:docGrid w:type="lines" w:linePitch="312" w:charSpace="0"/>
        </w:sectPr>
      </w:pPr>
    </w:p>
    <w:p w14:paraId="587C061C">
      <w:pPr>
        <w:pStyle w:val="Heading1"/>
        <w:spacing w:before="260" w:after="260" w:line="360" w:lineRule="auto"/>
        <w:ind w:left="-240" w:right="-240" w:leftChars="-100" w:rightChars="-100"/>
        <w:jc w:val="center"/>
        <w:rPr>
          <w:rFonts w:ascii="宋体" w:hAnsi="宋体" w:cs="宋体"/>
          <w:bCs w:val="0"/>
          <w:color w:val="000000"/>
          <w:sz w:val="32"/>
          <w:szCs w:val="32"/>
        </w:rPr>
      </w:pPr>
      <w:bookmarkStart w:id="1161" w:name="_Toc725136582"/>
      <w:bookmarkStart w:id="1162" w:name="_Toc1081549402"/>
      <w:bookmarkStart w:id="1163" w:name="_Toc1772115747"/>
      <w:bookmarkStart w:id="1164" w:name="_Toc26547"/>
      <w:bookmarkStart w:id="1165" w:name="_Toc16153"/>
      <w:bookmarkStart w:id="1166" w:name="_Toc10868"/>
      <w:bookmarkStart w:id="1167" w:name="_Toc12223"/>
      <w:r>
        <w:rPr>
          <w:rFonts w:ascii="宋体" w:hAnsi="宋体" w:cs="宋体" w:hint="eastAsia"/>
          <w:bCs w:val="0"/>
          <w:color w:val="000000"/>
          <w:sz w:val="32"/>
          <w:szCs w:val="32"/>
        </w:rPr>
        <w:t>第二部分 通用合同条款</w:t>
      </w:r>
      <w:bookmarkEnd w:id="1161"/>
      <w:bookmarkEnd w:id="1162"/>
      <w:bookmarkEnd w:id="1163"/>
    </w:p>
    <w:bookmarkEnd w:id="1164"/>
    <w:bookmarkEnd w:id="1165"/>
    <w:bookmarkEnd w:id="1166"/>
    <w:bookmarkEnd w:id="1167"/>
    <w:p w14:paraId="6FF8ECB7">
      <w:pPr>
        <w:spacing w:line="360" w:lineRule="auto"/>
        <w:rPr>
          <w:rFonts w:ascii="宋体" w:hAnsi="宋体"/>
          <w:bCs/>
          <w:lang w:eastAsia="zh-CN"/>
        </w:rPr>
      </w:pPr>
      <w:bookmarkStart w:id="1168" w:name="_Toc24563"/>
      <w:bookmarkStart w:id="1169" w:name="_Toc25120"/>
      <w:bookmarkStart w:id="1170" w:name="_Toc1439523315"/>
      <w:bookmarkStart w:id="1171" w:name="_Toc538026417"/>
      <w:bookmarkStart w:id="1172" w:name="_Toc13192"/>
      <w:bookmarkStart w:id="1173" w:name="_Toc20668"/>
      <w:bookmarkStart w:id="1174" w:name="_Toc1254421522"/>
      <w:r>
        <w:rPr>
          <w:rFonts w:ascii="宋体" w:hAnsi="宋体" w:hint="eastAsia"/>
          <w:bCs/>
          <w:lang w:eastAsia="zh-CN"/>
        </w:rPr>
        <w:t>1. 一般约定</w:t>
      </w:r>
    </w:p>
    <w:p w14:paraId="2DE48B71">
      <w:pPr>
        <w:spacing w:line="360" w:lineRule="auto"/>
        <w:rPr>
          <w:rFonts w:ascii="宋体" w:hAnsi="宋体"/>
          <w:bCs/>
          <w:lang w:eastAsia="zh-CN"/>
        </w:rPr>
      </w:pPr>
      <w:r>
        <w:rPr>
          <w:rFonts w:ascii="宋体" w:hAnsi="宋体" w:hint="eastAsia"/>
          <w:bCs/>
          <w:lang w:eastAsia="zh-CN"/>
        </w:rPr>
        <w:t>1.1词语定义与解释</w:t>
      </w:r>
    </w:p>
    <w:p w14:paraId="60D36F3D">
      <w:pPr>
        <w:spacing w:line="360" w:lineRule="auto"/>
        <w:rPr>
          <w:rFonts w:ascii="宋体" w:hAnsi="宋体"/>
          <w:lang w:eastAsia="zh-CN"/>
        </w:rPr>
      </w:pPr>
      <w:r>
        <w:rPr>
          <w:rFonts w:ascii="宋体" w:hAnsi="宋体" w:hint="eastAsia"/>
          <w:lang w:eastAsia="zh-CN"/>
        </w:rPr>
        <w:t>合同协议书、通用合同条款、专用合同条款中的下列词语具有本款所赋予的含义：</w:t>
      </w:r>
    </w:p>
    <w:p w14:paraId="2F3FFE7D">
      <w:pPr>
        <w:spacing w:line="360" w:lineRule="auto"/>
        <w:rPr>
          <w:rFonts w:ascii="宋体" w:hAnsi="宋体"/>
          <w:lang w:eastAsia="zh-CN"/>
        </w:rPr>
      </w:pPr>
      <w:r>
        <w:rPr>
          <w:rFonts w:ascii="宋体" w:hAnsi="宋体" w:hint="eastAsia"/>
          <w:lang w:eastAsia="zh-CN"/>
        </w:rPr>
        <w:t>1.1.1 合同</w:t>
      </w:r>
    </w:p>
    <w:p w14:paraId="093354FB">
      <w:pPr>
        <w:spacing w:line="360" w:lineRule="auto"/>
        <w:rPr>
          <w:rFonts w:ascii="宋体" w:hAnsi="宋体"/>
          <w:lang w:eastAsia="zh-CN"/>
        </w:rPr>
      </w:pPr>
      <w:r>
        <w:rPr>
          <w:rFonts w:ascii="宋体" w:hAnsi="宋体" w:hint="eastAsia"/>
          <w:lang w:eastAsia="zh-CN"/>
        </w:rPr>
        <w:t>1.1.1.1 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29865C08">
      <w:pPr>
        <w:spacing w:line="360" w:lineRule="auto"/>
        <w:rPr>
          <w:rFonts w:ascii="宋体" w:hAnsi="宋体"/>
          <w:lang w:eastAsia="zh-CN"/>
        </w:rPr>
      </w:pPr>
      <w:r>
        <w:rPr>
          <w:rFonts w:ascii="宋体" w:hAnsi="宋体" w:hint="eastAsia"/>
          <w:lang w:eastAsia="zh-CN"/>
        </w:rPr>
        <w:t>1.1.1.2 合同协议书：是指构成合同的由发包人和承包人共同签署的称为“合同协议书”的书面文件。</w:t>
      </w:r>
    </w:p>
    <w:p w14:paraId="24DA2394">
      <w:pPr>
        <w:spacing w:line="360" w:lineRule="auto"/>
        <w:rPr>
          <w:rFonts w:ascii="宋体" w:hAnsi="宋体"/>
          <w:lang w:eastAsia="zh-CN"/>
        </w:rPr>
      </w:pPr>
      <w:r>
        <w:rPr>
          <w:rFonts w:ascii="宋体" w:hAnsi="宋体" w:hint="eastAsia"/>
          <w:lang w:eastAsia="zh-CN"/>
        </w:rPr>
        <w:t>1.1.1.3 中标通知书：是指构成合同的由发包人通知承包人中标的书面文件。</w:t>
      </w:r>
    </w:p>
    <w:p w14:paraId="1133D511">
      <w:pPr>
        <w:spacing w:line="360" w:lineRule="auto"/>
        <w:rPr>
          <w:rFonts w:ascii="宋体" w:hAnsi="宋体"/>
          <w:lang w:eastAsia="zh-CN"/>
        </w:rPr>
      </w:pPr>
      <w:r>
        <w:rPr>
          <w:rFonts w:ascii="宋体" w:hAnsi="宋体" w:hint="eastAsia"/>
          <w:lang w:eastAsia="zh-CN"/>
        </w:rPr>
        <w:t>1.1.1.4 投标函：是指构成合同的由承包人填写并签署的用于投标的称为“投标函”的文件。</w:t>
      </w:r>
    </w:p>
    <w:p w14:paraId="3C0FC3EF">
      <w:pPr>
        <w:spacing w:line="360" w:lineRule="auto"/>
        <w:rPr>
          <w:rFonts w:ascii="宋体" w:hAnsi="宋体"/>
          <w:lang w:eastAsia="zh-CN"/>
        </w:rPr>
      </w:pPr>
      <w:r>
        <w:rPr>
          <w:rFonts w:ascii="宋体" w:hAnsi="宋体" w:hint="eastAsia"/>
          <w:lang w:eastAsia="zh-CN"/>
        </w:rPr>
        <w:t>1.1.1.5 投标函附录：是指构成合同的附在投标函后的称为“投标函附录”的文件。</w:t>
      </w:r>
    </w:p>
    <w:p w14:paraId="64950B4C">
      <w:pPr>
        <w:spacing w:line="360" w:lineRule="auto"/>
        <w:rPr>
          <w:rFonts w:ascii="宋体" w:hAnsi="宋体"/>
          <w:lang w:eastAsia="zh-CN"/>
        </w:rPr>
      </w:pPr>
      <w:r>
        <w:rPr>
          <w:rFonts w:ascii="宋体" w:hAnsi="宋体" w:hint="eastAsia"/>
          <w:lang w:eastAsia="zh-CN"/>
        </w:rPr>
        <w:t>1.1.1.6 技术标准和要求：是指构成合同的施工应当遵守的或指导施工的国家、行业或地方的技术标准和要求，以及合同约定的技术标准和要求。</w:t>
      </w:r>
    </w:p>
    <w:p w14:paraId="61C2A66F">
      <w:pPr>
        <w:spacing w:line="360" w:lineRule="auto"/>
        <w:rPr>
          <w:rFonts w:ascii="宋体" w:hAnsi="宋体"/>
          <w:lang w:eastAsia="zh-CN"/>
        </w:rPr>
      </w:pPr>
      <w:r>
        <w:rPr>
          <w:rFonts w:ascii="宋体" w:hAnsi="宋体" w:hint="eastAsia"/>
          <w:lang w:eastAsia="zh-CN"/>
        </w:rPr>
        <w:t>1.1.1.7 图纸：是指构成合同的图纸，包括由发包人按照合同约定提供或经发包人批准的设计文件、施工图、鸟瞰图及模型等，以及在合同履行过程中形成的图纸文件。图纸应当按照法律规定审查合格。</w:t>
      </w:r>
    </w:p>
    <w:p w14:paraId="780E0792">
      <w:pPr>
        <w:spacing w:line="360" w:lineRule="auto"/>
        <w:rPr>
          <w:rFonts w:ascii="宋体" w:hAnsi="宋体"/>
          <w:lang w:eastAsia="zh-CN"/>
        </w:rPr>
      </w:pPr>
      <w:r>
        <w:rPr>
          <w:rFonts w:ascii="宋体" w:hAnsi="宋体" w:hint="eastAsia"/>
          <w:lang w:eastAsia="zh-CN"/>
        </w:rPr>
        <w:t>1.1.1.8 已标价工程量清单：是指构成合同的由承包人按照规定的格式和要求填写并标明价格的工程量清单，包括说明和表格。</w:t>
      </w:r>
    </w:p>
    <w:p w14:paraId="48426448">
      <w:pPr>
        <w:spacing w:line="360" w:lineRule="auto"/>
        <w:rPr>
          <w:rFonts w:ascii="宋体" w:hAnsi="宋体"/>
          <w:lang w:eastAsia="zh-CN"/>
        </w:rPr>
      </w:pPr>
      <w:r>
        <w:rPr>
          <w:rFonts w:ascii="宋体" w:hAnsi="宋体" w:hint="eastAsia"/>
          <w:lang w:eastAsia="zh-CN"/>
        </w:rPr>
        <w:t>1.1.1.9 预算书：是指构成合同的由承包人按照发包人规定的格式和要求编制的工程预算文件。</w:t>
      </w:r>
    </w:p>
    <w:p w14:paraId="1829E8B8">
      <w:pPr>
        <w:spacing w:line="360" w:lineRule="auto"/>
        <w:rPr>
          <w:rFonts w:ascii="宋体" w:hAnsi="宋体"/>
          <w:lang w:eastAsia="zh-CN"/>
        </w:rPr>
      </w:pPr>
      <w:r>
        <w:rPr>
          <w:rFonts w:ascii="宋体" w:hAnsi="宋体" w:hint="eastAsia"/>
          <w:lang w:eastAsia="zh-CN"/>
        </w:rPr>
        <w:t>1.1.1.10 其他合同文件：是指经合同当事人约定的与工程施工有关的具有合同约束力的文件或书面协议。合同当事人可以在专用合同条款中进行约定。</w:t>
      </w:r>
    </w:p>
    <w:p w14:paraId="5D832F5D">
      <w:pPr>
        <w:spacing w:line="360" w:lineRule="auto"/>
        <w:rPr>
          <w:rFonts w:ascii="宋体" w:hAnsi="宋体"/>
          <w:lang w:eastAsia="zh-CN"/>
        </w:rPr>
      </w:pPr>
      <w:r>
        <w:rPr>
          <w:rFonts w:ascii="宋体" w:hAnsi="宋体" w:hint="eastAsia"/>
          <w:lang w:eastAsia="zh-CN"/>
        </w:rPr>
        <w:t>1.1.2 合同当事人及其他相关方</w:t>
      </w:r>
    </w:p>
    <w:p w14:paraId="2415F66A">
      <w:pPr>
        <w:spacing w:line="360" w:lineRule="auto"/>
        <w:rPr>
          <w:rFonts w:ascii="宋体" w:hAnsi="宋体"/>
          <w:lang w:eastAsia="zh-CN"/>
        </w:rPr>
      </w:pPr>
      <w:r>
        <w:rPr>
          <w:rFonts w:ascii="宋体" w:hAnsi="宋体" w:hint="eastAsia"/>
          <w:lang w:eastAsia="zh-CN"/>
        </w:rPr>
        <w:t>1.1.2.1 合同当事人：是指发包人和（或）承包人。</w:t>
      </w:r>
    </w:p>
    <w:p w14:paraId="19754F59">
      <w:pPr>
        <w:spacing w:line="360" w:lineRule="auto"/>
        <w:rPr>
          <w:rFonts w:ascii="宋体" w:hAnsi="宋体"/>
          <w:lang w:eastAsia="zh-CN"/>
        </w:rPr>
      </w:pPr>
      <w:r>
        <w:rPr>
          <w:rFonts w:ascii="宋体" w:hAnsi="宋体" w:hint="eastAsia"/>
          <w:lang w:eastAsia="zh-CN"/>
        </w:rPr>
        <w:t>1.1.2.2 发包人：是指与承包人签订合同协议书的当事人及取得该当事人资格的合法继承人。</w:t>
      </w:r>
    </w:p>
    <w:p w14:paraId="6C353A79">
      <w:pPr>
        <w:spacing w:line="360" w:lineRule="auto"/>
        <w:rPr>
          <w:rFonts w:ascii="宋体" w:hAnsi="宋体"/>
          <w:lang w:eastAsia="zh-CN"/>
        </w:rPr>
      </w:pPr>
      <w:r>
        <w:rPr>
          <w:rFonts w:ascii="宋体" w:hAnsi="宋体" w:hint="eastAsia"/>
          <w:lang w:eastAsia="zh-CN"/>
        </w:rPr>
        <w:t>1.1.2.3 承包人：是指与发包人签订合同协议书的，具有相应工程施工承包资质的当事人及取得该当事人资格的合法继承人。</w:t>
      </w:r>
    </w:p>
    <w:p w14:paraId="167D892F">
      <w:pPr>
        <w:spacing w:line="360" w:lineRule="auto"/>
        <w:rPr>
          <w:rFonts w:ascii="宋体" w:hAnsi="宋体"/>
          <w:lang w:eastAsia="zh-CN"/>
        </w:rPr>
      </w:pPr>
      <w:r>
        <w:rPr>
          <w:rFonts w:ascii="宋体" w:hAnsi="宋体" w:hint="eastAsia"/>
          <w:lang w:eastAsia="zh-CN"/>
        </w:rPr>
        <w:t>1.1.2.4 监理人：是指在专用合同条款中指明的，受发包人委托按照法律规定进行工程监督管理的法人或其他组织。</w:t>
      </w:r>
    </w:p>
    <w:p w14:paraId="6FB25105">
      <w:pPr>
        <w:spacing w:line="360" w:lineRule="auto"/>
        <w:rPr>
          <w:rFonts w:ascii="宋体" w:hAnsi="宋体"/>
          <w:lang w:eastAsia="zh-CN"/>
        </w:rPr>
      </w:pPr>
      <w:r>
        <w:rPr>
          <w:rFonts w:ascii="宋体" w:hAnsi="宋体" w:hint="eastAsia"/>
          <w:lang w:eastAsia="zh-CN"/>
        </w:rPr>
        <w:t>1.1.2.5 设计人：是指在专用合同条款中指明的，受发包人委托负责工程设计并具备相应工程设计资质的法人或其他组织。</w:t>
      </w:r>
    </w:p>
    <w:p w14:paraId="476180EC">
      <w:pPr>
        <w:spacing w:line="360" w:lineRule="auto"/>
        <w:rPr>
          <w:rFonts w:ascii="宋体" w:hAnsi="宋体"/>
          <w:lang w:eastAsia="zh-CN"/>
        </w:rPr>
      </w:pPr>
      <w:r>
        <w:rPr>
          <w:rFonts w:ascii="宋体" w:hAnsi="宋体" w:hint="eastAsia"/>
          <w:lang w:eastAsia="zh-CN"/>
        </w:rPr>
        <w:t>1.1.2.6 分包人：是指按照法律规定和合同约定，分包部分工程或工作，并与承包人签订分包合同的具有相应资质的法人。</w:t>
      </w:r>
    </w:p>
    <w:p w14:paraId="25EFF2DA">
      <w:pPr>
        <w:spacing w:line="360" w:lineRule="auto"/>
        <w:rPr>
          <w:rFonts w:ascii="宋体" w:hAnsi="宋体"/>
          <w:lang w:eastAsia="zh-CN"/>
        </w:rPr>
      </w:pPr>
      <w:r>
        <w:rPr>
          <w:rFonts w:ascii="宋体" w:hAnsi="宋体" w:hint="eastAsia"/>
          <w:lang w:eastAsia="zh-CN"/>
        </w:rPr>
        <w:t>1.1.2.7 发包人代表：是指由发包人任命并派驻施工现场在发包人授权范围内行使发包人权利的人。</w:t>
      </w:r>
    </w:p>
    <w:p w14:paraId="08E6CD59">
      <w:pPr>
        <w:spacing w:line="360" w:lineRule="auto"/>
        <w:rPr>
          <w:rFonts w:ascii="宋体" w:hAnsi="宋体"/>
          <w:lang w:eastAsia="zh-CN"/>
        </w:rPr>
      </w:pPr>
      <w:r>
        <w:rPr>
          <w:rFonts w:ascii="宋体" w:hAnsi="宋体" w:hint="eastAsia"/>
          <w:lang w:eastAsia="zh-CN"/>
        </w:rPr>
        <w:t>1.1.2.8 项目经理：是指由承包人任命并派驻施工现场，在承包人授权范围内负责合同履行，且按照法律规定具有相应资格的项目负责人。</w:t>
      </w:r>
    </w:p>
    <w:p w14:paraId="45BD7020">
      <w:pPr>
        <w:spacing w:line="360" w:lineRule="auto"/>
        <w:rPr>
          <w:rFonts w:ascii="宋体" w:hAnsi="宋体"/>
          <w:lang w:eastAsia="zh-CN"/>
        </w:rPr>
      </w:pPr>
      <w:r>
        <w:rPr>
          <w:rFonts w:ascii="宋体" w:hAnsi="宋体" w:hint="eastAsia"/>
          <w:lang w:eastAsia="zh-CN"/>
        </w:rPr>
        <w:t>1.1.2.9 总监理工程师：是指由监理人任命并派驻施工现场进行工程监理的总负责人。</w:t>
      </w:r>
    </w:p>
    <w:p w14:paraId="5E23E7F4">
      <w:pPr>
        <w:spacing w:line="360" w:lineRule="auto"/>
        <w:rPr>
          <w:rFonts w:ascii="宋体" w:hAnsi="宋体"/>
          <w:lang w:eastAsia="zh-CN"/>
        </w:rPr>
      </w:pPr>
      <w:r>
        <w:rPr>
          <w:rFonts w:ascii="宋体" w:hAnsi="宋体" w:hint="eastAsia"/>
          <w:lang w:eastAsia="zh-CN"/>
        </w:rPr>
        <w:t>1.1.3 工程和设备</w:t>
      </w:r>
    </w:p>
    <w:p w14:paraId="41B17249">
      <w:pPr>
        <w:spacing w:line="360" w:lineRule="auto"/>
        <w:rPr>
          <w:rFonts w:ascii="宋体" w:hAnsi="宋体"/>
          <w:lang w:eastAsia="zh-CN"/>
        </w:rPr>
      </w:pPr>
      <w:r>
        <w:rPr>
          <w:rFonts w:ascii="宋体" w:hAnsi="宋体" w:hint="eastAsia"/>
          <w:lang w:eastAsia="zh-CN"/>
        </w:rPr>
        <w:t>1.1.3.1 工程：是指与合同协议书中工程承包范围对应的永久工程和（或）临时工程。</w:t>
      </w:r>
    </w:p>
    <w:p w14:paraId="5ADF320E">
      <w:pPr>
        <w:spacing w:line="360" w:lineRule="auto"/>
        <w:rPr>
          <w:rFonts w:ascii="宋体" w:hAnsi="宋体"/>
          <w:lang w:eastAsia="zh-CN"/>
        </w:rPr>
      </w:pPr>
      <w:r>
        <w:rPr>
          <w:rFonts w:ascii="宋体" w:hAnsi="宋体" w:hint="eastAsia"/>
          <w:lang w:eastAsia="zh-CN"/>
        </w:rPr>
        <w:t>1.1.3.2 永久工程：是指按合同约定建造并移交给发包人的工程，包括工程设备。</w:t>
      </w:r>
    </w:p>
    <w:p w14:paraId="478465E4">
      <w:pPr>
        <w:spacing w:line="360" w:lineRule="auto"/>
        <w:rPr>
          <w:rFonts w:ascii="宋体" w:hAnsi="宋体"/>
          <w:lang w:eastAsia="zh-CN"/>
        </w:rPr>
      </w:pPr>
      <w:r>
        <w:rPr>
          <w:rFonts w:ascii="宋体" w:hAnsi="宋体" w:hint="eastAsia"/>
          <w:lang w:eastAsia="zh-CN"/>
        </w:rPr>
        <w:t>1.1.3.3 临时工程：是指为完成合同约定的永久工程所修建的各类临时性工程，不包括施工设备。</w:t>
      </w:r>
    </w:p>
    <w:p w14:paraId="6E022C50">
      <w:pPr>
        <w:spacing w:line="360" w:lineRule="auto"/>
        <w:rPr>
          <w:rFonts w:ascii="宋体" w:hAnsi="宋体"/>
          <w:lang w:eastAsia="zh-CN"/>
        </w:rPr>
      </w:pPr>
      <w:r>
        <w:rPr>
          <w:rFonts w:ascii="宋体" w:hAnsi="宋体" w:hint="eastAsia"/>
          <w:lang w:eastAsia="zh-CN"/>
        </w:rPr>
        <w:t>1.1.3.4 单位工程：是指在合同协议书中指明的，具备独立施工条件并能形成独立使用功能的永久工程。</w:t>
      </w:r>
    </w:p>
    <w:p w14:paraId="5BC8CED8">
      <w:pPr>
        <w:spacing w:line="360" w:lineRule="auto"/>
        <w:rPr>
          <w:rFonts w:ascii="宋体" w:hAnsi="宋体"/>
          <w:lang w:eastAsia="zh-CN"/>
        </w:rPr>
      </w:pPr>
      <w:r>
        <w:rPr>
          <w:rFonts w:ascii="宋体" w:hAnsi="宋体" w:hint="eastAsia"/>
          <w:lang w:eastAsia="zh-CN"/>
        </w:rPr>
        <w:t>1.1.3.5 工程设备：是指构成永久工程的机电设备、金属结构设备、仪器及其他类似的设备和装置。</w:t>
      </w:r>
    </w:p>
    <w:p w14:paraId="24C74ECE">
      <w:pPr>
        <w:spacing w:line="360" w:lineRule="auto"/>
        <w:rPr>
          <w:rFonts w:ascii="宋体" w:hAnsi="宋体"/>
          <w:lang w:eastAsia="zh-CN"/>
        </w:rPr>
      </w:pPr>
      <w:r>
        <w:rPr>
          <w:rFonts w:ascii="宋体" w:hAnsi="宋体" w:hint="eastAsia"/>
          <w:lang w:eastAsia="zh-CN"/>
        </w:rPr>
        <w:t>1.1.3.6 施工设备：是指为完成合同约定的各项工作所需的设备、器具和其他物品，但不包括工程设备、临时工程和材料。</w:t>
      </w:r>
    </w:p>
    <w:p w14:paraId="4F73CA3E">
      <w:pPr>
        <w:spacing w:line="360" w:lineRule="auto"/>
        <w:rPr>
          <w:rFonts w:ascii="宋体" w:hAnsi="宋体"/>
          <w:lang w:eastAsia="zh-CN"/>
        </w:rPr>
      </w:pPr>
      <w:r>
        <w:rPr>
          <w:rFonts w:ascii="宋体" w:hAnsi="宋体" w:hint="eastAsia"/>
          <w:lang w:eastAsia="zh-CN"/>
        </w:rPr>
        <w:t>1.1.3.7 施工现场：是指用于工程施工的场所，以及在专用合同条款中指明作为施工场所组成部分的其他场所，包括永久占地和临时占地。</w:t>
      </w:r>
    </w:p>
    <w:p w14:paraId="7A2602CE">
      <w:pPr>
        <w:spacing w:line="360" w:lineRule="auto"/>
        <w:rPr>
          <w:rFonts w:ascii="宋体" w:hAnsi="宋体"/>
          <w:lang w:eastAsia="zh-CN"/>
        </w:rPr>
      </w:pPr>
      <w:r>
        <w:rPr>
          <w:rFonts w:ascii="宋体" w:hAnsi="宋体" w:hint="eastAsia"/>
          <w:lang w:eastAsia="zh-CN"/>
        </w:rPr>
        <w:t>1.1.3.8临时设施：是指为完成合同约定的各项工作所服务的临时性生产和生活设施。</w:t>
      </w:r>
    </w:p>
    <w:p w14:paraId="5DF8EB1E">
      <w:pPr>
        <w:spacing w:line="360" w:lineRule="auto"/>
        <w:rPr>
          <w:rFonts w:ascii="宋体" w:hAnsi="宋体"/>
          <w:lang w:eastAsia="zh-CN"/>
        </w:rPr>
      </w:pPr>
      <w:r>
        <w:rPr>
          <w:rFonts w:ascii="宋体" w:hAnsi="宋体" w:hint="eastAsia"/>
          <w:lang w:eastAsia="zh-CN"/>
        </w:rPr>
        <w:t>1.1.3.9 永久占地：是指专用合同条款中指明为实施工程需永久占用的土地。</w:t>
      </w:r>
    </w:p>
    <w:p w14:paraId="73F372CD">
      <w:pPr>
        <w:spacing w:line="360" w:lineRule="auto"/>
        <w:rPr>
          <w:rFonts w:ascii="宋体" w:hAnsi="宋体"/>
          <w:lang w:eastAsia="zh-CN"/>
        </w:rPr>
      </w:pPr>
      <w:r>
        <w:rPr>
          <w:rFonts w:ascii="宋体" w:hAnsi="宋体" w:hint="eastAsia"/>
          <w:lang w:eastAsia="zh-CN"/>
        </w:rPr>
        <w:t>1.1.3.10 临时占地：是指专用合同条款中指明为实施工程需要临时占用的土地。</w:t>
      </w:r>
    </w:p>
    <w:p w14:paraId="26A86F85">
      <w:pPr>
        <w:spacing w:line="360" w:lineRule="auto"/>
        <w:rPr>
          <w:rFonts w:ascii="宋体" w:hAnsi="宋体"/>
          <w:lang w:eastAsia="zh-CN"/>
        </w:rPr>
      </w:pPr>
      <w:r>
        <w:rPr>
          <w:rFonts w:ascii="宋体" w:hAnsi="宋体" w:hint="eastAsia"/>
          <w:lang w:eastAsia="zh-CN"/>
        </w:rPr>
        <w:t>1.1.4 日期和期限</w:t>
      </w:r>
    </w:p>
    <w:p w14:paraId="22E19D97">
      <w:pPr>
        <w:spacing w:line="360" w:lineRule="auto"/>
        <w:rPr>
          <w:rFonts w:ascii="宋体" w:hAnsi="宋体"/>
          <w:lang w:eastAsia="zh-CN"/>
        </w:rPr>
      </w:pPr>
      <w:r>
        <w:rPr>
          <w:rFonts w:ascii="宋体" w:hAnsi="宋体" w:hint="eastAsia"/>
          <w:lang w:eastAsia="zh-CN"/>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52002320">
      <w:pPr>
        <w:spacing w:line="360" w:lineRule="auto"/>
        <w:rPr>
          <w:rFonts w:ascii="宋体" w:hAnsi="宋体"/>
          <w:lang w:eastAsia="zh-CN"/>
        </w:rPr>
      </w:pPr>
      <w:r>
        <w:rPr>
          <w:rFonts w:ascii="宋体" w:hAnsi="宋体" w:hint="eastAsia"/>
          <w:lang w:eastAsia="zh-CN"/>
        </w:rPr>
        <w:t xml:space="preserve">1.1.4.2 竣工日期：包括计划竣工日期和实际竣工日期。计划竣工日期是指合同协议书约定的竣工日期；实际竣工日期按照第13.2.3项〔竣工日期〕的约定确定。 </w:t>
      </w:r>
    </w:p>
    <w:p w14:paraId="39824A0F">
      <w:pPr>
        <w:spacing w:line="360" w:lineRule="auto"/>
        <w:rPr>
          <w:rFonts w:ascii="宋体" w:hAnsi="宋体"/>
          <w:lang w:eastAsia="zh-CN"/>
        </w:rPr>
      </w:pPr>
      <w:r>
        <w:rPr>
          <w:rFonts w:ascii="宋体" w:hAnsi="宋体" w:hint="eastAsia"/>
          <w:lang w:eastAsia="zh-CN"/>
        </w:rPr>
        <w:t>1.1.4.3 工期：是指在合同协议书约定的承包人完成工程所需的期限，包括按照合同约定所作的期限变更。</w:t>
      </w:r>
    </w:p>
    <w:p w14:paraId="13B719FC">
      <w:pPr>
        <w:spacing w:line="360" w:lineRule="auto"/>
        <w:rPr>
          <w:rFonts w:ascii="宋体" w:hAnsi="宋体"/>
          <w:lang w:eastAsia="zh-CN"/>
        </w:rPr>
      </w:pPr>
      <w:r>
        <w:rPr>
          <w:rFonts w:ascii="宋体" w:hAnsi="宋体" w:hint="eastAsia"/>
          <w:lang w:eastAsia="zh-CN"/>
        </w:rPr>
        <w:t>1.1.4.4 缺陷责任期：是指承包人按照合同约定承担缺陷修复义务，且发包人预留质量保证金（已缴纳履约保证金的除外）的期限，自工程实际竣工日期起计算。</w:t>
      </w:r>
    </w:p>
    <w:p w14:paraId="296966B8">
      <w:pPr>
        <w:spacing w:line="360" w:lineRule="auto"/>
        <w:rPr>
          <w:rFonts w:ascii="宋体" w:hAnsi="宋体"/>
          <w:lang w:eastAsia="zh-CN"/>
        </w:rPr>
      </w:pPr>
      <w:r>
        <w:rPr>
          <w:rFonts w:ascii="宋体" w:hAnsi="宋体" w:hint="eastAsia"/>
          <w:lang w:eastAsia="zh-CN"/>
        </w:rPr>
        <w:t>1.1.4.5 保修期：是指承包人按照合同约定对工程承担保修责任的期限，从工程竣工验收合格之日起计算。</w:t>
      </w:r>
    </w:p>
    <w:p w14:paraId="0E83AA17">
      <w:pPr>
        <w:spacing w:line="360" w:lineRule="auto"/>
        <w:rPr>
          <w:rFonts w:ascii="宋体" w:hAnsi="宋体"/>
          <w:lang w:eastAsia="zh-CN"/>
        </w:rPr>
      </w:pPr>
      <w:r>
        <w:rPr>
          <w:rFonts w:ascii="宋体" w:hAnsi="宋体" w:hint="eastAsia"/>
          <w:lang w:eastAsia="zh-CN"/>
        </w:rPr>
        <w:t>1.1.4.6 基准日期：招标发包的工程以投标截止日前28天的日期为基准日期，直接发包的工程以合同签订日前28天的日期为基准日期。</w:t>
      </w:r>
    </w:p>
    <w:p w14:paraId="58BD017B">
      <w:pPr>
        <w:spacing w:line="360" w:lineRule="auto"/>
        <w:rPr>
          <w:rFonts w:ascii="宋体" w:hAnsi="宋体"/>
          <w:lang w:eastAsia="zh-CN"/>
        </w:rPr>
      </w:pPr>
      <w:r>
        <w:rPr>
          <w:rFonts w:ascii="宋体" w:hAnsi="宋体" w:hint="eastAsia"/>
          <w:lang w:eastAsia="zh-CN"/>
        </w:rPr>
        <w:t>1.1.4.7 天：除特别指明外，均指日历天。合同中按天计算时间的，开始当天不计入，从次日开始计算，期限最后一天的截止时间为当天24:00时。</w:t>
      </w:r>
    </w:p>
    <w:p w14:paraId="072173E4">
      <w:pPr>
        <w:spacing w:line="360" w:lineRule="auto"/>
        <w:rPr>
          <w:rFonts w:ascii="宋体" w:hAnsi="宋体"/>
          <w:lang w:eastAsia="zh-CN"/>
        </w:rPr>
      </w:pPr>
      <w:r>
        <w:rPr>
          <w:rFonts w:ascii="宋体" w:hAnsi="宋体" w:hint="eastAsia"/>
          <w:lang w:eastAsia="zh-CN"/>
        </w:rPr>
        <w:t>1.1.5 合同价格和费用</w:t>
      </w:r>
    </w:p>
    <w:p w14:paraId="5F404015">
      <w:pPr>
        <w:spacing w:line="360" w:lineRule="auto"/>
        <w:rPr>
          <w:rFonts w:ascii="宋体" w:hAnsi="宋体"/>
          <w:lang w:eastAsia="zh-CN"/>
        </w:rPr>
      </w:pPr>
      <w:r>
        <w:rPr>
          <w:rFonts w:ascii="宋体" w:hAnsi="宋体" w:hint="eastAsia"/>
          <w:lang w:eastAsia="zh-CN"/>
        </w:rPr>
        <w:t>1.1.5.1 签约合同价：是指发包人和承包人在合同协议书中确定的总金额，包括安全文明施工费、暂估价及暂列金额等。</w:t>
      </w:r>
    </w:p>
    <w:p w14:paraId="35B39622">
      <w:pPr>
        <w:spacing w:line="360" w:lineRule="auto"/>
        <w:rPr>
          <w:rFonts w:ascii="宋体" w:hAnsi="宋体"/>
          <w:lang w:eastAsia="zh-CN"/>
        </w:rPr>
      </w:pPr>
      <w:r>
        <w:rPr>
          <w:rFonts w:ascii="宋体" w:hAnsi="宋体" w:hint="eastAsia"/>
          <w:lang w:eastAsia="zh-CN"/>
        </w:rPr>
        <w:t>1.1.5.2 合同价格：是指发包人用于支付承包人按照合同约定完成承包范围内全部工作的金额，包括合同履行过程中按合同约定发生的价格变化。</w:t>
      </w:r>
    </w:p>
    <w:p w14:paraId="1EB9A4CF">
      <w:pPr>
        <w:spacing w:line="360" w:lineRule="auto"/>
        <w:rPr>
          <w:rFonts w:ascii="宋体" w:hAnsi="宋体"/>
          <w:lang w:eastAsia="zh-CN"/>
        </w:rPr>
      </w:pPr>
      <w:r>
        <w:rPr>
          <w:rFonts w:ascii="宋体" w:hAnsi="宋体" w:hint="eastAsia"/>
          <w:lang w:eastAsia="zh-CN"/>
        </w:rPr>
        <w:t>1.1.5.3 费用：是指为履行合同所发生的或将要发生的所有必需的开支，包括管理费和应分摊的其他费用，但不包括利润。</w:t>
      </w:r>
    </w:p>
    <w:p w14:paraId="27340338">
      <w:pPr>
        <w:spacing w:line="360" w:lineRule="auto"/>
        <w:rPr>
          <w:rFonts w:ascii="宋体" w:hAnsi="宋体"/>
          <w:lang w:eastAsia="zh-CN"/>
        </w:rPr>
      </w:pPr>
      <w:r>
        <w:rPr>
          <w:rFonts w:ascii="宋体" w:hAnsi="宋体" w:hint="eastAsia"/>
          <w:lang w:eastAsia="zh-CN"/>
        </w:rPr>
        <w:t>1.1.5.4 暂估价：是指发包人在工程量清单或预算书中提供的用于支付必然发生但暂时不能确定价格的材料、工程设备的单价、专业工程以及服务工作的金额。</w:t>
      </w:r>
    </w:p>
    <w:p w14:paraId="7E816344">
      <w:pPr>
        <w:spacing w:line="360" w:lineRule="auto"/>
        <w:rPr>
          <w:rFonts w:ascii="宋体" w:hAnsi="宋体"/>
          <w:lang w:eastAsia="zh-CN"/>
        </w:rPr>
      </w:pPr>
      <w:r>
        <w:rPr>
          <w:rFonts w:ascii="宋体" w:hAnsi="宋体" w:hint="eastAsia"/>
          <w:lang w:eastAsia="zh-CN"/>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20B95F49">
      <w:pPr>
        <w:spacing w:line="360" w:lineRule="auto"/>
        <w:rPr>
          <w:rFonts w:ascii="宋体" w:hAnsi="宋体"/>
          <w:lang w:eastAsia="zh-CN"/>
        </w:rPr>
      </w:pPr>
      <w:r>
        <w:rPr>
          <w:rFonts w:ascii="宋体" w:hAnsi="宋体" w:hint="eastAsia"/>
          <w:lang w:eastAsia="zh-CN"/>
        </w:rPr>
        <w:t>1.1.5.6 计日工：是指合同履行过程中，承包人完成发包人提出的零星工作或需要采用计日工计价的变更工作时，按合同中约定的单价计价的一种方式。</w:t>
      </w:r>
    </w:p>
    <w:p w14:paraId="4989808A">
      <w:pPr>
        <w:spacing w:line="360" w:lineRule="auto"/>
        <w:rPr>
          <w:rFonts w:ascii="宋体" w:hAnsi="宋体"/>
          <w:lang w:eastAsia="zh-CN"/>
        </w:rPr>
      </w:pPr>
      <w:r>
        <w:rPr>
          <w:rFonts w:ascii="宋体" w:hAnsi="宋体" w:hint="eastAsia"/>
          <w:lang w:eastAsia="zh-CN"/>
        </w:rPr>
        <w:t>1.1.5.7 质量保证金：是指按照第15.3款〔质量保证金〕约定承包人用于保证其在缺陷责任期内履行缺陷修补义务的担保。</w:t>
      </w:r>
    </w:p>
    <w:p w14:paraId="0FC9BDA2">
      <w:pPr>
        <w:spacing w:line="360" w:lineRule="auto"/>
        <w:rPr>
          <w:rFonts w:ascii="宋体" w:hAnsi="宋体"/>
          <w:lang w:eastAsia="zh-CN"/>
        </w:rPr>
      </w:pPr>
      <w:r>
        <w:rPr>
          <w:rFonts w:ascii="宋体" w:hAnsi="宋体" w:hint="eastAsia"/>
          <w:lang w:eastAsia="zh-CN"/>
        </w:rPr>
        <w:t>1.1.5.8 总价项目：是指在现行国家、行业以及地方的计量规则中无工程量计算规则，在已标价工程量清单或预算书中以总价或以费率形式计算的项目。</w:t>
      </w:r>
    </w:p>
    <w:p w14:paraId="5611F2DF">
      <w:pPr>
        <w:spacing w:line="360" w:lineRule="auto"/>
        <w:rPr>
          <w:rFonts w:ascii="宋体" w:hAnsi="宋体"/>
          <w:lang w:eastAsia="zh-CN"/>
        </w:rPr>
      </w:pPr>
      <w:r>
        <w:rPr>
          <w:rFonts w:ascii="宋体" w:hAnsi="宋体" w:hint="eastAsia"/>
          <w:lang w:eastAsia="zh-CN"/>
        </w:rPr>
        <w:t>1.1.6 其他</w:t>
      </w:r>
    </w:p>
    <w:p w14:paraId="7C4F4F26">
      <w:pPr>
        <w:spacing w:line="360" w:lineRule="auto"/>
        <w:rPr>
          <w:rFonts w:ascii="宋体" w:hAnsi="宋体"/>
          <w:lang w:eastAsia="zh-CN"/>
        </w:rPr>
      </w:pPr>
      <w:r>
        <w:rPr>
          <w:rFonts w:ascii="宋体" w:hAnsi="宋体" w:hint="eastAsia"/>
          <w:lang w:eastAsia="zh-CN"/>
        </w:rPr>
        <w:t>1.1.6.1 书面形式：是指合同文件、信函、电报、传真等可以有形地表现所载内容的形式。</w:t>
      </w:r>
    </w:p>
    <w:p w14:paraId="003664E5">
      <w:pPr>
        <w:spacing w:line="360" w:lineRule="auto"/>
        <w:rPr>
          <w:rFonts w:ascii="宋体" w:hAnsi="宋体"/>
          <w:bCs/>
          <w:lang w:eastAsia="zh-CN"/>
        </w:rPr>
      </w:pPr>
      <w:r>
        <w:rPr>
          <w:rFonts w:ascii="宋体" w:hAnsi="宋体" w:hint="eastAsia"/>
          <w:bCs/>
          <w:lang w:eastAsia="zh-CN"/>
        </w:rPr>
        <w:t>1.2语言文字</w:t>
      </w:r>
    </w:p>
    <w:p w14:paraId="3307971F">
      <w:pPr>
        <w:spacing w:line="360" w:lineRule="auto"/>
        <w:rPr>
          <w:rFonts w:ascii="宋体" w:hAnsi="宋体"/>
          <w:lang w:eastAsia="zh-CN"/>
        </w:rPr>
      </w:pPr>
      <w:r>
        <w:rPr>
          <w:rFonts w:ascii="宋体" w:hAnsi="宋体" w:hint="eastAsia"/>
          <w:lang w:eastAsia="zh-CN"/>
        </w:rPr>
        <w:t>合同以中国的汉语简体文字编写、解释和说明。合同当事人在专用合同条款中约定使用两种以上语言时，汉语为优先解释和说明合同的语言。</w:t>
      </w:r>
    </w:p>
    <w:p w14:paraId="29AB463A">
      <w:pPr>
        <w:spacing w:line="360" w:lineRule="auto"/>
        <w:rPr>
          <w:rFonts w:ascii="宋体" w:hAnsi="宋体"/>
          <w:bCs/>
          <w:lang w:eastAsia="zh-CN"/>
        </w:rPr>
      </w:pPr>
      <w:r>
        <w:rPr>
          <w:rFonts w:ascii="宋体" w:hAnsi="宋体" w:hint="eastAsia"/>
          <w:bCs/>
          <w:lang w:eastAsia="zh-CN"/>
        </w:rPr>
        <w:t>1.3法律</w:t>
      </w:r>
    </w:p>
    <w:p w14:paraId="03AB8C2E">
      <w:pPr>
        <w:spacing w:line="360" w:lineRule="auto"/>
        <w:rPr>
          <w:rFonts w:ascii="宋体" w:hAnsi="宋体"/>
          <w:lang w:eastAsia="zh-CN"/>
        </w:rPr>
      </w:pPr>
      <w:r>
        <w:rPr>
          <w:rFonts w:ascii="宋体" w:hAnsi="宋体" w:hint="eastAsia"/>
          <w:lang w:eastAsia="zh-CN"/>
        </w:rPr>
        <w:t>合同所称法律是指中华人民共和国法律、行政法规、部门规章，以及工程所在地的地方性法规、自治条例、单行条例和地方政府规章等。</w:t>
      </w:r>
    </w:p>
    <w:p w14:paraId="66FEF80F">
      <w:pPr>
        <w:spacing w:line="360" w:lineRule="auto"/>
        <w:rPr>
          <w:rFonts w:ascii="宋体" w:hAnsi="宋体"/>
          <w:lang w:eastAsia="zh-CN"/>
        </w:rPr>
      </w:pPr>
      <w:r>
        <w:rPr>
          <w:rFonts w:ascii="宋体" w:hAnsi="宋体" w:hint="eastAsia"/>
          <w:lang w:eastAsia="zh-CN"/>
        </w:rPr>
        <w:t>合同当事人可以在专用合同条款中约定合同适用的其他规范性文件。</w:t>
      </w:r>
    </w:p>
    <w:p w14:paraId="57807A54">
      <w:pPr>
        <w:spacing w:line="360" w:lineRule="auto"/>
        <w:rPr>
          <w:rFonts w:ascii="宋体" w:hAnsi="宋体"/>
          <w:bCs/>
          <w:lang w:eastAsia="zh-CN"/>
        </w:rPr>
      </w:pPr>
      <w:r>
        <w:rPr>
          <w:rFonts w:ascii="宋体" w:hAnsi="宋体" w:hint="eastAsia"/>
          <w:bCs/>
          <w:lang w:eastAsia="zh-CN"/>
        </w:rPr>
        <w:t>1.4 标准和规范</w:t>
      </w:r>
    </w:p>
    <w:p w14:paraId="24F8CB2D">
      <w:pPr>
        <w:spacing w:line="360" w:lineRule="auto"/>
        <w:rPr>
          <w:rFonts w:ascii="宋体" w:hAnsi="宋体"/>
          <w:lang w:eastAsia="zh-CN"/>
        </w:rPr>
      </w:pPr>
      <w:r>
        <w:rPr>
          <w:rFonts w:ascii="宋体" w:hAnsi="宋体" w:hint="eastAsia"/>
          <w:lang w:eastAsia="zh-CN"/>
        </w:rPr>
        <w:t>1.4.1 适用于工程的国家标准、行业标准、工程所在地的地方性标准，以及相应的规范、规程等，合同当事人有特别要求的，应在专用合同条款中约定。</w:t>
      </w:r>
    </w:p>
    <w:p w14:paraId="3789E58B">
      <w:pPr>
        <w:spacing w:line="360" w:lineRule="auto"/>
        <w:rPr>
          <w:rFonts w:ascii="宋体" w:hAnsi="宋体"/>
          <w:lang w:eastAsia="zh-CN"/>
        </w:rPr>
      </w:pPr>
      <w:r>
        <w:rPr>
          <w:rFonts w:ascii="宋体" w:hAnsi="宋体" w:hint="eastAsia"/>
          <w:lang w:eastAsia="zh-CN"/>
        </w:rPr>
        <w:t>1.4.2 发包人要求使用国外标准、规范的，发包人负责提供原文版本和中文译本，并在专用合同条款中约定提供标准规范的名称、份数和时间。</w:t>
      </w:r>
    </w:p>
    <w:p w14:paraId="17CBC9E4">
      <w:pPr>
        <w:spacing w:line="360" w:lineRule="auto"/>
        <w:rPr>
          <w:rFonts w:ascii="宋体" w:hAnsi="宋体"/>
          <w:lang w:eastAsia="zh-CN"/>
        </w:rPr>
      </w:pPr>
      <w:r>
        <w:rPr>
          <w:rFonts w:ascii="宋体" w:hAnsi="宋体" w:hint="eastAsia"/>
          <w:lang w:eastAsia="zh-CN"/>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01A41185">
      <w:pPr>
        <w:spacing w:line="360" w:lineRule="auto"/>
        <w:rPr>
          <w:rFonts w:ascii="宋体" w:hAnsi="宋体"/>
          <w:bCs/>
          <w:lang w:eastAsia="zh-CN"/>
        </w:rPr>
      </w:pPr>
      <w:r>
        <w:rPr>
          <w:rFonts w:ascii="宋体" w:hAnsi="宋体" w:hint="eastAsia"/>
          <w:bCs/>
          <w:lang w:eastAsia="zh-CN"/>
        </w:rPr>
        <w:t>1.5 合同文件的优先顺序</w:t>
      </w:r>
    </w:p>
    <w:p w14:paraId="030E804F">
      <w:pPr>
        <w:spacing w:line="360" w:lineRule="auto"/>
        <w:rPr>
          <w:rFonts w:ascii="宋体" w:hAnsi="宋体"/>
          <w:lang w:eastAsia="zh-CN"/>
        </w:rPr>
      </w:pPr>
      <w:r>
        <w:rPr>
          <w:rFonts w:ascii="宋体" w:hAnsi="宋体" w:hint="eastAsia"/>
          <w:lang w:eastAsia="zh-CN"/>
        </w:rPr>
        <w:t>组成合同的各项文件应互相解释，互为说明。除专用合同条款另有约定外，解释合同文件的优先顺序如下：</w:t>
      </w:r>
    </w:p>
    <w:p w14:paraId="57AE3CCC">
      <w:pPr>
        <w:spacing w:line="360" w:lineRule="auto"/>
        <w:rPr>
          <w:rFonts w:ascii="宋体" w:hAnsi="宋体"/>
          <w:lang w:eastAsia="zh-CN"/>
        </w:rPr>
      </w:pPr>
      <w:r>
        <w:rPr>
          <w:rFonts w:ascii="宋体" w:hAnsi="宋体" w:hint="eastAsia"/>
          <w:lang w:eastAsia="zh-CN"/>
        </w:rPr>
        <w:t>（1）合同协议书；</w:t>
      </w:r>
    </w:p>
    <w:p w14:paraId="576EDD4D">
      <w:pPr>
        <w:spacing w:line="360" w:lineRule="auto"/>
        <w:rPr>
          <w:rFonts w:ascii="宋体" w:hAnsi="宋体"/>
          <w:lang w:eastAsia="zh-CN"/>
        </w:rPr>
      </w:pPr>
      <w:r>
        <w:rPr>
          <w:rFonts w:ascii="宋体" w:hAnsi="宋体" w:hint="eastAsia"/>
          <w:lang w:eastAsia="zh-CN"/>
        </w:rPr>
        <w:t>（2）中标通知书（如果有）；</w:t>
      </w:r>
    </w:p>
    <w:p w14:paraId="41509011">
      <w:pPr>
        <w:spacing w:line="360" w:lineRule="auto"/>
        <w:rPr>
          <w:rFonts w:ascii="宋体" w:hAnsi="宋体"/>
          <w:lang w:eastAsia="zh-CN"/>
        </w:rPr>
      </w:pPr>
      <w:r>
        <w:rPr>
          <w:rFonts w:ascii="宋体" w:hAnsi="宋体" w:hint="eastAsia"/>
          <w:lang w:eastAsia="zh-CN"/>
        </w:rPr>
        <w:t>（3）投标函及其附录（如果有）；</w:t>
      </w:r>
    </w:p>
    <w:p w14:paraId="40D6A5A2">
      <w:pPr>
        <w:spacing w:line="360" w:lineRule="auto"/>
        <w:rPr>
          <w:rFonts w:ascii="宋体" w:hAnsi="宋体"/>
          <w:lang w:eastAsia="zh-CN"/>
        </w:rPr>
      </w:pPr>
      <w:r>
        <w:rPr>
          <w:rFonts w:ascii="宋体" w:hAnsi="宋体" w:hint="eastAsia"/>
          <w:lang w:eastAsia="zh-CN"/>
        </w:rPr>
        <w:t>（4）专用合同条款及其附件；</w:t>
      </w:r>
    </w:p>
    <w:p w14:paraId="7A163253">
      <w:pPr>
        <w:spacing w:line="360" w:lineRule="auto"/>
        <w:rPr>
          <w:rFonts w:ascii="宋体" w:hAnsi="宋体"/>
          <w:lang w:eastAsia="zh-CN"/>
        </w:rPr>
      </w:pPr>
      <w:r>
        <w:rPr>
          <w:rFonts w:ascii="宋体" w:hAnsi="宋体" w:hint="eastAsia"/>
          <w:lang w:eastAsia="zh-CN"/>
        </w:rPr>
        <w:t>（5）通用合同条款；</w:t>
      </w:r>
    </w:p>
    <w:p w14:paraId="5ACD134E">
      <w:pPr>
        <w:spacing w:line="360" w:lineRule="auto"/>
        <w:rPr>
          <w:rFonts w:ascii="宋体" w:hAnsi="宋体"/>
          <w:lang w:eastAsia="zh-CN"/>
        </w:rPr>
      </w:pPr>
      <w:r>
        <w:rPr>
          <w:rFonts w:ascii="宋体" w:hAnsi="宋体" w:hint="eastAsia"/>
          <w:lang w:eastAsia="zh-CN"/>
        </w:rPr>
        <w:t>（6）技术标准和要求；</w:t>
      </w:r>
    </w:p>
    <w:p w14:paraId="5A96C0B7">
      <w:pPr>
        <w:spacing w:line="360" w:lineRule="auto"/>
        <w:rPr>
          <w:rFonts w:ascii="宋体" w:hAnsi="宋体"/>
          <w:lang w:eastAsia="zh-CN"/>
        </w:rPr>
      </w:pPr>
      <w:r>
        <w:rPr>
          <w:rFonts w:ascii="宋体" w:hAnsi="宋体" w:hint="eastAsia"/>
          <w:lang w:eastAsia="zh-CN"/>
        </w:rPr>
        <w:t>（7）图纸；</w:t>
      </w:r>
    </w:p>
    <w:p w14:paraId="58DCD64B">
      <w:pPr>
        <w:spacing w:line="360" w:lineRule="auto"/>
        <w:rPr>
          <w:rFonts w:ascii="宋体" w:hAnsi="宋体"/>
          <w:lang w:eastAsia="zh-CN"/>
        </w:rPr>
      </w:pPr>
      <w:r>
        <w:rPr>
          <w:rFonts w:ascii="宋体" w:hAnsi="宋体" w:hint="eastAsia"/>
          <w:lang w:eastAsia="zh-CN"/>
        </w:rPr>
        <w:t>（8）已标价工程量清单或预算书；</w:t>
      </w:r>
    </w:p>
    <w:p w14:paraId="08034E25">
      <w:pPr>
        <w:spacing w:line="360" w:lineRule="auto"/>
        <w:rPr>
          <w:rFonts w:ascii="宋体" w:hAnsi="宋体"/>
          <w:lang w:eastAsia="zh-CN"/>
        </w:rPr>
      </w:pPr>
      <w:r>
        <w:rPr>
          <w:rFonts w:ascii="宋体" w:hAnsi="宋体" w:hint="eastAsia"/>
          <w:lang w:eastAsia="zh-CN"/>
        </w:rPr>
        <w:t>（9）其他合同文件。</w:t>
      </w:r>
    </w:p>
    <w:p w14:paraId="28443384">
      <w:pPr>
        <w:spacing w:line="360" w:lineRule="auto"/>
        <w:rPr>
          <w:rFonts w:ascii="宋体" w:hAnsi="宋体"/>
          <w:lang w:eastAsia="zh-CN"/>
        </w:rPr>
      </w:pPr>
      <w:r>
        <w:rPr>
          <w:rFonts w:ascii="宋体" w:hAnsi="宋体" w:hint="eastAsia"/>
          <w:lang w:eastAsia="zh-CN"/>
        </w:rPr>
        <w:t>上述各项合同文件包括合同当事人就该项合同文件所作出的补充和修改，属于同一类内容的文件，应以最新签署的为准。</w:t>
      </w:r>
    </w:p>
    <w:p w14:paraId="05212A29">
      <w:pPr>
        <w:spacing w:line="360" w:lineRule="auto"/>
        <w:rPr>
          <w:rFonts w:ascii="宋体" w:hAnsi="宋体"/>
          <w:lang w:eastAsia="zh-CN"/>
        </w:rPr>
      </w:pPr>
      <w:r>
        <w:rPr>
          <w:rFonts w:ascii="宋体" w:hAnsi="宋体" w:hint="eastAsia"/>
          <w:lang w:eastAsia="zh-CN"/>
        </w:rPr>
        <w:t>在合同订立及履行过程中形成的与合同有关的文件均构成合同文件组成部分，并根据其性质确定优先解释顺序。</w:t>
      </w:r>
    </w:p>
    <w:p w14:paraId="66620382">
      <w:pPr>
        <w:spacing w:line="360" w:lineRule="auto"/>
        <w:rPr>
          <w:rFonts w:ascii="宋体" w:hAnsi="宋体"/>
          <w:bCs/>
          <w:lang w:eastAsia="zh-CN"/>
        </w:rPr>
      </w:pPr>
      <w:r>
        <w:rPr>
          <w:rFonts w:ascii="宋体" w:hAnsi="宋体" w:hint="eastAsia"/>
          <w:bCs/>
          <w:lang w:eastAsia="zh-CN"/>
        </w:rPr>
        <w:t>1.6图纸和承包人文件</w:t>
      </w:r>
    </w:p>
    <w:p w14:paraId="517354F5">
      <w:pPr>
        <w:spacing w:line="360" w:lineRule="auto"/>
        <w:rPr>
          <w:rFonts w:ascii="宋体" w:hAnsi="宋体"/>
          <w:lang w:eastAsia="zh-CN"/>
        </w:rPr>
      </w:pPr>
      <w:r>
        <w:rPr>
          <w:rFonts w:ascii="宋体" w:hAnsi="宋体" w:hint="eastAsia"/>
          <w:lang w:eastAsia="zh-CN"/>
        </w:rPr>
        <w:t>1.6.1 图纸的提供和交底</w:t>
      </w:r>
    </w:p>
    <w:p w14:paraId="0C554248">
      <w:pPr>
        <w:spacing w:line="360" w:lineRule="auto"/>
        <w:rPr>
          <w:rFonts w:ascii="宋体" w:hAnsi="宋体"/>
          <w:lang w:eastAsia="zh-CN"/>
        </w:rPr>
      </w:pPr>
      <w:r>
        <w:rPr>
          <w:rFonts w:ascii="宋体" w:hAnsi="宋体" w:hint="eastAsia"/>
          <w:lang w:eastAsia="zh-CN"/>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42A77D0A">
      <w:pPr>
        <w:spacing w:line="360" w:lineRule="auto"/>
        <w:rPr>
          <w:rFonts w:ascii="宋体" w:hAnsi="宋体"/>
          <w:lang w:eastAsia="zh-CN"/>
        </w:rPr>
      </w:pPr>
      <w:r>
        <w:rPr>
          <w:rFonts w:ascii="宋体" w:hAnsi="宋体" w:hint="eastAsia"/>
          <w:lang w:eastAsia="zh-CN"/>
        </w:rPr>
        <w:t>因发包人未按合同约定提供图纸导致承包人费用增加和（或）工期延误的，按照第7.5.1项〔因发包人原因导致工期延误〕约定办理。</w:t>
      </w:r>
    </w:p>
    <w:p w14:paraId="0458F6BD">
      <w:pPr>
        <w:spacing w:line="360" w:lineRule="auto"/>
        <w:rPr>
          <w:rFonts w:ascii="宋体" w:hAnsi="宋体"/>
          <w:lang w:eastAsia="zh-CN"/>
        </w:rPr>
      </w:pPr>
      <w:r>
        <w:rPr>
          <w:rFonts w:ascii="宋体" w:hAnsi="宋体" w:hint="eastAsia"/>
          <w:lang w:eastAsia="zh-CN"/>
        </w:rPr>
        <w:t>1.6.2 图纸的错误</w:t>
      </w:r>
    </w:p>
    <w:p w14:paraId="16472A64">
      <w:pPr>
        <w:spacing w:line="360" w:lineRule="auto"/>
        <w:rPr>
          <w:rFonts w:ascii="宋体" w:hAnsi="宋体"/>
          <w:lang w:eastAsia="zh-CN"/>
        </w:rPr>
      </w:pPr>
      <w:r>
        <w:rPr>
          <w:rFonts w:ascii="宋体" w:hAnsi="宋体" w:hint="eastAsia"/>
          <w:lang w:eastAsia="zh-CN"/>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1F42EC7A">
      <w:pPr>
        <w:spacing w:line="360" w:lineRule="auto"/>
        <w:rPr>
          <w:rFonts w:ascii="宋体" w:hAnsi="宋体"/>
          <w:lang w:eastAsia="zh-CN"/>
        </w:rPr>
      </w:pPr>
      <w:r>
        <w:rPr>
          <w:rFonts w:ascii="宋体" w:hAnsi="宋体" w:hint="eastAsia"/>
          <w:lang w:eastAsia="zh-CN"/>
        </w:rPr>
        <w:t>1.6.3 图纸的修改和补充</w:t>
      </w:r>
    </w:p>
    <w:p w14:paraId="1B41D17E">
      <w:pPr>
        <w:spacing w:line="360" w:lineRule="auto"/>
        <w:rPr>
          <w:rFonts w:ascii="宋体" w:hAnsi="宋体"/>
          <w:lang w:eastAsia="zh-CN"/>
        </w:rPr>
      </w:pPr>
      <w:r>
        <w:rPr>
          <w:rFonts w:ascii="宋体" w:hAnsi="宋体" w:hint="eastAsia"/>
          <w:lang w:eastAsia="zh-CN"/>
        </w:rPr>
        <w:t>图纸需要修改和补充的，应经图纸原设计人及审批部门同意，并由监理人在工程或工程相应部位施工前将修改后的图纸或补充图纸提交给承包人，承包人应按修改或补充后的图纸施工。</w:t>
      </w:r>
    </w:p>
    <w:p w14:paraId="0CBF2FBE">
      <w:pPr>
        <w:spacing w:line="360" w:lineRule="auto"/>
        <w:rPr>
          <w:rFonts w:ascii="宋体" w:hAnsi="宋体"/>
          <w:lang w:eastAsia="zh-CN"/>
        </w:rPr>
      </w:pPr>
      <w:r>
        <w:rPr>
          <w:rFonts w:ascii="宋体" w:hAnsi="宋体" w:hint="eastAsia"/>
          <w:lang w:eastAsia="zh-CN"/>
        </w:rPr>
        <w:t>1.6.4 承包人文件</w:t>
      </w:r>
    </w:p>
    <w:p w14:paraId="0D019387">
      <w:pPr>
        <w:spacing w:line="360" w:lineRule="auto"/>
        <w:rPr>
          <w:rFonts w:ascii="宋体" w:hAnsi="宋体"/>
          <w:lang w:eastAsia="zh-CN"/>
        </w:rPr>
      </w:pPr>
      <w:r>
        <w:rPr>
          <w:rFonts w:ascii="宋体" w:hAnsi="宋体" w:hint="eastAsia"/>
          <w:lang w:eastAsia="zh-CN"/>
        </w:rPr>
        <w:t>承包人应按照专用合同条款的约定提供应当由其编制的与工程施工有关的文件，并按照专用合同条款约定的期限、数量和形式提交监理人，并由监理人报送发包人。</w:t>
      </w:r>
    </w:p>
    <w:p w14:paraId="67DDB020">
      <w:pPr>
        <w:spacing w:line="360" w:lineRule="auto"/>
        <w:rPr>
          <w:rFonts w:ascii="宋体" w:hAnsi="宋体"/>
          <w:lang w:eastAsia="zh-CN"/>
        </w:rPr>
      </w:pPr>
      <w:r>
        <w:rPr>
          <w:rFonts w:ascii="宋体" w:hAnsi="宋体" w:hint="eastAsia"/>
          <w:lang w:eastAsia="zh-CN"/>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64B54BC7">
      <w:pPr>
        <w:spacing w:line="360" w:lineRule="auto"/>
        <w:rPr>
          <w:rFonts w:ascii="宋体" w:hAnsi="宋体"/>
          <w:lang w:eastAsia="zh-CN"/>
        </w:rPr>
      </w:pPr>
      <w:r>
        <w:rPr>
          <w:rFonts w:ascii="宋体" w:hAnsi="宋体" w:hint="eastAsia"/>
          <w:lang w:eastAsia="zh-CN"/>
        </w:rPr>
        <w:t>1.6.5 图纸和承包人文件的保管</w:t>
      </w:r>
    </w:p>
    <w:p w14:paraId="79A048E6">
      <w:pPr>
        <w:spacing w:line="360" w:lineRule="auto"/>
        <w:rPr>
          <w:rFonts w:ascii="宋体" w:hAnsi="宋体"/>
          <w:lang w:eastAsia="zh-CN"/>
        </w:rPr>
      </w:pPr>
      <w:r>
        <w:rPr>
          <w:rFonts w:ascii="宋体" w:hAnsi="宋体" w:hint="eastAsia"/>
          <w:lang w:eastAsia="zh-CN"/>
        </w:rPr>
        <w:t>除专用合同条款另有约定外，承包人应在施工现场另外保存一套完整的图纸和承包人文件，供发包人、监理人及有关人员进行工程检查时使用。</w:t>
      </w:r>
    </w:p>
    <w:p w14:paraId="21726EA6">
      <w:pPr>
        <w:spacing w:line="360" w:lineRule="auto"/>
        <w:rPr>
          <w:rFonts w:ascii="宋体" w:hAnsi="宋体"/>
          <w:bCs/>
          <w:lang w:eastAsia="zh-CN"/>
        </w:rPr>
      </w:pPr>
      <w:r>
        <w:rPr>
          <w:rFonts w:ascii="宋体" w:hAnsi="宋体" w:hint="eastAsia"/>
          <w:bCs/>
          <w:lang w:eastAsia="zh-CN"/>
        </w:rPr>
        <w:t>1.7联络</w:t>
      </w:r>
    </w:p>
    <w:p w14:paraId="5E727B63">
      <w:pPr>
        <w:spacing w:line="360" w:lineRule="auto"/>
        <w:rPr>
          <w:rFonts w:ascii="宋体" w:hAnsi="宋体"/>
          <w:lang w:eastAsia="zh-CN"/>
        </w:rPr>
      </w:pPr>
      <w:r>
        <w:rPr>
          <w:rFonts w:ascii="宋体" w:hAnsi="宋体" w:hint="eastAsia"/>
          <w:lang w:eastAsia="zh-CN"/>
        </w:rPr>
        <w:t>1.7.1 与合同有关的通知、批准、证明、证书、指示、指令、要求、请求、同意、意见、确定和决定等，均应采用书面形式，并应在合同约定的期限内送达接收人和送达地点。</w:t>
      </w:r>
    </w:p>
    <w:p w14:paraId="49203645">
      <w:pPr>
        <w:spacing w:line="360" w:lineRule="auto"/>
        <w:rPr>
          <w:rFonts w:ascii="宋体" w:hAnsi="宋体"/>
          <w:lang w:eastAsia="zh-CN"/>
        </w:rPr>
      </w:pPr>
      <w:r>
        <w:rPr>
          <w:rFonts w:ascii="宋体" w:hAnsi="宋体" w:hint="eastAsia"/>
          <w:lang w:eastAsia="zh-CN"/>
        </w:rPr>
        <w:t>1.7.2 发包人和承包人应在专用合同条款中约定各自的送达接收人和送达地点。任何一方合同当事人指定的接收人或送达地点发生变动的，应提前3天以书面形式通知对方。</w:t>
      </w:r>
    </w:p>
    <w:p w14:paraId="0774487D">
      <w:pPr>
        <w:spacing w:line="360" w:lineRule="auto"/>
        <w:rPr>
          <w:rFonts w:ascii="宋体" w:hAnsi="宋体"/>
          <w:lang w:eastAsia="zh-CN"/>
        </w:rPr>
      </w:pPr>
      <w:r>
        <w:rPr>
          <w:rFonts w:ascii="宋体" w:hAnsi="宋体" w:hint="eastAsia"/>
          <w:lang w:eastAsia="zh-CN"/>
        </w:rPr>
        <w:t>1.7.3 发包人和承包人应当及时签收另一方送达至送达地点和指定接收人的来往信函。拒不签收的，由此增加的费用和（或）延误的工期由拒绝接收一方承担。</w:t>
      </w:r>
    </w:p>
    <w:p w14:paraId="59A3BF7A">
      <w:pPr>
        <w:spacing w:line="360" w:lineRule="auto"/>
        <w:rPr>
          <w:rFonts w:ascii="宋体" w:hAnsi="宋体"/>
          <w:bCs/>
          <w:lang w:eastAsia="zh-CN"/>
        </w:rPr>
      </w:pPr>
      <w:r>
        <w:rPr>
          <w:rFonts w:ascii="宋体" w:hAnsi="宋体" w:hint="eastAsia"/>
          <w:bCs/>
          <w:lang w:eastAsia="zh-CN"/>
        </w:rPr>
        <w:t>1.8严禁贿赂</w:t>
      </w:r>
    </w:p>
    <w:p w14:paraId="7C8616E0">
      <w:pPr>
        <w:spacing w:line="360" w:lineRule="auto"/>
        <w:rPr>
          <w:rFonts w:ascii="宋体" w:hAnsi="宋体"/>
          <w:lang w:eastAsia="zh-CN"/>
        </w:rPr>
      </w:pPr>
      <w:r>
        <w:rPr>
          <w:rFonts w:ascii="宋体" w:hAnsi="宋体" w:hint="eastAsia"/>
          <w:lang w:eastAsia="zh-CN"/>
        </w:rPr>
        <w:t>合同当事人不得以贿赂或变相贿赂的方式，谋取非法利益或损害对方权益。因一方合同当事人的贿赂造成对方损失的，应赔偿损失，并承担相应的法律责任。</w:t>
      </w:r>
    </w:p>
    <w:p w14:paraId="0CA56AFD">
      <w:pPr>
        <w:spacing w:line="360" w:lineRule="auto"/>
        <w:rPr>
          <w:rFonts w:ascii="宋体" w:hAnsi="宋体"/>
          <w:lang w:eastAsia="zh-CN"/>
        </w:rPr>
      </w:pPr>
      <w:r>
        <w:rPr>
          <w:rFonts w:ascii="宋体" w:hAnsi="宋体" w:hint="eastAsia"/>
          <w:lang w:eastAsia="zh-CN"/>
        </w:rPr>
        <w:t>承包人不得与监理人或发包人聘请的第三方串通损害发包人利益。未经发包人书面同意，承包人不得为监理人提供合同约定以外的通讯设备、交通工具及其他任何形式的利益，不得向监理人支付报酬。</w:t>
      </w:r>
    </w:p>
    <w:p w14:paraId="7E8FB75A">
      <w:pPr>
        <w:spacing w:line="360" w:lineRule="auto"/>
        <w:rPr>
          <w:rFonts w:ascii="宋体" w:hAnsi="宋体"/>
          <w:bCs/>
          <w:lang w:eastAsia="zh-CN"/>
        </w:rPr>
      </w:pPr>
      <w:r>
        <w:rPr>
          <w:rFonts w:ascii="宋体" w:hAnsi="宋体" w:hint="eastAsia"/>
          <w:bCs/>
          <w:lang w:eastAsia="zh-CN"/>
        </w:rPr>
        <w:t>1.9化石、文物</w:t>
      </w:r>
    </w:p>
    <w:p w14:paraId="518991A1">
      <w:pPr>
        <w:spacing w:line="360" w:lineRule="auto"/>
        <w:rPr>
          <w:rFonts w:ascii="宋体" w:hAnsi="宋体"/>
          <w:lang w:eastAsia="zh-CN"/>
        </w:rPr>
      </w:pPr>
      <w:r>
        <w:rPr>
          <w:rFonts w:ascii="宋体" w:hAnsi="宋体" w:hint="eastAsia"/>
          <w:lang w:eastAsia="zh-CN"/>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034C28F3">
      <w:pPr>
        <w:spacing w:line="360" w:lineRule="auto"/>
        <w:rPr>
          <w:rFonts w:ascii="宋体" w:hAnsi="宋体"/>
          <w:lang w:eastAsia="zh-CN"/>
        </w:rPr>
      </w:pPr>
      <w:r>
        <w:rPr>
          <w:rFonts w:ascii="宋体" w:hAnsi="宋体" w:hint="eastAsia"/>
          <w:lang w:eastAsia="zh-CN"/>
        </w:rPr>
        <w:t>发包人、监理人和承包人应按有关政府行政管理部门要求采取妥善的保护措施，由此增加的费用和（或）延误的工期由发包人承担。</w:t>
      </w:r>
    </w:p>
    <w:p w14:paraId="03AA3BB7">
      <w:pPr>
        <w:spacing w:line="360" w:lineRule="auto"/>
        <w:rPr>
          <w:rFonts w:ascii="宋体" w:hAnsi="宋体"/>
          <w:lang w:eastAsia="zh-CN"/>
        </w:rPr>
      </w:pPr>
      <w:r>
        <w:rPr>
          <w:rFonts w:ascii="宋体" w:hAnsi="宋体" w:hint="eastAsia"/>
          <w:lang w:eastAsia="zh-CN"/>
        </w:rPr>
        <w:t>承包人发现文物后不及时报告或隐瞒不报，致使文物丢失或损坏的，应赔偿损失，并承担相应的法律责任。</w:t>
      </w:r>
    </w:p>
    <w:p w14:paraId="7C74B167">
      <w:pPr>
        <w:spacing w:line="360" w:lineRule="auto"/>
        <w:rPr>
          <w:rFonts w:ascii="宋体" w:hAnsi="宋体"/>
          <w:bCs/>
          <w:lang w:eastAsia="zh-CN"/>
        </w:rPr>
      </w:pPr>
      <w:r>
        <w:rPr>
          <w:rFonts w:ascii="宋体" w:hAnsi="宋体" w:hint="eastAsia"/>
          <w:bCs/>
          <w:lang w:eastAsia="zh-CN"/>
        </w:rPr>
        <w:t>1.10交通运输</w:t>
      </w:r>
    </w:p>
    <w:p w14:paraId="4C73EC28">
      <w:pPr>
        <w:spacing w:line="360" w:lineRule="auto"/>
        <w:rPr>
          <w:rFonts w:ascii="宋体" w:hAnsi="宋体"/>
          <w:lang w:eastAsia="zh-CN"/>
        </w:rPr>
      </w:pPr>
      <w:r>
        <w:rPr>
          <w:rFonts w:ascii="宋体" w:hAnsi="宋体" w:hint="eastAsia"/>
          <w:lang w:eastAsia="zh-CN"/>
        </w:rPr>
        <w:t>1.10.1 出入现场的权利</w:t>
      </w:r>
    </w:p>
    <w:p w14:paraId="49BDD634">
      <w:pPr>
        <w:spacing w:line="360" w:lineRule="auto"/>
        <w:rPr>
          <w:rFonts w:ascii="宋体" w:hAnsi="宋体"/>
          <w:lang w:eastAsia="zh-CN"/>
        </w:rPr>
      </w:pPr>
      <w:r>
        <w:rPr>
          <w:rFonts w:ascii="宋体" w:hAnsi="宋体" w:hint="eastAsia"/>
          <w:lang w:eastAsia="zh-CN"/>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256ECA23">
      <w:pPr>
        <w:spacing w:line="360" w:lineRule="auto"/>
        <w:rPr>
          <w:rFonts w:ascii="宋体" w:hAnsi="宋体"/>
          <w:lang w:eastAsia="zh-CN"/>
        </w:rPr>
      </w:pPr>
      <w:r>
        <w:rPr>
          <w:rFonts w:ascii="宋体" w:hAnsi="宋体" w:hint="eastAsia"/>
          <w:lang w:eastAsia="zh-CN"/>
        </w:rPr>
        <w:t>承包人应在订立合同前查勘施工现场，并根据工程规模及技术参数合理预见工程施工所需的进出施工现场的方式、手段、路径等。因承包人未合理预见所增加的费用和（或）延误的工期由承包人承担。</w:t>
      </w:r>
    </w:p>
    <w:p w14:paraId="66BF6823">
      <w:pPr>
        <w:spacing w:line="360" w:lineRule="auto"/>
        <w:rPr>
          <w:rFonts w:ascii="宋体" w:hAnsi="宋体"/>
          <w:lang w:eastAsia="zh-CN"/>
        </w:rPr>
      </w:pPr>
      <w:r>
        <w:rPr>
          <w:rFonts w:ascii="宋体" w:hAnsi="宋体" w:hint="eastAsia"/>
          <w:lang w:eastAsia="zh-CN"/>
        </w:rPr>
        <w:t>1.10.2 场外交通</w:t>
      </w:r>
    </w:p>
    <w:p w14:paraId="38552D5C">
      <w:pPr>
        <w:spacing w:line="360" w:lineRule="auto"/>
        <w:rPr>
          <w:rFonts w:ascii="宋体" w:hAnsi="宋体"/>
          <w:lang w:eastAsia="zh-CN"/>
        </w:rPr>
      </w:pPr>
      <w:r>
        <w:rPr>
          <w:rFonts w:ascii="宋体" w:hAnsi="宋体" w:hint="eastAsia"/>
          <w:lang w:eastAsia="zh-CN"/>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2846F4CF">
      <w:pPr>
        <w:spacing w:line="360" w:lineRule="auto"/>
        <w:rPr>
          <w:rFonts w:ascii="宋体" w:hAnsi="宋体"/>
          <w:lang w:eastAsia="zh-CN"/>
        </w:rPr>
      </w:pPr>
      <w:r>
        <w:rPr>
          <w:rFonts w:ascii="宋体" w:hAnsi="宋体" w:hint="eastAsia"/>
          <w:lang w:eastAsia="zh-CN"/>
        </w:rPr>
        <w:t>1.10.3场内交通</w:t>
      </w:r>
    </w:p>
    <w:p w14:paraId="595B0E07">
      <w:pPr>
        <w:spacing w:line="360" w:lineRule="auto"/>
        <w:rPr>
          <w:rFonts w:ascii="宋体" w:hAnsi="宋体"/>
          <w:lang w:eastAsia="zh-CN"/>
        </w:rPr>
      </w:pPr>
      <w:r>
        <w:rPr>
          <w:rFonts w:ascii="宋体" w:hAnsi="宋体" w:hint="eastAsia"/>
          <w:lang w:eastAsia="zh-CN"/>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157EBA38">
      <w:pPr>
        <w:spacing w:line="360" w:lineRule="auto"/>
        <w:rPr>
          <w:rFonts w:ascii="宋体" w:hAnsi="宋体"/>
          <w:lang w:eastAsia="zh-CN"/>
        </w:rPr>
      </w:pPr>
      <w:r>
        <w:rPr>
          <w:rFonts w:ascii="宋体" w:hAnsi="宋体" w:hint="eastAsia"/>
          <w:lang w:eastAsia="zh-CN"/>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15B3FB3F">
      <w:pPr>
        <w:spacing w:line="360" w:lineRule="auto"/>
        <w:rPr>
          <w:rFonts w:ascii="宋体" w:hAnsi="宋体"/>
          <w:lang w:eastAsia="zh-CN"/>
        </w:rPr>
      </w:pPr>
      <w:r>
        <w:rPr>
          <w:rFonts w:ascii="宋体" w:hAnsi="宋体" w:hint="eastAsia"/>
          <w:lang w:eastAsia="zh-CN"/>
        </w:rPr>
        <w:t>场外交通和场内交通的边界由合同当事人在专用合同条款中约定。</w:t>
      </w:r>
    </w:p>
    <w:p w14:paraId="33582CA5">
      <w:pPr>
        <w:spacing w:line="360" w:lineRule="auto"/>
        <w:rPr>
          <w:rFonts w:ascii="宋体" w:hAnsi="宋体"/>
          <w:lang w:eastAsia="zh-CN"/>
        </w:rPr>
      </w:pPr>
      <w:r>
        <w:rPr>
          <w:rFonts w:ascii="宋体" w:hAnsi="宋体" w:hint="eastAsia"/>
          <w:lang w:eastAsia="zh-CN"/>
        </w:rPr>
        <w:t>1.10.4 超大件和超重件的运输</w:t>
      </w:r>
    </w:p>
    <w:p w14:paraId="28765026">
      <w:pPr>
        <w:spacing w:line="360" w:lineRule="auto"/>
        <w:rPr>
          <w:rFonts w:ascii="宋体" w:hAnsi="宋体"/>
          <w:lang w:eastAsia="zh-CN"/>
        </w:rPr>
      </w:pPr>
      <w:r>
        <w:rPr>
          <w:rFonts w:ascii="宋体" w:hAnsi="宋体" w:hint="eastAsia"/>
          <w:lang w:eastAsia="zh-CN"/>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E5907C0">
      <w:pPr>
        <w:spacing w:line="360" w:lineRule="auto"/>
        <w:rPr>
          <w:rFonts w:ascii="宋体" w:hAnsi="宋体"/>
          <w:lang w:eastAsia="zh-CN"/>
        </w:rPr>
      </w:pPr>
      <w:r>
        <w:rPr>
          <w:rFonts w:ascii="宋体" w:hAnsi="宋体" w:hint="eastAsia"/>
          <w:lang w:eastAsia="zh-CN"/>
        </w:rPr>
        <w:t>1.10.5 道路和桥梁的损坏责任</w:t>
      </w:r>
    </w:p>
    <w:p w14:paraId="7ECFB307">
      <w:pPr>
        <w:spacing w:line="360" w:lineRule="auto"/>
        <w:rPr>
          <w:rFonts w:ascii="宋体" w:hAnsi="宋体"/>
          <w:lang w:eastAsia="zh-CN"/>
        </w:rPr>
      </w:pPr>
      <w:r>
        <w:rPr>
          <w:rFonts w:ascii="宋体" w:hAnsi="宋体" w:hint="eastAsia"/>
          <w:lang w:eastAsia="zh-CN"/>
        </w:rPr>
        <w:t>因承包人运输造成施工场地内外公共道路和桥梁损坏的，由承包人承担修复损坏的全部费用和可能引起的赔偿。</w:t>
      </w:r>
    </w:p>
    <w:p w14:paraId="119EA8F0">
      <w:pPr>
        <w:spacing w:line="360" w:lineRule="auto"/>
        <w:rPr>
          <w:rFonts w:ascii="宋体" w:hAnsi="宋体"/>
          <w:lang w:eastAsia="zh-CN"/>
        </w:rPr>
      </w:pPr>
      <w:r>
        <w:rPr>
          <w:rFonts w:ascii="宋体" w:hAnsi="宋体" w:hint="eastAsia"/>
          <w:lang w:eastAsia="zh-CN"/>
        </w:rPr>
        <w:t>1.10.6 水路和航空运输</w:t>
      </w:r>
    </w:p>
    <w:p w14:paraId="36904A88">
      <w:pPr>
        <w:spacing w:line="360" w:lineRule="auto"/>
        <w:rPr>
          <w:rFonts w:ascii="宋体" w:hAnsi="宋体"/>
          <w:lang w:eastAsia="zh-CN"/>
        </w:rPr>
      </w:pPr>
      <w:r>
        <w:rPr>
          <w:rFonts w:ascii="宋体" w:hAnsi="宋体" w:hint="eastAsia"/>
          <w:lang w:eastAsia="zh-CN"/>
        </w:rPr>
        <w:t>本款前述各项的内容适用于水路运输和航空运输，其中“道路”一词的涵义包括河道、航线、船闸、机场、码头、堤防以及水路或航空运输中其他相似结构物；“车辆”一词的涵义包括船舶和飞机等。</w:t>
      </w:r>
    </w:p>
    <w:p w14:paraId="5C557666">
      <w:pPr>
        <w:spacing w:line="360" w:lineRule="auto"/>
        <w:rPr>
          <w:rFonts w:ascii="宋体" w:hAnsi="宋体"/>
          <w:bCs/>
          <w:lang w:eastAsia="zh-CN"/>
        </w:rPr>
      </w:pPr>
      <w:r>
        <w:rPr>
          <w:rFonts w:ascii="宋体" w:hAnsi="宋体" w:hint="eastAsia"/>
          <w:bCs/>
          <w:lang w:eastAsia="zh-CN"/>
        </w:rPr>
        <w:t xml:space="preserve">1.11知识产权 </w:t>
      </w:r>
    </w:p>
    <w:p w14:paraId="21543D2B">
      <w:pPr>
        <w:spacing w:line="360" w:lineRule="auto"/>
        <w:rPr>
          <w:rFonts w:ascii="宋体" w:hAnsi="宋体"/>
          <w:lang w:eastAsia="zh-CN"/>
        </w:rPr>
      </w:pPr>
      <w:r>
        <w:rPr>
          <w:rFonts w:ascii="宋体" w:hAnsi="宋体" w:hint="eastAsia"/>
          <w:lang w:eastAsia="zh-CN"/>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D3D941C">
      <w:pPr>
        <w:spacing w:line="360" w:lineRule="auto"/>
        <w:rPr>
          <w:rFonts w:ascii="宋体" w:hAnsi="宋体"/>
          <w:lang w:eastAsia="zh-CN"/>
        </w:rPr>
      </w:pPr>
      <w:r>
        <w:rPr>
          <w:rFonts w:ascii="宋体" w:hAnsi="宋体" w:hint="eastAsia"/>
          <w:lang w:eastAsia="zh-CN"/>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3FE74AC6">
      <w:pPr>
        <w:spacing w:line="360" w:lineRule="auto"/>
        <w:rPr>
          <w:rFonts w:ascii="宋体" w:hAnsi="宋体"/>
          <w:lang w:eastAsia="zh-CN"/>
        </w:rPr>
      </w:pPr>
      <w:r>
        <w:rPr>
          <w:rFonts w:ascii="宋体" w:hAnsi="宋体" w:hint="eastAsia"/>
          <w:lang w:eastAsia="zh-CN"/>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44672879">
      <w:pPr>
        <w:spacing w:line="360" w:lineRule="auto"/>
        <w:rPr>
          <w:rFonts w:ascii="宋体" w:hAnsi="宋体"/>
          <w:lang w:eastAsia="zh-CN"/>
        </w:rPr>
      </w:pPr>
      <w:r>
        <w:rPr>
          <w:rFonts w:ascii="宋体" w:hAnsi="宋体" w:hint="eastAsia"/>
          <w:lang w:eastAsia="zh-CN"/>
        </w:rPr>
        <w:t>1.11.4 除专用合同条款另有约定外，承包人在合同签订前和签订时已确定采用的专利、专有技术、技术秘密的使用费已包含在签约合同价中。</w:t>
      </w:r>
    </w:p>
    <w:p w14:paraId="3D5CD1E2">
      <w:pPr>
        <w:spacing w:line="360" w:lineRule="auto"/>
        <w:rPr>
          <w:rFonts w:ascii="宋体" w:hAnsi="宋体"/>
          <w:bCs/>
          <w:lang w:eastAsia="zh-CN"/>
        </w:rPr>
      </w:pPr>
      <w:r>
        <w:rPr>
          <w:rFonts w:ascii="宋体" w:hAnsi="宋体" w:hint="eastAsia"/>
          <w:bCs/>
          <w:lang w:eastAsia="zh-CN"/>
        </w:rPr>
        <w:t>1.12保密</w:t>
      </w:r>
    </w:p>
    <w:p w14:paraId="6C896721">
      <w:pPr>
        <w:spacing w:line="360" w:lineRule="auto"/>
        <w:rPr>
          <w:rFonts w:ascii="宋体" w:hAnsi="宋体"/>
          <w:lang w:eastAsia="zh-CN"/>
        </w:rPr>
      </w:pPr>
      <w:r>
        <w:rPr>
          <w:rFonts w:ascii="宋体" w:hAnsi="宋体" w:hint="eastAsia"/>
          <w:lang w:eastAsia="zh-CN"/>
        </w:rPr>
        <w:t>除法律规定或合同另有约定外，未经发包人同意，承包人不得将发包人提供的图纸、文件以及声明需要保密的资料信息等商业秘密泄露给第三方。</w:t>
      </w:r>
    </w:p>
    <w:p w14:paraId="39E556AE">
      <w:pPr>
        <w:spacing w:line="360" w:lineRule="auto"/>
        <w:rPr>
          <w:rFonts w:ascii="宋体" w:hAnsi="宋体"/>
          <w:lang w:eastAsia="zh-CN"/>
        </w:rPr>
      </w:pPr>
      <w:r>
        <w:rPr>
          <w:rFonts w:ascii="宋体" w:hAnsi="宋体" w:hint="eastAsia"/>
          <w:lang w:eastAsia="zh-CN"/>
        </w:rPr>
        <w:t>除法律规定或合同另有约定外，未经承包人同意，发包人不得将承包人提供的技术秘密及声明需要保密的资料信息等商业秘密泄露给第三方。</w:t>
      </w:r>
    </w:p>
    <w:p w14:paraId="624B5598">
      <w:pPr>
        <w:spacing w:line="360" w:lineRule="auto"/>
        <w:rPr>
          <w:rFonts w:ascii="宋体" w:hAnsi="宋体"/>
          <w:bCs/>
          <w:lang w:eastAsia="zh-CN"/>
        </w:rPr>
      </w:pPr>
      <w:r>
        <w:rPr>
          <w:rFonts w:ascii="宋体" w:hAnsi="宋体" w:hint="eastAsia"/>
          <w:bCs/>
          <w:lang w:eastAsia="zh-CN"/>
        </w:rPr>
        <w:t>1.13工程量清单错误的修正</w:t>
      </w:r>
    </w:p>
    <w:p w14:paraId="7AB4EFE2">
      <w:pPr>
        <w:spacing w:line="360" w:lineRule="auto"/>
        <w:rPr>
          <w:rFonts w:ascii="宋体" w:hAnsi="宋体"/>
          <w:lang w:eastAsia="zh-CN"/>
        </w:rPr>
      </w:pPr>
      <w:r>
        <w:rPr>
          <w:rFonts w:ascii="宋体" w:hAnsi="宋体" w:hint="eastAsia"/>
          <w:lang w:eastAsia="zh-CN"/>
        </w:rPr>
        <w:t>除专用合同条款另有约定外，发包人提供的工程量清单，应被认为是准确的和完整的。出现下列情形之一时，发包人应予以修正，并相应调整合同价格：</w:t>
      </w:r>
    </w:p>
    <w:p w14:paraId="0C6EEA3D">
      <w:pPr>
        <w:spacing w:line="360" w:lineRule="auto"/>
        <w:rPr>
          <w:rFonts w:ascii="宋体" w:hAnsi="宋体"/>
          <w:lang w:eastAsia="zh-CN"/>
        </w:rPr>
      </w:pPr>
      <w:r>
        <w:rPr>
          <w:rFonts w:ascii="宋体" w:hAnsi="宋体" w:hint="eastAsia"/>
          <w:lang w:eastAsia="zh-CN"/>
        </w:rPr>
        <w:t>（1）工程量清单存在缺项、漏项的；</w:t>
      </w:r>
    </w:p>
    <w:p w14:paraId="0D96828A">
      <w:pPr>
        <w:spacing w:line="360" w:lineRule="auto"/>
        <w:rPr>
          <w:rFonts w:ascii="宋体" w:hAnsi="宋体"/>
          <w:lang w:eastAsia="zh-CN"/>
        </w:rPr>
      </w:pPr>
      <w:r>
        <w:rPr>
          <w:rFonts w:ascii="宋体" w:hAnsi="宋体" w:hint="eastAsia"/>
          <w:lang w:eastAsia="zh-CN"/>
        </w:rPr>
        <w:t>（2）工程量清单偏差超出专用合同条款约定的工程量偏差范围的；</w:t>
      </w:r>
    </w:p>
    <w:p w14:paraId="2108906F">
      <w:pPr>
        <w:spacing w:line="360" w:lineRule="auto"/>
        <w:rPr>
          <w:rFonts w:ascii="宋体" w:hAnsi="宋体"/>
          <w:lang w:eastAsia="zh-CN"/>
        </w:rPr>
      </w:pPr>
      <w:r>
        <w:rPr>
          <w:rFonts w:ascii="宋体" w:hAnsi="宋体" w:hint="eastAsia"/>
          <w:lang w:eastAsia="zh-CN"/>
        </w:rPr>
        <w:t>（3）未按照国家现行计量规范强制性规定计量的。</w:t>
      </w:r>
    </w:p>
    <w:p w14:paraId="04151ED1">
      <w:pPr>
        <w:spacing w:line="360" w:lineRule="auto"/>
        <w:rPr>
          <w:rFonts w:ascii="宋体" w:hAnsi="宋体"/>
          <w:bCs/>
          <w:lang w:eastAsia="zh-CN"/>
        </w:rPr>
      </w:pPr>
      <w:r>
        <w:rPr>
          <w:rFonts w:ascii="宋体" w:hAnsi="宋体" w:hint="eastAsia"/>
          <w:bCs/>
          <w:lang w:eastAsia="zh-CN"/>
        </w:rPr>
        <w:t>2. 发包人</w:t>
      </w:r>
    </w:p>
    <w:p w14:paraId="1F4C1604">
      <w:pPr>
        <w:spacing w:line="360" w:lineRule="auto"/>
        <w:rPr>
          <w:rFonts w:ascii="宋体" w:hAnsi="宋体"/>
          <w:bCs/>
          <w:lang w:eastAsia="zh-CN"/>
        </w:rPr>
      </w:pPr>
      <w:r>
        <w:rPr>
          <w:rFonts w:ascii="宋体" w:hAnsi="宋体" w:hint="eastAsia"/>
          <w:bCs/>
          <w:lang w:eastAsia="zh-CN"/>
        </w:rPr>
        <w:t>2.1 许可或批准</w:t>
      </w:r>
    </w:p>
    <w:p w14:paraId="4CC414F8">
      <w:pPr>
        <w:spacing w:line="360" w:lineRule="auto"/>
        <w:rPr>
          <w:rFonts w:ascii="宋体" w:hAnsi="宋体"/>
          <w:lang w:eastAsia="zh-CN"/>
        </w:rPr>
      </w:pPr>
      <w:r>
        <w:rPr>
          <w:rFonts w:ascii="宋体" w:hAnsi="宋体" w:hint="eastAsia"/>
          <w:lang w:eastAsia="zh-CN"/>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7DEF8896">
      <w:pPr>
        <w:spacing w:line="360" w:lineRule="auto"/>
        <w:rPr>
          <w:rFonts w:ascii="宋体" w:hAnsi="宋体"/>
          <w:lang w:eastAsia="zh-CN"/>
        </w:rPr>
      </w:pPr>
      <w:r>
        <w:rPr>
          <w:rFonts w:ascii="宋体" w:hAnsi="宋体" w:hint="eastAsia"/>
          <w:lang w:eastAsia="zh-CN"/>
        </w:rPr>
        <w:t>因发包人原因未能及时办理完毕前述许可、批准或备案，由发包人承担由此增加的费用和（或）延误的工期，并支付承包人合理的利润。</w:t>
      </w:r>
    </w:p>
    <w:p w14:paraId="4B126471">
      <w:pPr>
        <w:spacing w:line="360" w:lineRule="auto"/>
        <w:rPr>
          <w:rFonts w:ascii="宋体" w:hAnsi="宋体"/>
          <w:bCs/>
          <w:lang w:eastAsia="zh-CN"/>
        </w:rPr>
      </w:pPr>
      <w:r>
        <w:rPr>
          <w:rFonts w:ascii="宋体" w:hAnsi="宋体" w:hint="eastAsia"/>
          <w:bCs/>
          <w:lang w:eastAsia="zh-CN"/>
        </w:rPr>
        <w:t>2.2 发包人代表</w:t>
      </w:r>
    </w:p>
    <w:p w14:paraId="71A1A7C9">
      <w:pPr>
        <w:spacing w:line="360" w:lineRule="auto"/>
        <w:rPr>
          <w:rFonts w:ascii="宋体" w:hAnsi="宋体"/>
          <w:lang w:eastAsia="zh-CN"/>
        </w:rPr>
      </w:pPr>
      <w:r>
        <w:rPr>
          <w:rFonts w:ascii="宋体" w:hAnsi="宋体" w:hint="eastAsia"/>
          <w:lang w:eastAsia="zh-CN"/>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2D912F32">
      <w:pPr>
        <w:spacing w:line="360" w:lineRule="auto"/>
        <w:rPr>
          <w:rFonts w:ascii="宋体" w:hAnsi="宋体"/>
          <w:lang w:eastAsia="zh-CN"/>
        </w:rPr>
      </w:pPr>
      <w:r>
        <w:rPr>
          <w:rFonts w:ascii="宋体" w:hAnsi="宋体" w:hint="eastAsia"/>
          <w:lang w:eastAsia="zh-CN"/>
        </w:rPr>
        <w:t>发包人代表不能按照合同约定履行其职责及义务，并导致合同无法继续正常履行的，承包人可以要求发包人撤换发包人代表。</w:t>
      </w:r>
    </w:p>
    <w:p w14:paraId="10935B44">
      <w:pPr>
        <w:spacing w:line="360" w:lineRule="auto"/>
        <w:rPr>
          <w:rFonts w:ascii="宋体" w:hAnsi="宋体"/>
          <w:lang w:eastAsia="zh-CN"/>
        </w:rPr>
      </w:pPr>
      <w:r>
        <w:rPr>
          <w:rFonts w:ascii="宋体" w:hAnsi="宋体" w:hint="eastAsia"/>
          <w:lang w:eastAsia="zh-CN"/>
        </w:rPr>
        <w:t>不属于法定必须监理的工程，监理人的职权可以由发包人代表或发包人指定的其他人员行使。</w:t>
      </w:r>
    </w:p>
    <w:p w14:paraId="09F69CD7">
      <w:pPr>
        <w:spacing w:line="360" w:lineRule="auto"/>
        <w:rPr>
          <w:rFonts w:ascii="宋体" w:hAnsi="宋体"/>
          <w:bCs/>
          <w:lang w:eastAsia="zh-CN"/>
        </w:rPr>
      </w:pPr>
      <w:r>
        <w:rPr>
          <w:rFonts w:ascii="宋体" w:hAnsi="宋体" w:hint="eastAsia"/>
          <w:bCs/>
          <w:lang w:eastAsia="zh-CN"/>
        </w:rPr>
        <w:t>2.3 发包人人员</w:t>
      </w:r>
    </w:p>
    <w:p w14:paraId="5F3250B2">
      <w:pPr>
        <w:spacing w:line="360" w:lineRule="auto"/>
        <w:rPr>
          <w:rFonts w:ascii="宋体" w:hAnsi="宋体"/>
          <w:lang w:eastAsia="zh-CN"/>
        </w:rPr>
      </w:pPr>
      <w:r>
        <w:rPr>
          <w:rFonts w:ascii="宋体" w:hAnsi="宋体" w:hint="eastAsia"/>
          <w:lang w:eastAsia="zh-CN"/>
        </w:rPr>
        <w:t>发包人应要求在施工现场的发包人人员遵守法律及有关安全、质量、环境保护、文明施工等规定，并保障承包人免于承受因发包人人员未遵守上述要求给承包人造成的损失和责任。</w:t>
      </w:r>
    </w:p>
    <w:p w14:paraId="0277A90F">
      <w:pPr>
        <w:spacing w:line="360" w:lineRule="auto"/>
        <w:rPr>
          <w:rFonts w:ascii="宋体" w:hAnsi="宋体"/>
          <w:lang w:eastAsia="zh-CN"/>
        </w:rPr>
      </w:pPr>
      <w:r>
        <w:rPr>
          <w:rFonts w:ascii="宋体" w:hAnsi="宋体" w:hint="eastAsia"/>
          <w:lang w:eastAsia="zh-CN"/>
        </w:rPr>
        <w:t>发包人人员包括发包人代表及其他由发包人派驻施工现场的人员。</w:t>
      </w:r>
    </w:p>
    <w:p w14:paraId="4538B1D7">
      <w:pPr>
        <w:spacing w:line="360" w:lineRule="auto"/>
        <w:rPr>
          <w:rFonts w:ascii="宋体" w:hAnsi="宋体"/>
          <w:bCs/>
          <w:lang w:eastAsia="zh-CN"/>
        </w:rPr>
      </w:pPr>
      <w:r>
        <w:rPr>
          <w:rFonts w:ascii="宋体" w:hAnsi="宋体" w:hint="eastAsia"/>
          <w:bCs/>
          <w:lang w:eastAsia="zh-CN"/>
        </w:rPr>
        <w:t xml:space="preserve">2.4 施工现场、施工条件和基础资料的提供  </w:t>
      </w:r>
    </w:p>
    <w:p w14:paraId="7E721E44">
      <w:pPr>
        <w:spacing w:line="360" w:lineRule="auto"/>
        <w:rPr>
          <w:rFonts w:ascii="宋体" w:hAnsi="宋体"/>
          <w:lang w:eastAsia="zh-CN"/>
        </w:rPr>
      </w:pPr>
      <w:r>
        <w:rPr>
          <w:rFonts w:ascii="宋体" w:hAnsi="宋体" w:hint="eastAsia"/>
          <w:lang w:eastAsia="zh-CN"/>
        </w:rPr>
        <w:t>2.4.1 提供施工现场</w:t>
      </w:r>
    </w:p>
    <w:p w14:paraId="0816D12D">
      <w:pPr>
        <w:spacing w:line="360" w:lineRule="auto"/>
        <w:rPr>
          <w:rFonts w:ascii="宋体" w:hAnsi="宋体"/>
          <w:lang w:eastAsia="zh-CN"/>
        </w:rPr>
      </w:pPr>
      <w:r>
        <w:rPr>
          <w:rFonts w:ascii="宋体" w:hAnsi="宋体" w:hint="eastAsia"/>
          <w:lang w:eastAsia="zh-CN"/>
        </w:rPr>
        <w:t>除专用合同条款另有约定外，发包人应最迟于开工日期7天前向承包人移交施工现场。</w:t>
      </w:r>
    </w:p>
    <w:p w14:paraId="43AB7E21">
      <w:pPr>
        <w:spacing w:line="360" w:lineRule="auto"/>
        <w:rPr>
          <w:rFonts w:ascii="宋体" w:hAnsi="宋体"/>
          <w:lang w:eastAsia="zh-CN"/>
        </w:rPr>
      </w:pPr>
      <w:r>
        <w:rPr>
          <w:rFonts w:ascii="宋体" w:hAnsi="宋体" w:hint="eastAsia"/>
          <w:lang w:eastAsia="zh-CN"/>
        </w:rPr>
        <w:t>2.4.2 提供施工条件</w:t>
      </w:r>
    </w:p>
    <w:p w14:paraId="4A72C62C">
      <w:pPr>
        <w:spacing w:line="360" w:lineRule="auto"/>
        <w:rPr>
          <w:rFonts w:ascii="宋体" w:hAnsi="宋体"/>
          <w:lang w:eastAsia="zh-CN"/>
        </w:rPr>
      </w:pPr>
      <w:r>
        <w:rPr>
          <w:rFonts w:ascii="宋体" w:hAnsi="宋体" w:hint="eastAsia"/>
          <w:lang w:eastAsia="zh-CN"/>
        </w:rPr>
        <w:t>除专用合同条款另有约定外，发包人应负责提供施工所需要的条件，包括：</w:t>
      </w:r>
    </w:p>
    <w:p w14:paraId="47E61D96">
      <w:pPr>
        <w:spacing w:line="360" w:lineRule="auto"/>
        <w:rPr>
          <w:rFonts w:ascii="宋体" w:hAnsi="宋体"/>
          <w:lang w:eastAsia="zh-CN"/>
        </w:rPr>
      </w:pPr>
      <w:r>
        <w:rPr>
          <w:rFonts w:ascii="宋体" w:hAnsi="宋体" w:hint="eastAsia"/>
          <w:lang w:eastAsia="zh-CN"/>
        </w:rPr>
        <w:t>（1）将施工用水、电力、通讯线路等施工所必需的条件接至施工现场内；</w:t>
      </w:r>
    </w:p>
    <w:p w14:paraId="167019AE">
      <w:pPr>
        <w:spacing w:line="360" w:lineRule="auto"/>
        <w:rPr>
          <w:rFonts w:ascii="宋体" w:hAnsi="宋体"/>
          <w:lang w:eastAsia="zh-CN"/>
        </w:rPr>
      </w:pPr>
      <w:r>
        <w:rPr>
          <w:rFonts w:ascii="宋体" w:hAnsi="宋体" w:hint="eastAsia"/>
          <w:lang w:eastAsia="zh-CN"/>
        </w:rPr>
        <w:t>（2）保证向承包人提供正常施工所需要的进入施工现场的交通条件；</w:t>
      </w:r>
    </w:p>
    <w:p w14:paraId="56C840B9">
      <w:pPr>
        <w:spacing w:line="360" w:lineRule="auto"/>
        <w:rPr>
          <w:rFonts w:ascii="宋体" w:hAnsi="宋体"/>
          <w:lang w:eastAsia="zh-CN"/>
        </w:rPr>
      </w:pPr>
      <w:r>
        <w:rPr>
          <w:rFonts w:ascii="宋体" w:hAnsi="宋体" w:hint="eastAsia"/>
          <w:lang w:eastAsia="zh-CN"/>
        </w:rPr>
        <w:t>（3）协调处理施工现场周围地下管线和邻近建筑物、构筑物、古树名木的保护工作，并承担相关费用；</w:t>
      </w:r>
    </w:p>
    <w:p w14:paraId="0E944911">
      <w:pPr>
        <w:spacing w:line="360" w:lineRule="auto"/>
        <w:rPr>
          <w:rFonts w:ascii="宋体" w:hAnsi="宋体"/>
          <w:lang w:eastAsia="zh-CN"/>
        </w:rPr>
      </w:pPr>
      <w:r>
        <w:rPr>
          <w:rFonts w:ascii="宋体" w:hAnsi="宋体" w:hint="eastAsia"/>
          <w:lang w:eastAsia="zh-CN"/>
        </w:rPr>
        <w:t>（4）按照专用合同条款约定应提供的其他设施和条件。</w:t>
      </w:r>
    </w:p>
    <w:p w14:paraId="76DBD205">
      <w:pPr>
        <w:spacing w:line="360" w:lineRule="auto"/>
        <w:rPr>
          <w:rFonts w:ascii="宋体" w:hAnsi="宋体"/>
          <w:lang w:eastAsia="zh-CN"/>
        </w:rPr>
      </w:pPr>
      <w:r>
        <w:rPr>
          <w:rFonts w:ascii="宋体" w:hAnsi="宋体" w:hint="eastAsia"/>
          <w:lang w:eastAsia="zh-CN"/>
        </w:rPr>
        <w:t>2.4.3 提供基础资料</w:t>
      </w:r>
    </w:p>
    <w:p w14:paraId="12F85A7E">
      <w:pPr>
        <w:spacing w:line="360" w:lineRule="auto"/>
        <w:rPr>
          <w:rFonts w:ascii="宋体" w:hAnsi="宋体"/>
          <w:lang w:eastAsia="zh-CN"/>
        </w:rPr>
      </w:pPr>
      <w:r>
        <w:rPr>
          <w:rFonts w:ascii="宋体" w:hAnsi="宋体" w:hint="eastAsia"/>
          <w:lang w:eastAsia="zh-CN"/>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238B9ECE">
      <w:pPr>
        <w:spacing w:line="360" w:lineRule="auto"/>
        <w:rPr>
          <w:rFonts w:ascii="宋体" w:hAnsi="宋体"/>
          <w:lang w:eastAsia="zh-CN"/>
        </w:rPr>
      </w:pPr>
      <w:r>
        <w:rPr>
          <w:rFonts w:ascii="宋体" w:hAnsi="宋体" w:hint="eastAsia"/>
          <w:lang w:eastAsia="zh-CN"/>
        </w:rPr>
        <w:t>按照法律规定确需在开工后方能提供的基础资料，发包人应尽其努力及时地在相应工程施工前的合理期限内提供，合理期限应以不影响承包人的正常施工为限。</w:t>
      </w:r>
    </w:p>
    <w:p w14:paraId="2A408FCB">
      <w:pPr>
        <w:spacing w:line="360" w:lineRule="auto"/>
        <w:rPr>
          <w:rFonts w:ascii="宋体" w:hAnsi="宋体"/>
          <w:lang w:eastAsia="zh-CN"/>
        </w:rPr>
      </w:pPr>
      <w:r>
        <w:rPr>
          <w:rFonts w:ascii="宋体" w:hAnsi="宋体" w:hint="eastAsia"/>
          <w:lang w:eastAsia="zh-CN"/>
        </w:rPr>
        <w:t>2.4.4 逾期提供的责任</w:t>
      </w:r>
    </w:p>
    <w:p w14:paraId="14119C3A">
      <w:pPr>
        <w:spacing w:line="360" w:lineRule="auto"/>
        <w:rPr>
          <w:rFonts w:ascii="宋体" w:hAnsi="宋体"/>
          <w:lang w:eastAsia="zh-CN"/>
        </w:rPr>
      </w:pPr>
      <w:r>
        <w:rPr>
          <w:rFonts w:ascii="宋体" w:hAnsi="宋体" w:hint="eastAsia"/>
          <w:lang w:eastAsia="zh-CN"/>
        </w:rPr>
        <w:t>因发包人原因未能按合同约定及时向承包人提供施工现场、施工条件、基础资料的，由发包人承担由此增加的费用和（或）延误的工期。</w:t>
      </w:r>
    </w:p>
    <w:p w14:paraId="0BE145CB">
      <w:pPr>
        <w:spacing w:line="360" w:lineRule="auto"/>
        <w:rPr>
          <w:rFonts w:ascii="宋体" w:hAnsi="宋体"/>
          <w:bCs/>
          <w:lang w:eastAsia="zh-CN"/>
        </w:rPr>
      </w:pPr>
      <w:r>
        <w:rPr>
          <w:rFonts w:ascii="宋体" w:hAnsi="宋体" w:hint="eastAsia"/>
          <w:bCs/>
          <w:lang w:eastAsia="zh-CN"/>
        </w:rPr>
        <w:t>2.5 资金来源证明及支付担保</w:t>
      </w:r>
    </w:p>
    <w:p w14:paraId="01F2CA9D">
      <w:pPr>
        <w:spacing w:line="360" w:lineRule="auto"/>
        <w:rPr>
          <w:rFonts w:ascii="宋体" w:hAnsi="宋体"/>
          <w:lang w:eastAsia="zh-CN"/>
        </w:rPr>
      </w:pPr>
      <w:r>
        <w:rPr>
          <w:rFonts w:ascii="宋体" w:hAnsi="宋体" w:hint="eastAsia"/>
          <w:lang w:eastAsia="zh-CN"/>
        </w:rPr>
        <w:t>除专用合同条款另有约定外，发包人应在收到承包人要求提供资金来源证明的书面通知后28天内，向承包人提供能够按照合同约定支付合同价款的相应资金来源证明。</w:t>
      </w:r>
    </w:p>
    <w:p w14:paraId="392CA4A8">
      <w:pPr>
        <w:spacing w:line="360" w:lineRule="auto"/>
        <w:rPr>
          <w:rFonts w:ascii="宋体" w:hAnsi="宋体"/>
          <w:lang w:eastAsia="zh-CN"/>
        </w:rPr>
      </w:pPr>
      <w:r>
        <w:rPr>
          <w:rFonts w:ascii="宋体" w:hAnsi="宋体" w:hint="eastAsia"/>
          <w:lang w:eastAsia="zh-CN"/>
        </w:rPr>
        <w:t>除专用合同条款另有约定外，发包人要求承包人提供履约担保的，发包人应当向承包人提供支付担保。支付担保可以采用银行保函或担保公司担保等形式，具体由合同当事人在专用合同条款中约定。</w:t>
      </w:r>
    </w:p>
    <w:p w14:paraId="62DFC03E">
      <w:pPr>
        <w:spacing w:line="360" w:lineRule="auto"/>
        <w:rPr>
          <w:rFonts w:ascii="宋体" w:hAnsi="宋体"/>
          <w:bCs/>
          <w:lang w:eastAsia="zh-CN"/>
        </w:rPr>
      </w:pPr>
      <w:r>
        <w:rPr>
          <w:rFonts w:ascii="宋体" w:hAnsi="宋体" w:hint="eastAsia"/>
          <w:bCs/>
          <w:lang w:eastAsia="zh-CN"/>
        </w:rPr>
        <w:t>2.6 支付合同价款</w:t>
      </w:r>
    </w:p>
    <w:p w14:paraId="01CFE92E">
      <w:pPr>
        <w:spacing w:line="360" w:lineRule="auto"/>
        <w:rPr>
          <w:rFonts w:ascii="宋体" w:hAnsi="宋体"/>
          <w:lang w:eastAsia="zh-CN"/>
        </w:rPr>
      </w:pPr>
      <w:r>
        <w:rPr>
          <w:rFonts w:ascii="宋体" w:hAnsi="宋体" w:hint="eastAsia"/>
          <w:lang w:eastAsia="zh-CN"/>
        </w:rPr>
        <w:t>发包人应按合同约定向承包人及时支付合同价款。</w:t>
      </w:r>
    </w:p>
    <w:p w14:paraId="7AC4A63D">
      <w:pPr>
        <w:spacing w:line="360" w:lineRule="auto"/>
        <w:rPr>
          <w:rFonts w:ascii="宋体" w:hAnsi="宋体"/>
          <w:bCs/>
          <w:lang w:eastAsia="zh-CN"/>
        </w:rPr>
      </w:pPr>
      <w:r>
        <w:rPr>
          <w:rFonts w:ascii="宋体" w:hAnsi="宋体" w:hint="eastAsia"/>
          <w:bCs/>
          <w:lang w:eastAsia="zh-CN"/>
        </w:rPr>
        <w:t>2.7 组织竣工验收</w:t>
      </w:r>
    </w:p>
    <w:p w14:paraId="14B92C57">
      <w:pPr>
        <w:spacing w:line="360" w:lineRule="auto"/>
        <w:rPr>
          <w:rFonts w:ascii="宋体" w:hAnsi="宋体"/>
          <w:lang w:eastAsia="zh-CN"/>
        </w:rPr>
      </w:pPr>
      <w:r>
        <w:rPr>
          <w:rFonts w:ascii="宋体" w:hAnsi="宋体" w:hint="eastAsia"/>
          <w:lang w:eastAsia="zh-CN"/>
        </w:rPr>
        <w:t>发包人应按合同约定及时组织竣工验收。</w:t>
      </w:r>
    </w:p>
    <w:p w14:paraId="12187B20">
      <w:pPr>
        <w:spacing w:line="360" w:lineRule="auto"/>
        <w:rPr>
          <w:rFonts w:ascii="宋体" w:hAnsi="宋体"/>
          <w:bCs/>
          <w:lang w:eastAsia="zh-CN"/>
        </w:rPr>
      </w:pPr>
      <w:r>
        <w:rPr>
          <w:rFonts w:ascii="宋体" w:hAnsi="宋体" w:hint="eastAsia"/>
          <w:bCs/>
          <w:lang w:eastAsia="zh-CN"/>
        </w:rPr>
        <w:t>2.8 现场统一管理协议</w:t>
      </w:r>
    </w:p>
    <w:p w14:paraId="577AB158">
      <w:pPr>
        <w:spacing w:line="360" w:lineRule="auto"/>
        <w:rPr>
          <w:rFonts w:ascii="宋体" w:hAnsi="宋体"/>
          <w:lang w:eastAsia="zh-CN"/>
        </w:rPr>
      </w:pPr>
      <w:r>
        <w:rPr>
          <w:rFonts w:ascii="宋体" w:hAnsi="宋体" w:hint="eastAsia"/>
          <w:lang w:eastAsia="zh-CN"/>
        </w:rPr>
        <w:t>发包人应与承包人、由发包人直接发包的专业工程的承包人签订施工现场统一管理协议，明确各方的权利义务。施工现场统一管理协议作为专用合同条款的附件。</w:t>
      </w:r>
    </w:p>
    <w:p w14:paraId="51336961">
      <w:pPr>
        <w:spacing w:line="360" w:lineRule="auto"/>
        <w:rPr>
          <w:rFonts w:ascii="宋体" w:hAnsi="宋体"/>
          <w:bCs/>
          <w:lang w:eastAsia="zh-CN"/>
        </w:rPr>
      </w:pPr>
      <w:r>
        <w:rPr>
          <w:rFonts w:ascii="宋体" w:hAnsi="宋体" w:hint="eastAsia"/>
          <w:bCs/>
          <w:lang w:eastAsia="zh-CN"/>
        </w:rPr>
        <w:t>3. 承包人</w:t>
      </w:r>
    </w:p>
    <w:p w14:paraId="720D046A">
      <w:pPr>
        <w:spacing w:line="360" w:lineRule="auto"/>
        <w:rPr>
          <w:rFonts w:ascii="宋体" w:hAnsi="宋体"/>
          <w:bCs/>
          <w:lang w:eastAsia="zh-CN"/>
        </w:rPr>
      </w:pPr>
      <w:r>
        <w:rPr>
          <w:rFonts w:ascii="宋体" w:hAnsi="宋体" w:hint="eastAsia"/>
          <w:bCs/>
          <w:lang w:eastAsia="zh-CN"/>
        </w:rPr>
        <w:t>3.1 承包人的一般义务</w:t>
      </w:r>
    </w:p>
    <w:p w14:paraId="4A5F9912">
      <w:pPr>
        <w:spacing w:line="360" w:lineRule="auto"/>
        <w:rPr>
          <w:rFonts w:ascii="宋体" w:hAnsi="宋体"/>
          <w:lang w:eastAsia="zh-CN"/>
        </w:rPr>
      </w:pPr>
      <w:r>
        <w:rPr>
          <w:rFonts w:ascii="宋体" w:hAnsi="宋体" w:hint="eastAsia"/>
          <w:lang w:eastAsia="zh-CN"/>
        </w:rPr>
        <w:t>承包人在履行合同过程中应遵守法律和工程建设标准规范，并履行以下义务：</w:t>
      </w:r>
    </w:p>
    <w:p w14:paraId="69DE1A2D">
      <w:pPr>
        <w:spacing w:line="360" w:lineRule="auto"/>
        <w:rPr>
          <w:rFonts w:ascii="宋体" w:hAnsi="宋体"/>
          <w:lang w:eastAsia="zh-CN"/>
        </w:rPr>
      </w:pPr>
      <w:r>
        <w:rPr>
          <w:rFonts w:ascii="宋体" w:hAnsi="宋体" w:hint="eastAsia"/>
          <w:lang w:eastAsia="zh-CN"/>
        </w:rPr>
        <w:t>（1）办理法律规定应由承包人办理的许可和批准，并将办理结果书面报送发包人留存；</w:t>
      </w:r>
    </w:p>
    <w:p w14:paraId="548A3EB4">
      <w:pPr>
        <w:spacing w:line="360" w:lineRule="auto"/>
        <w:rPr>
          <w:rFonts w:ascii="宋体" w:hAnsi="宋体"/>
          <w:lang w:eastAsia="zh-CN"/>
        </w:rPr>
      </w:pPr>
      <w:r>
        <w:rPr>
          <w:rFonts w:ascii="宋体" w:hAnsi="宋体" w:hint="eastAsia"/>
          <w:lang w:eastAsia="zh-CN"/>
        </w:rPr>
        <w:t>（2）按法律规定和合同约定完成工程，并在保修期内承担保修义务；</w:t>
      </w:r>
    </w:p>
    <w:p w14:paraId="6E986726">
      <w:pPr>
        <w:spacing w:line="360" w:lineRule="auto"/>
        <w:rPr>
          <w:rFonts w:ascii="宋体" w:hAnsi="宋体"/>
          <w:lang w:eastAsia="zh-CN"/>
        </w:rPr>
      </w:pPr>
      <w:r>
        <w:rPr>
          <w:rFonts w:ascii="宋体" w:hAnsi="宋体" w:hint="eastAsia"/>
          <w:lang w:eastAsia="zh-CN"/>
        </w:rPr>
        <w:t>（3）按法律规定和合同约定采取施工安全和环境保护措施，办理工伤保险，确保工程及人员、材料、设备和设施的安全；</w:t>
      </w:r>
    </w:p>
    <w:p w14:paraId="71FB3E66">
      <w:pPr>
        <w:spacing w:line="360" w:lineRule="auto"/>
        <w:rPr>
          <w:rFonts w:ascii="宋体" w:hAnsi="宋体"/>
          <w:lang w:eastAsia="zh-CN"/>
        </w:rPr>
      </w:pPr>
      <w:r>
        <w:rPr>
          <w:rFonts w:ascii="宋体" w:hAnsi="宋体" w:hint="eastAsia"/>
          <w:lang w:eastAsia="zh-CN"/>
        </w:rPr>
        <w:t>（4）按合同约定的工作内容和施工进度要求，编制施工组织设计和施工措施计划，并对所有施工作业和施工方法的完备性和安全可靠性负责；</w:t>
      </w:r>
    </w:p>
    <w:p w14:paraId="0525B1E9">
      <w:pPr>
        <w:spacing w:line="360" w:lineRule="auto"/>
        <w:rPr>
          <w:rFonts w:ascii="宋体" w:hAnsi="宋体"/>
          <w:lang w:eastAsia="zh-CN"/>
        </w:rPr>
      </w:pPr>
      <w:r>
        <w:rPr>
          <w:rFonts w:ascii="宋体" w:hAnsi="宋体" w:hint="eastAsia"/>
          <w:lang w:eastAsia="zh-CN"/>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CE66F28">
      <w:pPr>
        <w:spacing w:line="360" w:lineRule="auto"/>
        <w:rPr>
          <w:rFonts w:ascii="宋体" w:hAnsi="宋体"/>
          <w:lang w:eastAsia="zh-CN"/>
        </w:rPr>
      </w:pPr>
      <w:r>
        <w:rPr>
          <w:rFonts w:ascii="宋体" w:hAnsi="宋体" w:hint="eastAsia"/>
          <w:lang w:eastAsia="zh-CN"/>
        </w:rPr>
        <w:t>（6）按照第6.3款〔环境保护〕约定负责施工场地及其周边环境与生态的保护工作；</w:t>
      </w:r>
    </w:p>
    <w:p w14:paraId="48F62DD4">
      <w:pPr>
        <w:spacing w:line="360" w:lineRule="auto"/>
        <w:rPr>
          <w:rFonts w:ascii="宋体" w:hAnsi="宋体"/>
          <w:lang w:eastAsia="zh-CN"/>
        </w:rPr>
      </w:pPr>
      <w:r>
        <w:rPr>
          <w:rFonts w:ascii="宋体" w:hAnsi="宋体" w:hint="eastAsia"/>
          <w:lang w:eastAsia="zh-CN"/>
        </w:rPr>
        <w:t>（7）按第6.1款〔安全文明施工〕约定采取施工安全措施，确保工程及其人员、材料、设备和设施的安全，防止因工程施工造成的人身伤害和财产损失；</w:t>
      </w:r>
    </w:p>
    <w:p w14:paraId="68140425">
      <w:pPr>
        <w:spacing w:line="360" w:lineRule="auto"/>
        <w:rPr>
          <w:rFonts w:ascii="宋体" w:hAnsi="宋体"/>
          <w:lang w:eastAsia="zh-CN"/>
        </w:rPr>
      </w:pPr>
      <w:r>
        <w:rPr>
          <w:rFonts w:ascii="宋体" w:hAnsi="宋体" w:hint="eastAsia"/>
          <w:lang w:eastAsia="zh-CN"/>
        </w:rPr>
        <w:t>（8）将发包人按合同约定支付的各项价款专用于合同工程，且应及时支付其雇用人员工资，并及时向分包人支付合同价款；</w:t>
      </w:r>
    </w:p>
    <w:p w14:paraId="1F71ED46">
      <w:pPr>
        <w:spacing w:line="360" w:lineRule="auto"/>
        <w:rPr>
          <w:rFonts w:ascii="宋体" w:hAnsi="宋体"/>
          <w:lang w:eastAsia="zh-CN"/>
        </w:rPr>
      </w:pPr>
      <w:r>
        <w:rPr>
          <w:rFonts w:ascii="宋体" w:hAnsi="宋体" w:hint="eastAsia"/>
          <w:lang w:eastAsia="zh-CN"/>
        </w:rPr>
        <w:t>（9）按照法律规定和合同约定编制竣工资料，完成竣工资料立卷及归档，并按专用合同条款约定的竣工资料的套数、内容、时间等要求移交发包人；</w:t>
      </w:r>
    </w:p>
    <w:p w14:paraId="54D633B4">
      <w:pPr>
        <w:spacing w:line="360" w:lineRule="auto"/>
        <w:rPr>
          <w:rFonts w:ascii="宋体" w:hAnsi="宋体"/>
          <w:lang w:eastAsia="zh-CN"/>
        </w:rPr>
      </w:pPr>
      <w:r>
        <w:rPr>
          <w:rFonts w:ascii="宋体" w:hAnsi="宋体" w:hint="eastAsia"/>
          <w:lang w:eastAsia="zh-CN"/>
        </w:rPr>
        <w:t>（10）应履行的其他义务。</w:t>
      </w:r>
    </w:p>
    <w:p w14:paraId="5C8FFE5C">
      <w:pPr>
        <w:spacing w:line="360" w:lineRule="auto"/>
        <w:rPr>
          <w:rFonts w:ascii="宋体" w:hAnsi="宋体"/>
          <w:bCs/>
          <w:lang w:eastAsia="zh-CN"/>
        </w:rPr>
      </w:pPr>
      <w:r>
        <w:rPr>
          <w:rFonts w:ascii="宋体" w:hAnsi="宋体" w:hint="eastAsia"/>
          <w:bCs/>
          <w:lang w:eastAsia="zh-CN"/>
        </w:rPr>
        <w:t>3.2 项目经理</w:t>
      </w:r>
    </w:p>
    <w:p w14:paraId="6762253D">
      <w:pPr>
        <w:spacing w:line="360" w:lineRule="auto"/>
        <w:rPr>
          <w:rFonts w:ascii="宋体" w:hAnsi="宋体"/>
          <w:lang w:eastAsia="zh-CN"/>
        </w:rPr>
      </w:pPr>
      <w:r>
        <w:rPr>
          <w:rFonts w:ascii="宋体" w:hAnsi="宋体" w:hint="eastAsia"/>
          <w:lang w:eastAsia="zh-CN"/>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3C21E97F">
      <w:pPr>
        <w:spacing w:line="360" w:lineRule="auto"/>
        <w:rPr>
          <w:rFonts w:ascii="宋体" w:hAnsi="宋体"/>
          <w:lang w:eastAsia="zh-CN"/>
        </w:rPr>
      </w:pPr>
      <w:r>
        <w:rPr>
          <w:rFonts w:ascii="宋体" w:hAnsi="宋体" w:hint="eastAsia"/>
          <w:lang w:eastAsia="zh-CN"/>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18097F9C">
      <w:pPr>
        <w:spacing w:line="360" w:lineRule="auto"/>
        <w:rPr>
          <w:rFonts w:ascii="宋体" w:hAnsi="宋体"/>
          <w:lang w:eastAsia="zh-CN"/>
        </w:rPr>
      </w:pPr>
      <w:r>
        <w:rPr>
          <w:rFonts w:ascii="宋体" w:hAnsi="宋体" w:hint="eastAsia"/>
          <w:lang w:eastAsia="zh-CN"/>
        </w:rPr>
        <w:t>承包人违反上述约定的，应按照专用合同条款的约定，承担违约责任。</w:t>
      </w:r>
    </w:p>
    <w:p w14:paraId="4660923B">
      <w:pPr>
        <w:spacing w:line="360" w:lineRule="auto"/>
        <w:rPr>
          <w:rFonts w:ascii="宋体" w:hAnsi="宋体"/>
          <w:lang w:eastAsia="zh-CN"/>
        </w:rPr>
      </w:pPr>
      <w:r>
        <w:rPr>
          <w:rFonts w:ascii="宋体" w:hAnsi="宋体" w:hint="eastAsia"/>
          <w:lang w:eastAsia="zh-CN"/>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D5D28B7">
      <w:pPr>
        <w:spacing w:line="360" w:lineRule="auto"/>
        <w:rPr>
          <w:rFonts w:ascii="宋体" w:hAnsi="宋体"/>
          <w:lang w:eastAsia="zh-CN"/>
        </w:rPr>
      </w:pPr>
      <w:r>
        <w:rPr>
          <w:rFonts w:ascii="宋体" w:hAnsi="宋体" w:hint="eastAsia"/>
          <w:lang w:eastAsia="zh-CN"/>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31C938E8">
      <w:pPr>
        <w:spacing w:line="360" w:lineRule="auto"/>
        <w:rPr>
          <w:rFonts w:ascii="宋体" w:hAnsi="宋体"/>
          <w:lang w:eastAsia="zh-CN"/>
        </w:rPr>
      </w:pPr>
      <w:r>
        <w:rPr>
          <w:rFonts w:ascii="宋体" w:hAnsi="宋体" w:hint="eastAsia"/>
          <w:lang w:eastAsia="zh-CN"/>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6185A879">
      <w:pPr>
        <w:spacing w:line="360" w:lineRule="auto"/>
        <w:rPr>
          <w:rFonts w:ascii="宋体" w:hAnsi="宋体"/>
          <w:lang w:eastAsia="zh-CN"/>
        </w:rPr>
      </w:pPr>
      <w:r>
        <w:rPr>
          <w:rFonts w:ascii="宋体" w:hAnsi="宋体" w:hint="eastAsia"/>
          <w:lang w:eastAsia="zh-CN"/>
        </w:rPr>
        <w:t>3.2.5 项目经理因特殊情况授权其下属人员履行其某项工作职责的，该下属人员应具备履行相应职责的能力，并应提前7天将上述人员的姓名和授权范围书面通知监理人，并征得发包人书面同意。</w:t>
      </w:r>
    </w:p>
    <w:p w14:paraId="008F90FB">
      <w:pPr>
        <w:spacing w:line="360" w:lineRule="auto"/>
        <w:rPr>
          <w:rFonts w:ascii="宋体" w:hAnsi="宋体"/>
          <w:bCs/>
          <w:lang w:eastAsia="zh-CN"/>
        </w:rPr>
      </w:pPr>
      <w:r>
        <w:rPr>
          <w:rFonts w:ascii="宋体" w:hAnsi="宋体" w:hint="eastAsia"/>
          <w:bCs/>
          <w:lang w:eastAsia="zh-CN"/>
        </w:rPr>
        <w:t>3.3 承包人人员</w:t>
      </w:r>
    </w:p>
    <w:p w14:paraId="5966EAE9">
      <w:pPr>
        <w:spacing w:line="360" w:lineRule="auto"/>
        <w:rPr>
          <w:rFonts w:ascii="宋体" w:hAnsi="宋体"/>
          <w:lang w:eastAsia="zh-CN"/>
        </w:rPr>
      </w:pPr>
      <w:r>
        <w:rPr>
          <w:rFonts w:ascii="宋体" w:hAnsi="宋体" w:hint="eastAsia"/>
          <w:lang w:eastAsia="zh-CN"/>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416D1A0D">
      <w:pPr>
        <w:spacing w:line="360" w:lineRule="auto"/>
        <w:rPr>
          <w:rFonts w:ascii="宋体" w:hAnsi="宋体"/>
          <w:lang w:eastAsia="zh-CN"/>
        </w:rPr>
      </w:pPr>
      <w:r>
        <w:rPr>
          <w:rFonts w:ascii="宋体" w:hAnsi="宋体" w:hint="eastAsia"/>
          <w:lang w:eastAsia="zh-CN"/>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13DF2A75">
      <w:pPr>
        <w:spacing w:line="360" w:lineRule="auto"/>
        <w:rPr>
          <w:rFonts w:ascii="宋体" w:hAnsi="宋体"/>
          <w:lang w:eastAsia="zh-CN"/>
        </w:rPr>
      </w:pPr>
      <w:r>
        <w:rPr>
          <w:rFonts w:ascii="宋体" w:hAnsi="宋体" w:hint="eastAsia"/>
          <w:lang w:eastAsia="zh-CN"/>
        </w:rPr>
        <w:t>特殊工种作业人员均应持有相应的资格证明，监理人可以随时检查。</w:t>
      </w:r>
    </w:p>
    <w:p w14:paraId="3AB87B2A">
      <w:pPr>
        <w:spacing w:line="360" w:lineRule="auto"/>
        <w:rPr>
          <w:rFonts w:ascii="宋体" w:hAnsi="宋体"/>
          <w:lang w:eastAsia="zh-CN"/>
        </w:rPr>
      </w:pPr>
      <w:r>
        <w:rPr>
          <w:rFonts w:ascii="宋体" w:hAnsi="宋体" w:hint="eastAsia"/>
          <w:lang w:eastAsia="zh-CN"/>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5F291A03">
      <w:pPr>
        <w:spacing w:line="360" w:lineRule="auto"/>
        <w:rPr>
          <w:rFonts w:ascii="宋体" w:hAnsi="宋体"/>
          <w:lang w:eastAsia="zh-CN"/>
        </w:rPr>
      </w:pPr>
      <w:r>
        <w:rPr>
          <w:rFonts w:ascii="宋体" w:hAnsi="宋体" w:hint="eastAsia"/>
          <w:lang w:eastAsia="zh-CN"/>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1DABF1D6">
      <w:pPr>
        <w:spacing w:line="360" w:lineRule="auto"/>
        <w:rPr>
          <w:rFonts w:ascii="宋体" w:hAnsi="宋体"/>
          <w:lang w:eastAsia="zh-CN"/>
        </w:rPr>
      </w:pPr>
      <w:r>
        <w:rPr>
          <w:rFonts w:ascii="宋体" w:hAnsi="宋体" w:hint="eastAsia"/>
          <w:lang w:eastAsia="zh-CN"/>
        </w:rPr>
        <w:t>3.3.5 承包人擅自更换主要施工管理人员，或前述人员未经监理人或发包人同意擅自离开施工现场的，应按照专用合同条款约定承担违约责任。</w:t>
      </w:r>
    </w:p>
    <w:p w14:paraId="7A0D428A">
      <w:pPr>
        <w:spacing w:line="360" w:lineRule="auto"/>
        <w:rPr>
          <w:rFonts w:ascii="宋体" w:hAnsi="宋体"/>
          <w:bCs/>
          <w:lang w:eastAsia="zh-CN"/>
        </w:rPr>
      </w:pPr>
      <w:r>
        <w:rPr>
          <w:rFonts w:ascii="宋体" w:hAnsi="宋体" w:hint="eastAsia"/>
          <w:bCs/>
          <w:lang w:eastAsia="zh-CN"/>
        </w:rPr>
        <w:t>3.4 承包人现场查勘</w:t>
      </w:r>
    </w:p>
    <w:p w14:paraId="3B25DD09">
      <w:pPr>
        <w:spacing w:line="360" w:lineRule="auto"/>
        <w:rPr>
          <w:rFonts w:ascii="宋体" w:hAnsi="宋体"/>
          <w:lang w:eastAsia="zh-CN"/>
        </w:rPr>
      </w:pPr>
      <w:r>
        <w:rPr>
          <w:rFonts w:ascii="宋体" w:hAnsi="宋体" w:hint="eastAsia"/>
          <w:lang w:eastAsia="zh-CN"/>
        </w:rPr>
        <w:t>承包人应对基于发包人按照第2.4.3项〔提供基础资料〕提交的基础资料所做出的解释和推断负责，但因基础资料存在错误、遗漏导致承包人解释或推断失实的，由发包人承担责任。</w:t>
      </w:r>
    </w:p>
    <w:p w14:paraId="38A48BA3">
      <w:pPr>
        <w:spacing w:line="360" w:lineRule="auto"/>
        <w:rPr>
          <w:rFonts w:ascii="宋体" w:hAnsi="宋体"/>
          <w:lang w:eastAsia="zh-CN"/>
        </w:rPr>
      </w:pPr>
      <w:r>
        <w:rPr>
          <w:rFonts w:ascii="宋体" w:hAnsi="宋体" w:hint="eastAsia"/>
          <w:lang w:eastAsia="zh-CN"/>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5FB39C1C">
      <w:pPr>
        <w:spacing w:line="360" w:lineRule="auto"/>
        <w:rPr>
          <w:rFonts w:ascii="宋体" w:hAnsi="宋体"/>
          <w:bCs/>
          <w:lang w:eastAsia="zh-CN"/>
        </w:rPr>
      </w:pPr>
      <w:r>
        <w:rPr>
          <w:rFonts w:ascii="宋体" w:hAnsi="宋体" w:hint="eastAsia"/>
          <w:bCs/>
          <w:lang w:eastAsia="zh-CN"/>
        </w:rPr>
        <w:t>3.5 分包</w:t>
      </w:r>
    </w:p>
    <w:p w14:paraId="7006E690">
      <w:pPr>
        <w:spacing w:line="360" w:lineRule="auto"/>
        <w:rPr>
          <w:rFonts w:ascii="宋体" w:hAnsi="宋体"/>
          <w:lang w:eastAsia="zh-CN"/>
        </w:rPr>
      </w:pPr>
      <w:r>
        <w:rPr>
          <w:rFonts w:ascii="宋体" w:hAnsi="宋体" w:hint="eastAsia"/>
          <w:lang w:eastAsia="zh-CN"/>
        </w:rPr>
        <w:t>3.5.1 分包的一般约定</w:t>
      </w:r>
    </w:p>
    <w:p w14:paraId="1D9E0057">
      <w:pPr>
        <w:spacing w:line="360" w:lineRule="auto"/>
        <w:rPr>
          <w:rFonts w:ascii="宋体" w:hAnsi="宋体"/>
          <w:lang w:eastAsia="zh-CN"/>
        </w:rPr>
      </w:pPr>
      <w:r>
        <w:rPr>
          <w:rFonts w:ascii="宋体" w:hAnsi="宋体" w:hint="eastAsia"/>
          <w:lang w:eastAsia="zh-CN"/>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6DAAAB90">
      <w:pPr>
        <w:spacing w:line="360" w:lineRule="auto"/>
        <w:rPr>
          <w:rFonts w:ascii="宋体" w:hAnsi="宋体"/>
          <w:lang w:eastAsia="zh-CN"/>
        </w:rPr>
      </w:pPr>
      <w:r>
        <w:rPr>
          <w:rFonts w:ascii="宋体" w:hAnsi="宋体" w:hint="eastAsia"/>
          <w:lang w:eastAsia="zh-CN"/>
        </w:rPr>
        <w:t>承包人不得以劳务分包的名义转包或违法分包工程。</w:t>
      </w:r>
    </w:p>
    <w:p w14:paraId="6AE097D8">
      <w:pPr>
        <w:spacing w:line="360" w:lineRule="auto"/>
        <w:rPr>
          <w:rFonts w:ascii="宋体" w:hAnsi="宋体"/>
          <w:lang w:eastAsia="zh-CN"/>
        </w:rPr>
      </w:pPr>
      <w:r>
        <w:rPr>
          <w:rFonts w:ascii="宋体" w:hAnsi="宋体" w:hint="eastAsia"/>
          <w:lang w:eastAsia="zh-CN"/>
        </w:rPr>
        <w:t>3.5.2 分包的确定</w:t>
      </w:r>
    </w:p>
    <w:p w14:paraId="29D810CA">
      <w:pPr>
        <w:spacing w:line="360" w:lineRule="auto"/>
        <w:rPr>
          <w:rFonts w:ascii="宋体" w:hAnsi="宋体"/>
          <w:lang w:eastAsia="zh-CN"/>
        </w:rPr>
      </w:pPr>
      <w:r>
        <w:rPr>
          <w:rFonts w:ascii="宋体" w:hAnsi="宋体" w:hint="eastAsia"/>
          <w:lang w:eastAsia="zh-CN"/>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0C3ECAC1">
      <w:pPr>
        <w:spacing w:line="360" w:lineRule="auto"/>
        <w:rPr>
          <w:rFonts w:ascii="宋体" w:hAnsi="宋体"/>
          <w:lang w:eastAsia="zh-CN"/>
        </w:rPr>
      </w:pPr>
      <w:r>
        <w:rPr>
          <w:rFonts w:ascii="宋体" w:hAnsi="宋体" w:hint="eastAsia"/>
          <w:lang w:eastAsia="zh-CN"/>
        </w:rPr>
        <w:t>3.5.3 分包管理</w:t>
      </w:r>
    </w:p>
    <w:p w14:paraId="052135BC">
      <w:pPr>
        <w:spacing w:line="360" w:lineRule="auto"/>
        <w:rPr>
          <w:rFonts w:ascii="宋体" w:hAnsi="宋体"/>
          <w:lang w:eastAsia="zh-CN"/>
        </w:rPr>
      </w:pPr>
      <w:r>
        <w:rPr>
          <w:rFonts w:ascii="宋体" w:hAnsi="宋体" w:hint="eastAsia"/>
          <w:lang w:eastAsia="zh-CN"/>
        </w:rPr>
        <w:t>承包人应向监理人提交分包人的主要施工管理人员表，并对分包人的施工人员进行实名制管理，包括但不限于进出场管理、登记造册以及各种证照的办理。</w:t>
      </w:r>
    </w:p>
    <w:p w14:paraId="3AF29983">
      <w:pPr>
        <w:spacing w:line="360" w:lineRule="auto"/>
        <w:rPr>
          <w:rFonts w:ascii="宋体" w:hAnsi="宋体"/>
          <w:lang w:eastAsia="zh-CN"/>
        </w:rPr>
      </w:pPr>
      <w:r>
        <w:rPr>
          <w:rFonts w:ascii="宋体" w:hAnsi="宋体" w:hint="eastAsia"/>
          <w:lang w:eastAsia="zh-CN"/>
        </w:rPr>
        <w:t>3.5.4 分包合同价款</w:t>
      </w:r>
    </w:p>
    <w:p w14:paraId="03717B92">
      <w:pPr>
        <w:spacing w:line="360" w:lineRule="auto"/>
        <w:rPr>
          <w:rFonts w:ascii="宋体" w:hAnsi="宋体"/>
          <w:lang w:eastAsia="zh-CN"/>
        </w:rPr>
      </w:pPr>
      <w:r>
        <w:rPr>
          <w:rFonts w:ascii="宋体" w:hAnsi="宋体" w:hint="eastAsia"/>
          <w:lang w:eastAsia="zh-CN"/>
        </w:rPr>
        <w:t>（1）除本项第（2）目约定的情况或专用合同条款另有约定外，分包合同价款由承包人与分包人结算，未经承包人同意，发包人不得向分包人支付分包工程价款；</w:t>
      </w:r>
    </w:p>
    <w:p w14:paraId="647D438F">
      <w:pPr>
        <w:spacing w:line="360" w:lineRule="auto"/>
        <w:rPr>
          <w:rFonts w:ascii="宋体" w:hAnsi="宋体"/>
          <w:lang w:eastAsia="zh-CN"/>
        </w:rPr>
      </w:pPr>
      <w:r>
        <w:rPr>
          <w:rFonts w:ascii="宋体" w:hAnsi="宋体" w:hint="eastAsia"/>
          <w:lang w:eastAsia="zh-CN"/>
        </w:rPr>
        <w:t>（2）生效法律文书要求发包人向分包人支付分包合同价款的，发包人有权从应付承包人工程款中扣除该部分款项。</w:t>
      </w:r>
    </w:p>
    <w:p w14:paraId="1E18A807">
      <w:pPr>
        <w:spacing w:line="360" w:lineRule="auto"/>
        <w:rPr>
          <w:rFonts w:ascii="宋体" w:hAnsi="宋体"/>
          <w:lang w:eastAsia="zh-CN"/>
        </w:rPr>
      </w:pPr>
      <w:r>
        <w:rPr>
          <w:rFonts w:ascii="宋体" w:hAnsi="宋体" w:hint="eastAsia"/>
          <w:lang w:eastAsia="zh-CN"/>
        </w:rPr>
        <w:t>3.5.5 分包合同权益的转让</w:t>
      </w:r>
    </w:p>
    <w:p w14:paraId="06DB0699">
      <w:pPr>
        <w:spacing w:line="360" w:lineRule="auto"/>
        <w:rPr>
          <w:rFonts w:ascii="宋体" w:hAnsi="宋体"/>
          <w:lang w:eastAsia="zh-CN"/>
        </w:rPr>
      </w:pPr>
      <w:r>
        <w:rPr>
          <w:rFonts w:ascii="宋体" w:hAnsi="宋体" w:hint="eastAsia"/>
          <w:lang w:eastAsia="zh-CN"/>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572F3E9D">
      <w:pPr>
        <w:spacing w:line="360" w:lineRule="auto"/>
        <w:rPr>
          <w:rFonts w:ascii="宋体" w:hAnsi="宋体"/>
          <w:bCs/>
          <w:lang w:eastAsia="zh-CN"/>
        </w:rPr>
      </w:pPr>
      <w:r>
        <w:rPr>
          <w:rFonts w:ascii="宋体" w:hAnsi="宋体" w:hint="eastAsia"/>
          <w:bCs/>
          <w:lang w:eastAsia="zh-CN"/>
        </w:rPr>
        <w:t>3.6 工程照管与成品、半成品保护</w:t>
      </w:r>
    </w:p>
    <w:p w14:paraId="20041796">
      <w:pPr>
        <w:spacing w:line="360" w:lineRule="auto"/>
        <w:rPr>
          <w:rFonts w:ascii="宋体" w:hAnsi="宋体"/>
          <w:lang w:eastAsia="zh-CN"/>
        </w:rPr>
      </w:pPr>
      <w:r>
        <w:rPr>
          <w:rFonts w:ascii="宋体" w:hAnsi="宋体" w:hint="eastAsia"/>
          <w:lang w:eastAsia="zh-CN"/>
        </w:rPr>
        <w:t>（1）除专用合同条款另有约定外，自发包人向承包人移交施工现场之日起，承包人应负责照管工程及工程相关的材料、工程设备，直到颁发工程接收证书之日止。</w:t>
      </w:r>
    </w:p>
    <w:p w14:paraId="034811C1">
      <w:pPr>
        <w:spacing w:line="360" w:lineRule="auto"/>
        <w:rPr>
          <w:rFonts w:ascii="宋体" w:hAnsi="宋体"/>
          <w:lang w:eastAsia="zh-CN"/>
        </w:rPr>
      </w:pPr>
      <w:r>
        <w:rPr>
          <w:rFonts w:ascii="宋体" w:hAnsi="宋体" w:hint="eastAsia"/>
          <w:lang w:eastAsia="zh-CN"/>
        </w:rPr>
        <w:t>（2）在承包人负责照管期间，因承包人原因造成工程、材料、工程设备损坏的，由承包人负责修复或更换，并承担由此增加的费用和（或）延误的工期。</w:t>
      </w:r>
    </w:p>
    <w:p w14:paraId="751B8782">
      <w:pPr>
        <w:spacing w:line="360" w:lineRule="auto"/>
        <w:rPr>
          <w:rFonts w:ascii="宋体" w:hAnsi="宋体"/>
          <w:lang w:eastAsia="zh-CN"/>
        </w:rPr>
      </w:pPr>
      <w:r>
        <w:rPr>
          <w:rFonts w:ascii="宋体" w:hAnsi="宋体" w:hint="eastAsia"/>
          <w:lang w:eastAsia="zh-CN"/>
        </w:rPr>
        <w:t>（3）对合同内分期完成的成品和半成品，在工程接收证书颁发前，由承包人承担保护责任。因承包人原因造成成品或半成品损坏的，由承包人负责修复或更换，并承担由此增加的费用和（或）延误的工期。</w:t>
      </w:r>
    </w:p>
    <w:p w14:paraId="3AC5B672">
      <w:pPr>
        <w:spacing w:line="360" w:lineRule="auto"/>
        <w:rPr>
          <w:rFonts w:ascii="宋体" w:hAnsi="宋体"/>
          <w:bCs/>
          <w:lang w:eastAsia="zh-CN"/>
        </w:rPr>
      </w:pPr>
      <w:r>
        <w:rPr>
          <w:rFonts w:ascii="宋体" w:hAnsi="宋体" w:hint="eastAsia"/>
          <w:bCs/>
          <w:lang w:eastAsia="zh-CN"/>
        </w:rPr>
        <w:t>3.7 履约担保</w:t>
      </w:r>
    </w:p>
    <w:p w14:paraId="4FBCC6AB">
      <w:pPr>
        <w:spacing w:line="360" w:lineRule="auto"/>
        <w:rPr>
          <w:rFonts w:ascii="宋体" w:hAnsi="宋体"/>
          <w:lang w:eastAsia="zh-CN"/>
        </w:rPr>
      </w:pPr>
      <w:r>
        <w:rPr>
          <w:rFonts w:ascii="宋体" w:hAnsi="宋体" w:hint="eastAsia"/>
          <w:lang w:eastAsia="zh-CN"/>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44B78AF4">
      <w:pPr>
        <w:spacing w:line="360" w:lineRule="auto"/>
        <w:rPr>
          <w:rFonts w:ascii="宋体" w:hAnsi="宋体"/>
          <w:lang w:eastAsia="zh-CN"/>
        </w:rPr>
      </w:pPr>
      <w:r>
        <w:rPr>
          <w:rFonts w:ascii="宋体" w:hAnsi="宋体" w:hint="eastAsia"/>
          <w:lang w:eastAsia="zh-CN"/>
        </w:rPr>
        <w:t>因承包人原因导致工期延长的，继续提供履约担保所增加的费用由承包人承担；非因承包人原因导致工期延长的，继续提供履约担保所增加的费用由发包人承担。</w:t>
      </w:r>
    </w:p>
    <w:p w14:paraId="55424E93">
      <w:pPr>
        <w:spacing w:line="360" w:lineRule="auto"/>
        <w:rPr>
          <w:rFonts w:ascii="宋体" w:hAnsi="宋体"/>
          <w:bCs/>
          <w:lang w:eastAsia="zh-CN"/>
        </w:rPr>
      </w:pPr>
      <w:r>
        <w:rPr>
          <w:rFonts w:ascii="宋体" w:hAnsi="宋体" w:hint="eastAsia"/>
          <w:bCs/>
          <w:lang w:eastAsia="zh-CN"/>
        </w:rPr>
        <w:t>3.8 联合体</w:t>
      </w:r>
    </w:p>
    <w:p w14:paraId="52F8FA1E">
      <w:pPr>
        <w:spacing w:line="360" w:lineRule="auto"/>
        <w:rPr>
          <w:rFonts w:ascii="宋体" w:hAnsi="宋体"/>
          <w:lang w:eastAsia="zh-CN"/>
        </w:rPr>
      </w:pPr>
      <w:r>
        <w:rPr>
          <w:rFonts w:ascii="宋体" w:hAnsi="宋体" w:hint="eastAsia"/>
          <w:lang w:eastAsia="zh-CN"/>
        </w:rPr>
        <w:t>3.8.1 联合体各方应共同与发包人签订合同协议书。联合体各方应为履行合同向发包人承担连带责任。</w:t>
      </w:r>
    </w:p>
    <w:p w14:paraId="68C2A2BB">
      <w:pPr>
        <w:spacing w:line="360" w:lineRule="auto"/>
        <w:rPr>
          <w:rFonts w:ascii="宋体" w:hAnsi="宋体"/>
          <w:lang w:eastAsia="zh-CN"/>
        </w:rPr>
      </w:pPr>
      <w:r>
        <w:rPr>
          <w:rFonts w:ascii="宋体" w:hAnsi="宋体" w:hint="eastAsia"/>
          <w:lang w:eastAsia="zh-CN"/>
        </w:rPr>
        <w:t>3.8.2 联合体协议经发包人确认后作为合同附件。在履行合同过程中，未经发包人同意，不得修改联合体协议。</w:t>
      </w:r>
    </w:p>
    <w:p w14:paraId="798C053A">
      <w:pPr>
        <w:spacing w:line="360" w:lineRule="auto"/>
        <w:rPr>
          <w:rFonts w:ascii="宋体" w:hAnsi="宋体"/>
          <w:lang w:eastAsia="zh-CN"/>
        </w:rPr>
      </w:pPr>
      <w:r>
        <w:rPr>
          <w:rFonts w:ascii="宋体" w:hAnsi="宋体" w:hint="eastAsia"/>
          <w:lang w:eastAsia="zh-CN"/>
        </w:rPr>
        <w:t>3.8.3 联合体牵头人负责与发包人和监理人联系，并接受指示，负责组织联合体各成员全面履行合同。</w:t>
      </w:r>
    </w:p>
    <w:p w14:paraId="0FC06DBF">
      <w:pPr>
        <w:spacing w:line="360" w:lineRule="auto"/>
        <w:rPr>
          <w:rFonts w:ascii="宋体" w:hAnsi="宋体"/>
          <w:bCs/>
          <w:lang w:eastAsia="zh-CN"/>
        </w:rPr>
      </w:pPr>
      <w:r>
        <w:rPr>
          <w:rFonts w:ascii="宋体" w:hAnsi="宋体" w:hint="eastAsia"/>
          <w:bCs/>
          <w:lang w:eastAsia="zh-CN"/>
        </w:rPr>
        <w:t>4. 监理人</w:t>
      </w:r>
    </w:p>
    <w:p w14:paraId="7E928F2B">
      <w:pPr>
        <w:spacing w:line="360" w:lineRule="auto"/>
        <w:rPr>
          <w:rFonts w:ascii="宋体" w:hAnsi="宋体"/>
          <w:bCs/>
          <w:lang w:eastAsia="zh-CN"/>
        </w:rPr>
      </w:pPr>
      <w:r>
        <w:rPr>
          <w:rFonts w:ascii="宋体" w:hAnsi="宋体" w:hint="eastAsia"/>
          <w:bCs/>
          <w:lang w:eastAsia="zh-CN"/>
        </w:rPr>
        <w:t>4.1监理人的一般规定</w:t>
      </w:r>
    </w:p>
    <w:p w14:paraId="7006D6FC">
      <w:pPr>
        <w:spacing w:line="360" w:lineRule="auto"/>
        <w:rPr>
          <w:rFonts w:ascii="宋体" w:hAnsi="宋体"/>
          <w:lang w:eastAsia="zh-CN"/>
        </w:rPr>
      </w:pPr>
      <w:r>
        <w:rPr>
          <w:rFonts w:ascii="宋体" w:hAnsi="宋体" w:hint="eastAsia"/>
          <w:lang w:eastAsia="zh-CN"/>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4D46F255">
      <w:pPr>
        <w:spacing w:line="360" w:lineRule="auto"/>
        <w:rPr>
          <w:rFonts w:ascii="宋体" w:hAnsi="宋体"/>
          <w:lang w:eastAsia="zh-CN"/>
        </w:rPr>
      </w:pPr>
      <w:r>
        <w:rPr>
          <w:rFonts w:ascii="宋体" w:hAnsi="宋体" w:hint="eastAsia"/>
          <w:lang w:eastAsia="zh-CN"/>
        </w:rPr>
        <w:t>除专用合同条款另有约定外，监理人在施工现场的办公场所、生活场所由承包人提供，所发生的费用由发包人承担。</w:t>
      </w:r>
    </w:p>
    <w:p w14:paraId="5EC7C285">
      <w:pPr>
        <w:spacing w:line="360" w:lineRule="auto"/>
        <w:rPr>
          <w:rFonts w:ascii="宋体" w:hAnsi="宋体"/>
          <w:bCs/>
          <w:lang w:eastAsia="zh-CN"/>
        </w:rPr>
      </w:pPr>
      <w:r>
        <w:rPr>
          <w:rFonts w:ascii="宋体" w:hAnsi="宋体" w:hint="eastAsia"/>
          <w:bCs/>
          <w:lang w:eastAsia="zh-CN"/>
        </w:rPr>
        <w:t>4.2监理人员</w:t>
      </w:r>
    </w:p>
    <w:p w14:paraId="5F448621">
      <w:pPr>
        <w:spacing w:line="360" w:lineRule="auto"/>
        <w:rPr>
          <w:rFonts w:ascii="宋体" w:hAnsi="宋体"/>
          <w:lang w:eastAsia="zh-CN"/>
        </w:rPr>
      </w:pPr>
      <w:r>
        <w:rPr>
          <w:rFonts w:ascii="宋体" w:hAnsi="宋体" w:hint="eastAsia"/>
          <w:lang w:eastAsia="zh-CN"/>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79668D57">
      <w:pPr>
        <w:spacing w:line="360" w:lineRule="auto"/>
        <w:rPr>
          <w:rFonts w:ascii="宋体" w:hAnsi="宋体"/>
          <w:bCs/>
          <w:lang w:eastAsia="zh-CN"/>
        </w:rPr>
      </w:pPr>
      <w:r>
        <w:rPr>
          <w:rFonts w:ascii="宋体" w:hAnsi="宋体" w:hint="eastAsia"/>
          <w:bCs/>
          <w:lang w:eastAsia="zh-CN"/>
        </w:rPr>
        <w:t>4.3监理人的指示</w:t>
      </w:r>
    </w:p>
    <w:p w14:paraId="4E500E09">
      <w:pPr>
        <w:spacing w:line="360" w:lineRule="auto"/>
        <w:rPr>
          <w:rFonts w:ascii="宋体" w:hAnsi="宋体"/>
          <w:lang w:eastAsia="zh-CN"/>
        </w:rPr>
      </w:pPr>
      <w:r>
        <w:rPr>
          <w:rFonts w:ascii="宋体" w:hAnsi="宋体" w:hint="eastAsia"/>
          <w:lang w:eastAsia="zh-CN"/>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0528A437">
      <w:pPr>
        <w:spacing w:line="360" w:lineRule="auto"/>
        <w:rPr>
          <w:rFonts w:ascii="宋体" w:hAnsi="宋体"/>
          <w:lang w:eastAsia="zh-CN"/>
        </w:rPr>
      </w:pPr>
      <w:r>
        <w:rPr>
          <w:rFonts w:ascii="宋体" w:hAnsi="宋体" w:hint="eastAsia"/>
          <w:lang w:eastAsia="zh-CN"/>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3D1A049A">
      <w:pPr>
        <w:spacing w:line="360" w:lineRule="auto"/>
        <w:rPr>
          <w:rFonts w:ascii="宋体" w:hAnsi="宋体"/>
          <w:lang w:eastAsia="zh-CN"/>
        </w:rPr>
      </w:pPr>
      <w:r>
        <w:rPr>
          <w:rFonts w:ascii="宋体" w:hAnsi="宋体" w:hint="eastAsia"/>
          <w:lang w:eastAsia="zh-CN"/>
        </w:rPr>
        <w:t>承包人对监理人发出的指示有疑问的，应向监理人提出书面异议，监理人应在48小时内对该指示予以确认、更改或撤销，监理人逾期未回复的，承包人有权拒绝执行上述指示。</w:t>
      </w:r>
    </w:p>
    <w:p w14:paraId="689E8273">
      <w:pPr>
        <w:spacing w:line="360" w:lineRule="auto"/>
        <w:rPr>
          <w:rFonts w:ascii="宋体" w:hAnsi="宋体"/>
          <w:lang w:eastAsia="zh-CN"/>
        </w:rPr>
      </w:pPr>
      <w:r>
        <w:rPr>
          <w:rFonts w:ascii="宋体" w:hAnsi="宋体" w:hint="eastAsia"/>
          <w:lang w:eastAsia="zh-CN"/>
        </w:rPr>
        <w:t>监理人对承包人的任何工作、工程或其采用的材料和工程设备未在约定的或合理期限内提出意见的，视为批准，但不免除或减轻承包人对该工作、工程、材料、工程设备等应承担的责任和义务。</w:t>
      </w:r>
    </w:p>
    <w:p w14:paraId="5DFF566B">
      <w:pPr>
        <w:spacing w:line="360" w:lineRule="auto"/>
        <w:rPr>
          <w:rFonts w:ascii="宋体" w:hAnsi="宋体"/>
          <w:bCs/>
          <w:lang w:eastAsia="zh-CN"/>
        </w:rPr>
      </w:pPr>
      <w:r>
        <w:rPr>
          <w:rFonts w:ascii="宋体" w:hAnsi="宋体" w:hint="eastAsia"/>
          <w:bCs/>
          <w:lang w:eastAsia="zh-CN"/>
        </w:rPr>
        <w:t>4.4 商定或确定</w:t>
      </w:r>
    </w:p>
    <w:p w14:paraId="07256B98">
      <w:pPr>
        <w:spacing w:line="360" w:lineRule="auto"/>
        <w:rPr>
          <w:rFonts w:ascii="宋体" w:hAnsi="宋体"/>
          <w:lang w:eastAsia="zh-CN"/>
        </w:rPr>
      </w:pPr>
      <w:r>
        <w:rPr>
          <w:rFonts w:ascii="宋体" w:hAnsi="宋体" w:hint="eastAsia"/>
          <w:lang w:eastAsia="zh-CN"/>
        </w:rPr>
        <w:t>合同当事人进行商定或确定时，总监理工程师应当会同合同当事人尽量通过协商达成一致，不能达成一致的，由总监理工程师按照合同约定审慎做出公正的确定。</w:t>
      </w:r>
    </w:p>
    <w:p w14:paraId="17CCC348">
      <w:pPr>
        <w:spacing w:line="360" w:lineRule="auto"/>
        <w:rPr>
          <w:rFonts w:ascii="宋体" w:hAnsi="宋体"/>
          <w:lang w:eastAsia="zh-CN"/>
        </w:rPr>
      </w:pPr>
      <w:r>
        <w:rPr>
          <w:rFonts w:ascii="宋体" w:hAnsi="宋体" w:hint="eastAsia"/>
          <w:lang w:eastAsia="zh-CN"/>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4DB3B6F3">
      <w:pPr>
        <w:spacing w:line="360" w:lineRule="auto"/>
        <w:rPr>
          <w:rFonts w:ascii="宋体" w:hAnsi="宋体"/>
          <w:bCs/>
          <w:lang w:eastAsia="zh-CN"/>
        </w:rPr>
      </w:pPr>
      <w:r>
        <w:rPr>
          <w:rFonts w:ascii="宋体" w:hAnsi="宋体" w:hint="eastAsia"/>
          <w:bCs/>
          <w:lang w:eastAsia="zh-CN"/>
        </w:rPr>
        <w:t>5. 工程质量</w:t>
      </w:r>
    </w:p>
    <w:p w14:paraId="2E3ABC3E">
      <w:pPr>
        <w:spacing w:line="360" w:lineRule="auto"/>
        <w:rPr>
          <w:rFonts w:ascii="宋体" w:hAnsi="宋体"/>
          <w:bCs/>
          <w:lang w:eastAsia="zh-CN"/>
        </w:rPr>
      </w:pPr>
      <w:r>
        <w:rPr>
          <w:rFonts w:ascii="宋体" w:hAnsi="宋体" w:hint="eastAsia"/>
          <w:bCs/>
          <w:lang w:eastAsia="zh-CN"/>
        </w:rPr>
        <w:t>5.1质量要求</w:t>
      </w:r>
    </w:p>
    <w:p w14:paraId="0BB10000">
      <w:pPr>
        <w:spacing w:line="360" w:lineRule="auto"/>
        <w:rPr>
          <w:rFonts w:ascii="宋体" w:hAnsi="宋体"/>
          <w:lang w:eastAsia="zh-CN"/>
        </w:rPr>
      </w:pPr>
      <w:r>
        <w:rPr>
          <w:rFonts w:ascii="宋体" w:hAnsi="宋体" w:hint="eastAsia"/>
          <w:lang w:eastAsia="zh-CN"/>
        </w:rPr>
        <w:t>5.1.1 工程质量标准必须符合现行国家有关工程施工质量验收规范和标准的要求。有关工程质量的特殊标准或要求由合同当事人在专用合同条款中约定。</w:t>
      </w:r>
    </w:p>
    <w:p w14:paraId="313EF80C">
      <w:pPr>
        <w:spacing w:line="360" w:lineRule="auto"/>
        <w:rPr>
          <w:rFonts w:ascii="宋体" w:hAnsi="宋体"/>
          <w:lang w:eastAsia="zh-CN"/>
        </w:rPr>
      </w:pPr>
      <w:r>
        <w:rPr>
          <w:rFonts w:ascii="宋体" w:hAnsi="宋体" w:hint="eastAsia"/>
          <w:lang w:eastAsia="zh-CN"/>
        </w:rPr>
        <w:t>5.1.2 因发包人原因造成工程质量未达到合同约定标准的，由发包人承担由此增加的费用和（或）延误的工期，并支付承包人合理的利润。</w:t>
      </w:r>
    </w:p>
    <w:p w14:paraId="51009E40">
      <w:pPr>
        <w:spacing w:line="360" w:lineRule="auto"/>
        <w:rPr>
          <w:rFonts w:ascii="宋体" w:hAnsi="宋体"/>
          <w:lang w:eastAsia="zh-CN"/>
        </w:rPr>
      </w:pPr>
      <w:r>
        <w:rPr>
          <w:rFonts w:ascii="宋体" w:hAnsi="宋体" w:hint="eastAsia"/>
          <w:lang w:eastAsia="zh-CN"/>
        </w:rPr>
        <w:t>5.1.3 因承包人原因造成工程质量未达到合同约定标准的，发包人有权要求承包人返工直至工程质量达到合同约定的标准为止，并由承包人承担由此增加的费用和（或）延误的工期。</w:t>
      </w:r>
    </w:p>
    <w:p w14:paraId="6A3E5A07">
      <w:pPr>
        <w:spacing w:line="360" w:lineRule="auto"/>
        <w:rPr>
          <w:rFonts w:ascii="宋体" w:hAnsi="宋体"/>
          <w:bCs/>
          <w:lang w:eastAsia="zh-CN"/>
        </w:rPr>
      </w:pPr>
      <w:r>
        <w:rPr>
          <w:rFonts w:ascii="宋体" w:hAnsi="宋体" w:hint="eastAsia"/>
          <w:bCs/>
          <w:lang w:eastAsia="zh-CN"/>
        </w:rPr>
        <w:t>5.2质量保证措施</w:t>
      </w:r>
    </w:p>
    <w:p w14:paraId="1DCB2A62">
      <w:pPr>
        <w:spacing w:line="360" w:lineRule="auto"/>
        <w:rPr>
          <w:rFonts w:ascii="宋体" w:hAnsi="宋体"/>
          <w:lang w:eastAsia="zh-CN"/>
        </w:rPr>
      </w:pPr>
      <w:r>
        <w:rPr>
          <w:rFonts w:ascii="宋体" w:hAnsi="宋体" w:hint="eastAsia"/>
          <w:lang w:eastAsia="zh-CN"/>
        </w:rPr>
        <w:t>5.2.1 发包人的质量管理</w:t>
      </w:r>
    </w:p>
    <w:p w14:paraId="78FF6B4F">
      <w:pPr>
        <w:spacing w:line="360" w:lineRule="auto"/>
        <w:rPr>
          <w:rFonts w:ascii="宋体" w:hAnsi="宋体"/>
          <w:lang w:eastAsia="zh-CN"/>
        </w:rPr>
      </w:pPr>
      <w:r>
        <w:rPr>
          <w:rFonts w:ascii="宋体" w:hAnsi="宋体" w:hint="eastAsia"/>
          <w:lang w:eastAsia="zh-CN"/>
        </w:rPr>
        <w:t>发包人应按照法律规定及合同约定完成与工程质量有关的各项工作。</w:t>
      </w:r>
    </w:p>
    <w:p w14:paraId="77E2FEA6">
      <w:pPr>
        <w:spacing w:line="360" w:lineRule="auto"/>
        <w:rPr>
          <w:rFonts w:ascii="宋体" w:hAnsi="宋体"/>
          <w:lang w:eastAsia="zh-CN"/>
        </w:rPr>
      </w:pPr>
      <w:r>
        <w:rPr>
          <w:rFonts w:ascii="宋体" w:hAnsi="宋体" w:hint="eastAsia"/>
          <w:lang w:eastAsia="zh-CN"/>
        </w:rPr>
        <w:t>5.2.2 承包人的质量管理</w:t>
      </w:r>
    </w:p>
    <w:p w14:paraId="7B5CE559">
      <w:pPr>
        <w:spacing w:line="360" w:lineRule="auto"/>
        <w:rPr>
          <w:rFonts w:ascii="宋体" w:hAnsi="宋体"/>
          <w:lang w:eastAsia="zh-CN"/>
        </w:rPr>
      </w:pPr>
      <w:r>
        <w:rPr>
          <w:rFonts w:ascii="宋体" w:hAnsi="宋体" w:hint="eastAsia"/>
          <w:lang w:eastAsia="zh-CN"/>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128FAC27">
      <w:pPr>
        <w:spacing w:line="360" w:lineRule="auto"/>
        <w:rPr>
          <w:rFonts w:ascii="宋体" w:hAnsi="宋体"/>
          <w:lang w:eastAsia="zh-CN"/>
        </w:rPr>
      </w:pPr>
      <w:r>
        <w:rPr>
          <w:rFonts w:ascii="宋体" w:hAnsi="宋体" w:hint="eastAsia"/>
          <w:lang w:eastAsia="zh-CN"/>
        </w:rPr>
        <w:t>承包人应对施工人员进行质量教育和技术培训，定期考核施工人员的劳动技能，严格执行施工规范和操作规程。</w:t>
      </w:r>
    </w:p>
    <w:p w14:paraId="449EB82B">
      <w:pPr>
        <w:spacing w:line="360" w:lineRule="auto"/>
        <w:rPr>
          <w:rFonts w:ascii="宋体" w:hAnsi="宋体"/>
          <w:lang w:eastAsia="zh-CN"/>
        </w:rPr>
      </w:pPr>
      <w:r>
        <w:rPr>
          <w:rFonts w:ascii="宋体" w:hAnsi="宋体" w:hint="eastAsia"/>
          <w:lang w:eastAsia="zh-CN"/>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4CB69603">
      <w:pPr>
        <w:spacing w:line="360" w:lineRule="auto"/>
        <w:rPr>
          <w:rFonts w:ascii="宋体" w:hAnsi="宋体"/>
          <w:lang w:eastAsia="zh-CN"/>
        </w:rPr>
      </w:pPr>
      <w:r>
        <w:rPr>
          <w:rFonts w:ascii="宋体" w:hAnsi="宋体" w:hint="eastAsia"/>
          <w:lang w:eastAsia="zh-CN"/>
        </w:rPr>
        <w:t>5.2.3 监理人的质量检查和检验</w:t>
      </w:r>
    </w:p>
    <w:p w14:paraId="570DAD6D">
      <w:pPr>
        <w:spacing w:line="360" w:lineRule="auto"/>
        <w:rPr>
          <w:rFonts w:ascii="宋体" w:hAnsi="宋体"/>
          <w:lang w:eastAsia="zh-CN"/>
        </w:rPr>
      </w:pPr>
      <w:r>
        <w:rPr>
          <w:rFonts w:ascii="宋体" w:hAnsi="宋体" w:hint="eastAsia"/>
          <w:lang w:eastAsia="zh-CN"/>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7A2F7555">
      <w:pPr>
        <w:spacing w:line="360" w:lineRule="auto"/>
        <w:rPr>
          <w:rFonts w:ascii="宋体" w:hAnsi="宋体"/>
          <w:lang w:eastAsia="zh-CN"/>
        </w:rPr>
      </w:pPr>
      <w:r>
        <w:rPr>
          <w:rFonts w:ascii="宋体" w:hAnsi="宋体" w:hint="eastAsia"/>
          <w:lang w:eastAsia="zh-CN"/>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2BBB0EA5">
      <w:pPr>
        <w:spacing w:line="360" w:lineRule="auto"/>
        <w:rPr>
          <w:rFonts w:ascii="宋体" w:hAnsi="宋体"/>
          <w:bCs/>
          <w:lang w:eastAsia="zh-CN"/>
        </w:rPr>
      </w:pPr>
      <w:r>
        <w:rPr>
          <w:rFonts w:ascii="宋体" w:hAnsi="宋体" w:hint="eastAsia"/>
          <w:bCs/>
          <w:lang w:eastAsia="zh-CN"/>
        </w:rPr>
        <w:t>5.3 隐蔽工程检查</w:t>
      </w:r>
    </w:p>
    <w:p w14:paraId="267F8165">
      <w:pPr>
        <w:spacing w:line="360" w:lineRule="auto"/>
        <w:rPr>
          <w:rFonts w:ascii="宋体" w:hAnsi="宋体"/>
          <w:lang w:eastAsia="zh-CN"/>
        </w:rPr>
      </w:pPr>
      <w:r>
        <w:rPr>
          <w:rFonts w:ascii="宋体" w:hAnsi="宋体" w:hint="eastAsia"/>
          <w:lang w:eastAsia="zh-CN"/>
        </w:rPr>
        <w:t>5.3.1承包人自检</w:t>
      </w:r>
    </w:p>
    <w:p w14:paraId="2E0491C0">
      <w:pPr>
        <w:spacing w:line="360" w:lineRule="auto"/>
        <w:rPr>
          <w:rFonts w:ascii="宋体" w:hAnsi="宋体"/>
          <w:lang w:eastAsia="zh-CN"/>
        </w:rPr>
      </w:pPr>
      <w:r>
        <w:rPr>
          <w:rFonts w:ascii="宋体" w:hAnsi="宋体" w:hint="eastAsia"/>
          <w:lang w:eastAsia="zh-CN"/>
        </w:rPr>
        <w:t>承包人应当对工程隐蔽部位进行自检，并经自检确认是否具备覆盖条件。</w:t>
      </w:r>
    </w:p>
    <w:p w14:paraId="19349369">
      <w:pPr>
        <w:spacing w:line="360" w:lineRule="auto"/>
        <w:rPr>
          <w:rFonts w:ascii="宋体" w:hAnsi="宋体"/>
          <w:lang w:eastAsia="zh-CN"/>
        </w:rPr>
      </w:pPr>
      <w:r>
        <w:rPr>
          <w:rFonts w:ascii="宋体" w:hAnsi="宋体" w:hint="eastAsia"/>
          <w:lang w:eastAsia="zh-CN"/>
        </w:rPr>
        <w:t>5.3.2检查程序</w:t>
      </w:r>
    </w:p>
    <w:p w14:paraId="20B1D9E2">
      <w:pPr>
        <w:spacing w:line="360" w:lineRule="auto"/>
        <w:rPr>
          <w:rFonts w:ascii="宋体" w:hAnsi="宋体"/>
          <w:lang w:eastAsia="zh-CN"/>
        </w:rPr>
      </w:pPr>
      <w:r>
        <w:rPr>
          <w:rFonts w:ascii="宋体" w:hAnsi="宋体" w:hint="eastAsia"/>
          <w:lang w:eastAsia="zh-CN"/>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3175D8BD">
      <w:pPr>
        <w:spacing w:line="360" w:lineRule="auto"/>
        <w:rPr>
          <w:rFonts w:ascii="宋体" w:hAnsi="宋体"/>
          <w:lang w:eastAsia="zh-CN"/>
        </w:rPr>
      </w:pPr>
      <w:r>
        <w:rPr>
          <w:rFonts w:ascii="宋体" w:hAnsi="宋体" w:hint="eastAsia"/>
          <w:lang w:eastAsia="zh-CN"/>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7712B6FB">
      <w:pPr>
        <w:spacing w:line="360" w:lineRule="auto"/>
        <w:rPr>
          <w:rFonts w:ascii="宋体" w:hAnsi="宋体"/>
          <w:lang w:eastAsia="zh-CN"/>
        </w:rPr>
      </w:pPr>
      <w:r>
        <w:rPr>
          <w:rFonts w:ascii="宋体" w:hAnsi="宋体" w:hint="eastAsia"/>
          <w:lang w:eastAsia="zh-CN"/>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7CFCDBEF">
      <w:pPr>
        <w:spacing w:line="360" w:lineRule="auto"/>
        <w:rPr>
          <w:rFonts w:ascii="宋体" w:hAnsi="宋体"/>
          <w:lang w:eastAsia="zh-CN"/>
        </w:rPr>
      </w:pPr>
      <w:r>
        <w:rPr>
          <w:rFonts w:ascii="宋体" w:hAnsi="宋体" w:hint="eastAsia"/>
          <w:lang w:eastAsia="zh-CN"/>
        </w:rPr>
        <w:t>5.3.3 重新检查</w:t>
      </w:r>
    </w:p>
    <w:p w14:paraId="0F590D6F">
      <w:pPr>
        <w:spacing w:line="360" w:lineRule="auto"/>
        <w:rPr>
          <w:rFonts w:ascii="宋体" w:hAnsi="宋体"/>
          <w:lang w:eastAsia="zh-CN"/>
        </w:rPr>
      </w:pPr>
      <w:r>
        <w:rPr>
          <w:rFonts w:ascii="宋体" w:hAnsi="宋体" w:hint="eastAsia"/>
          <w:lang w:eastAsia="zh-CN"/>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0D4D4416">
      <w:pPr>
        <w:spacing w:line="360" w:lineRule="auto"/>
        <w:rPr>
          <w:rFonts w:ascii="宋体" w:hAnsi="宋体"/>
          <w:lang w:eastAsia="zh-CN"/>
        </w:rPr>
      </w:pPr>
      <w:r>
        <w:rPr>
          <w:rFonts w:ascii="宋体" w:hAnsi="宋体" w:hint="eastAsia"/>
          <w:lang w:eastAsia="zh-CN"/>
        </w:rPr>
        <w:t>5.3.4 承包人私自覆盖</w:t>
      </w:r>
    </w:p>
    <w:p w14:paraId="2FE3B97F">
      <w:pPr>
        <w:spacing w:line="360" w:lineRule="auto"/>
        <w:rPr>
          <w:rFonts w:ascii="宋体" w:hAnsi="宋体"/>
          <w:lang w:eastAsia="zh-CN"/>
        </w:rPr>
      </w:pPr>
      <w:r>
        <w:rPr>
          <w:rFonts w:ascii="宋体" w:hAnsi="宋体" w:hint="eastAsia"/>
          <w:lang w:eastAsia="zh-CN"/>
        </w:rPr>
        <w:t>承包人未通知监理人到场检查，私自将工程隐蔽部位覆盖的，监理人有权指示承包人钻孔探测或揭开检查，无论工程隐蔽部位质量是否合格，由此增加的费用和（或）延误的工期均由承包人承担。</w:t>
      </w:r>
    </w:p>
    <w:p w14:paraId="5A8C7387">
      <w:pPr>
        <w:spacing w:line="360" w:lineRule="auto"/>
        <w:rPr>
          <w:rFonts w:ascii="宋体" w:hAnsi="宋体"/>
          <w:bCs/>
          <w:lang w:eastAsia="zh-CN"/>
        </w:rPr>
      </w:pPr>
      <w:r>
        <w:rPr>
          <w:rFonts w:ascii="宋体" w:hAnsi="宋体" w:hint="eastAsia"/>
          <w:bCs/>
          <w:lang w:eastAsia="zh-CN"/>
        </w:rPr>
        <w:t>5.4不合格工程的处理</w:t>
      </w:r>
    </w:p>
    <w:p w14:paraId="778C4348">
      <w:pPr>
        <w:spacing w:line="360" w:lineRule="auto"/>
        <w:rPr>
          <w:rFonts w:ascii="宋体" w:hAnsi="宋体"/>
          <w:lang w:eastAsia="zh-CN"/>
        </w:rPr>
      </w:pPr>
      <w:r>
        <w:rPr>
          <w:rFonts w:ascii="宋体" w:hAnsi="宋体" w:hint="eastAsia"/>
          <w:lang w:eastAsia="zh-CN"/>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722029F0">
      <w:pPr>
        <w:spacing w:line="360" w:lineRule="auto"/>
        <w:rPr>
          <w:rFonts w:ascii="宋体" w:hAnsi="宋体"/>
          <w:lang w:eastAsia="zh-CN"/>
        </w:rPr>
      </w:pPr>
      <w:r>
        <w:rPr>
          <w:rFonts w:ascii="宋体" w:hAnsi="宋体" w:hint="eastAsia"/>
          <w:lang w:eastAsia="zh-CN"/>
        </w:rPr>
        <w:t>5.4.2 因发包人原因造成工程不合格的，由此增加的费用和（或）延误的工期由发包人承担，并支付承包人合理的利润。</w:t>
      </w:r>
    </w:p>
    <w:p w14:paraId="0362E381">
      <w:pPr>
        <w:spacing w:line="360" w:lineRule="auto"/>
        <w:rPr>
          <w:rFonts w:ascii="宋体" w:hAnsi="宋体"/>
          <w:bCs/>
          <w:lang w:eastAsia="zh-CN"/>
        </w:rPr>
      </w:pPr>
      <w:r>
        <w:rPr>
          <w:rFonts w:ascii="宋体" w:hAnsi="宋体" w:hint="eastAsia"/>
          <w:bCs/>
          <w:lang w:eastAsia="zh-CN"/>
        </w:rPr>
        <w:t>5.5 质量争议检测</w:t>
      </w:r>
    </w:p>
    <w:p w14:paraId="5D2D0B1E">
      <w:pPr>
        <w:spacing w:line="360" w:lineRule="auto"/>
        <w:rPr>
          <w:rFonts w:ascii="宋体" w:hAnsi="宋体"/>
          <w:lang w:eastAsia="zh-CN"/>
        </w:rPr>
      </w:pPr>
      <w:r>
        <w:rPr>
          <w:rFonts w:ascii="宋体" w:hAnsi="宋体" w:hint="eastAsia"/>
          <w:lang w:eastAsia="zh-CN"/>
        </w:rPr>
        <w:t>合同当事人对工程质量有争议的，由双方协商确定的工程质量检测机构鉴定，由此产生的费用及因此造成的损失，由责任方承担。</w:t>
      </w:r>
    </w:p>
    <w:p w14:paraId="3DEFBB5D">
      <w:pPr>
        <w:spacing w:line="360" w:lineRule="auto"/>
        <w:rPr>
          <w:rFonts w:ascii="宋体" w:hAnsi="宋体"/>
          <w:lang w:eastAsia="zh-CN"/>
        </w:rPr>
      </w:pPr>
      <w:r>
        <w:rPr>
          <w:rFonts w:ascii="宋体" w:hAnsi="宋体" w:hint="eastAsia"/>
          <w:lang w:eastAsia="zh-CN"/>
        </w:rPr>
        <w:t>合同当事人均有责任的，由双方根据其责任分别承担。合同当事人无法达成一致的，按照第4.4款〔商定或确定〕执行。</w:t>
      </w:r>
    </w:p>
    <w:p w14:paraId="11561FF3">
      <w:pPr>
        <w:spacing w:line="360" w:lineRule="auto"/>
        <w:rPr>
          <w:rFonts w:ascii="宋体" w:hAnsi="宋体"/>
          <w:bCs/>
          <w:lang w:eastAsia="zh-CN"/>
        </w:rPr>
      </w:pPr>
      <w:r>
        <w:rPr>
          <w:rFonts w:ascii="宋体" w:hAnsi="宋体" w:hint="eastAsia"/>
          <w:bCs/>
          <w:lang w:eastAsia="zh-CN"/>
        </w:rPr>
        <w:t>6. 安全文明施工与环境保护</w:t>
      </w:r>
    </w:p>
    <w:p w14:paraId="7085B840">
      <w:pPr>
        <w:spacing w:line="360" w:lineRule="auto"/>
        <w:rPr>
          <w:rFonts w:ascii="宋体" w:hAnsi="宋体"/>
          <w:bCs/>
          <w:lang w:eastAsia="zh-CN"/>
        </w:rPr>
      </w:pPr>
      <w:r>
        <w:rPr>
          <w:rFonts w:ascii="宋体" w:hAnsi="宋体" w:hint="eastAsia"/>
          <w:bCs/>
          <w:lang w:eastAsia="zh-CN"/>
        </w:rPr>
        <w:t>6.1安全文明施工</w:t>
      </w:r>
    </w:p>
    <w:p w14:paraId="48ABDD5D">
      <w:pPr>
        <w:spacing w:line="360" w:lineRule="auto"/>
        <w:rPr>
          <w:rFonts w:ascii="宋体" w:hAnsi="宋体"/>
          <w:lang w:eastAsia="zh-CN"/>
        </w:rPr>
      </w:pPr>
      <w:r>
        <w:rPr>
          <w:rFonts w:ascii="宋体" w:hAnsi="宋体" w:hint="eastAsia"/>
          <w:lang w:eastAsia="zh-CN"/>
        </w:rPr>
        <w:t>6.1.1安全生产要求</w:t>
      </w:r>
    </w:p>
    <w:p w14:paraId="7A50C50D">
      <w:pPr>
        <w:spacing w:line="360" w:lineRule="auto"/>
        <w:rPr>
          <w:rFonts w:ascii="宋体" w:hAnsi="宋体"/>
          <w:lang w:eastAsia="zh-CN"/>
        </w:rPr>
      </w:pPr>
      <w:r>
        <w:rPr>
          <w:rFonts w:ascii="宋体" w:hAnsi="宋体" w:hint="eastAsia"/>
          <w:lang w:eastAsia="zh-CN"/>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180872DA">
      <w:pPr>
        <w:spacing w:line="360" w:lineRule="auto"/>
        <w:rPr>
          <w:rFonts w:ascii="宋体" w:hAnsi="宋体"/>
          <w:lang w:eastAsia="zh-CN"/>
        </w:rPr>
      </w:pPr>
      <w:r>
        <w:rPr>
          <w:rFonts w:ascii="宋体" w:hAnsi="宋体" w:hint="eastAsia"/>
          <w:lang w:eastAsia="zh-CN"/>
        </w:rPr>
        <w:t>在施工过程中，如遇到突发的地质变动、事先未知的地下施工障碍等影响施工安全的紧急情况，承包人应及时报告监理人和发包人，发包人应当及时下令停工并报政府有关行政管理部门采取应急措施。</w:t>
      </w:r>
    </w:p>
    <w:p w14:paraId="5FC317BB">
      <w:pPr>
        <w:spacing w:line="360" w:lineRule="auto"/>
        <w:rPr>
          <w:rFonts w:ascii="宋体" w:hAnsi="宋体"/>
          <w:lang w:eastAsia="zh-CN"/>
        </w:rPr>
      </w:pPr>
      <w:r>
        <w:rPr>
          <w:rFonts w:ascii="宋体" w:hAnsi="宋体" w:hint="eastAsia"/>
          <w:lang w:eastAsia="zh-CN"/>
        </w:rPr>
        <w:t>因安全生产需要暂停施工的，按照第7.8款〔暂停施工〕的约定执行。</w:t>
      </w:r>
    </w:p>
    <w:p w14:paraId="245635F2">
      <w:pPr>
        <w:spacing w:line="360" w:lineRule="auto"/>
        <w:rPr>
          <w:rFonts w:ascii="宋体" w:hAnsi="宋体"/>
          <w:lang w:eastAsia="zh-CN"/>
        </w:rPr>
      </w:pPr>
      <w:r>
        <w:rPr>
          <w:rFonts w:ascii="宋体" w:hAnsi="宋体" w:hint="eastAsia"/>
          <w:lang w:eastAsia="zh-CN"/>
        </w:rPr>
        <w:t>6.1.2 安全生产保证措施</w:t>
      </w:r>
    </w:p>
    <w:p w14:paraId="0FD3FCC1">
      <w:pPr>
        <w:spacing w:line="360" w:lineRule="auto"/>
        <w:rPr>
          <w:rFonts w:ascii="宋体" w:hAnsi="宋体"/>
          <w:lang w:eastAsia="zh-CN"/>
        </w:rPr>
      </w:pPr>
      <w:r>
        <w:rPr>
          <w:rFonts w:ascii="宋体" w:hAnsi="宋体" w:hint="eastAsia"/>
          <w:lang w:eastAsia="zh-CN"/>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66630E9E">
      <w:pPr>
        <w:spacing w:line="360" w:lineRule="auto"/>
        <w:rPr>
          <w:rFonts w:ascii="宋体" w:hAnsi="宋体"/>
          <w:lang w:eastAsia="zh-CN"/>
        </w:rPr>
      </w:pPr>
      <w:r>
        <w:rPr>
          <w:rFonts w:ascii="宋体" w:hAnsi="宋体" w:hint="eastAsia"/>
          <w:lang w:eastAsia="zh-CN"/>
        </w:rPr>
        <w:t>6.1.3特别安全生产事项</w:t>
      </w:r>
    </w:p>
    <w:p w14:paraId="713784E0">
      <w:pPr>
        <w:spacing w:line="360" w:lineRule="auto"/>
        <w:rPr>
          <w:rFonts w:ascii="宋体" w:hAnsi="宋体"/>
          <w:lang w:eastAsia="zh-CN"/>
        </w:rPr>
      </w:pPr>
      <w:r>
        <w:rPr>
          <w:rFonts w:ascii="宋体" w:hAnsi="宋体" w:hint="eastAsia"/>
          <w:lang w:eastAsia="zh-CN"/>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5C12E1E1">
      <w:pPr>
        <w:spacing w:line="360" w:lineRule="auto"/>
        <w:rPr>
          <w:rFonts w:ascii="宋体" w:hAnsi="宋体"/>
          <w:lang w:eastAsia="zh-CN"/>
        </w:rPr>
      </w:pPr>
      <w:r>
        <w:rPr>
          <w:rFonts w:ascii="宋体" w:hAnsi="宋体" w:hint="eastAsia"/>
          <w:lang w:eastAsia="zh-CN"/>
        </w:rPr>
        <w:t xml:space="preserve">承包人在动力设备、输电线路、地下管道、密封防震车间、易燃易爆地段以及临街交通要道附近施工时，施工开始前应向发包人和监理人提出安全防护措施，经发包人认可后实施。 </w:t>
      </w:r>
    </w:p>
    <w:p w14:paraId="1850E7B9">
      <w:pPr>
        <w:spacing w:line="360" w:lineRule="auto"/>
        <w:rPr>
          <w:rFonts w:ascii="宋体" w:hAnsi="宋体"/>
          <w:lang w:eastAsia="zh-CN"/>
        </w:rPr>
      </w:pPr>
      <w:r>
        <w:rPr>
          <w:rFonts w:ascii="宋体" w:hAnsi="宋体" w:hint="eastAsia"/>
          <w:lang w:eastAsia="zh-CN"/>
        </w:rPr>
        <w:t>实施爆破作业，在放射、毒害性环境中施工（含储存、运输、使用）及使用毒害性、腐蚀性物品施工时，承包人应在施工前7天以书面通知发包人和监理人，并报送相应的安全防护措施，经发包人认可后实施。</w:t>
      </w:r>
    </w:p>
    <w:p w14:paraId="04E59BAF">
      <w:pPr>
        <w:spacing w:line="360" w:lineRule="auto"/>
        <w:rPr>
          <w:rFonts w:ascii="宋体" w:hAnsi="宋体"/>
          <w:lang w:eastAsia="zh-CN"/>
        </w:rPr>
      </w:pPr>
      <w:r>
        <w:rPr>
          <w:rFonts w:ascii="宋体" w:hAnsi="宋体" w:hint="eastAsia"/>
          <w:lang w:eastAsia="zh-CN"/>
        </w:rPr>
        <w:t>需单独编制危险性较大分部分项专项工程施工方案的，及要求进行专家论证的超过一定规模的危险性较大的分部分项工程，承包人应及时编制和组织论证。</w:t>
      </w:r>
    </w:p>
    <w:p w14:paraId="428731CF">
      <w:pPr>
        <w:spacing w:line="360" w:lineRule="auto"/>
        <w:rPr>
          <w:rFonts w:ascii="宋体" w:hAnsi="宋体"/>
          <w:lang w:eastAsia="zh-CN"/>
        </w:rPr>
      </w:pPr>
      <w:r>
        <w:rPr>
          <w:rFonts w:ascii="宋体" w:hAnsi="宋体" w:hint="eastAsia"/>
          <w:lang w:eastAsia="zh-CN"/>
        </w:rPr>
        <w:t>6.1.4 治安保卫</w:t>
      </w:r>
    </w:p>
    <w:p w14:paraId="33089624">
      <w:pPr>
        <w:spacing w:line="360" w:lineRule="auto"/>
        <w:rPr>
          <w:rFonts w:ascii="宋体" w:hAnsi="宋体"/>
          <w:lang w:eastAsia="zh-CN"/>
        </w:rPr>
      </w:pPr>
      <w:r>
        <w:rPr>
          <w:rFonts w:ascii="宋体" w:hAnsi="宋体" w:hint="eastAsia"/>
          <w:lang w:eastAsia="zh-CN"/>
        </w:rPr>
        <w:t>除专用合同条款另有约定外，发包人应与当地公安部门协商，在现场建立治安管理机构或联防组织，统一管理施工场地的治安保卫事项，履行合同工程的治安保卫职责。</w:t>
      </w:r>
    </w:p>
    <w:p w14:paraId="5C12E14C">
      <w:pPr>
        <w:spacing w:line="360" w:lineRule="auto"/>
        <w:rPr>
          <w:rFonts w:ascii="宋体" w:hAnsi="宋体"/>
          <w:lang w:eastAsia="zh-CN"/>
        </w:rPr>
      </w:pPr>
      <w:r>
        <w:rPr>
          <w:rFonts w:ascii="宋体" w:hAnsi="宋体" w:hint="eastAsia"/>
          <w:lang w:eastAsia="zh-CN"/>
        </w:rPr>
        <w:t>发包人和承包人除应协助现场治安管理机构或联防组织维护施工场地的社会治安外，还应做好包括生活区在内的各自管辖区的治安保卫工作。</w:t>
      </w:r>
    </w:p>
    <w:p w14:paraId="33D66078">
      <w:pPr>
        <w:spacing w:line="360" w:lineRule="auto"/>
        <w:rPr>
          <w:rFonts w:ascii="宋体" w:hAnsi="宋体"/>
          <w:lang w:eastAsia="zh-CN"/>
        </w:rPr>
      </w:pPr>
      <w:r>
        <w:rPr>
          <w:rFonts w:ascii="宋体" w:hAnsi="宋体" w:hint="eastAsia"/>
          <w:lang w:eastAsia="zh-CN"/>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629FD206">
      <w:pPr>
        <w:spacing w:line="360" w:lineRule="auto"/>
        <w:rPr>
          <w:rFonts w:ascii="宋体" w:hAnsi="宋体"/>
          <w:lang w:eastAsia="zh-CN"/>
        </w:rPr>
      </w:pPr>
      <w:r>
        <w:rPr>
          <w:rFonts w:ascii="宋体" w:hAnsi="宋体" w:hint="eastAsia"/>
          <w:lang w:eastAsia="zh-CN"/>
        </w:rPr>
        <w:t>6.1.5 文明施工</w:t>
      </w:r>
    </w:p>
    <w:p w14:paraId="1CF193B4">
      <w:pPr>
        <w:spacing w:line="360" w:lineRule="auto"/>
        <w:rPr>
          <w:rFonts w:ascii="宋体" w:hAnsi="宋体"/>
          <w:lang w:eastAsia="zh-CN"/>
        </w:rPr>
      </w:pPr>
      <w:r>
        <w:rPr>
          <w:rFonts w:ascii="宋体" w:hAnsi="宋体" w:hint="eastAsia"/>
          <w:lang w:eastAsia="zh-CN"/>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431A47A4">
      <w:pPr>
        <w:spacing w:line="360" w:lineRule="auto"/>
        <w:rPr>
          <w:rFonts w:ascii="宋体" w:hAnsi="宋体"/>
          <w:lang w:eastAsia="zh-CN"/>
        </w:rPr>
      </w:pPr>
      <w:r>
        <w:rPr>
          <w:rFonts w:ascii="宋体" w:hAnsi="宋体" w:hint="eastAsia"/>
          <w:lang w:eastAsia="zh-CN"/>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56D89BEB">
      <w:pPr>
        <w:spacing w:line="360" w:lineRule="auto"/>
        <w:rPr>
          <w:rFonts w:ascii="宋体" w:hAnsi="宋体"/>
          <w:lang w:eastAsia="zh-CN"/>
        </w:rPr>
      </w:pPr>
      <w:r>
        <w:rPr>
          <w:rFonts w:ascii="宋体" w:hAnsi="宋体" w:hint="eastAsia"/>
          <w:lang w:eastAsia="zh-CN"/>
        </w:rPr>
        <w:t>6.1.6 安全文明施工费</w:t>
      </w:r>
    </w:p>
    <w:p w14:paraId="5FAF5EA9">
      <w:pPr>
        <w:spacing w:line="360" w:lineRule="auto"/>
        <w:rPr>
          <w:rFonts w:ascii="宋体" w:hAnsi="宋体"/>
          <w:lang w:eastAsia="zh-CN"/>
        </w:rPr>
      </w:pPr>
      <w:r>
        <w:rPr>
          <w:rFonts w:ascii="宋体" w:hAnsi="宋体" w:hint="eastAsia"/>
          <w:lang w:eastAsia="zh-CN"/>
        </w:rPr>
        <w:t>安全文明施工费由发包人承担，发包人不得以任何形式扣减该部分费用。因基准日期后合同所适用的法律或政府有关规定发生变化，增加的安全文明施工费由发包人承担。</w:t>
      </w:r>
    </w:p>
    <w:p w14:paraId="36A4476F">
      <w:pPr>
        <w:spacing w:line="360" w:lineRule="auto"/>
        <w:rPr>
          <w:rFonts w:ascii="宋体" w:hAnsi="宋体"/>
          <w:lang w:eastAsia="zh-CN"/>
        </w:rPr>
      </w:pPr>
      <w:r>
        <w:rPr>
          <w:rFonts w:ascii="宋体" w:hAnsi="宋体" w:hint="eastAsia"/>
          <w:lang w:eastAsia="zh-CN"/>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0D8FB39F">
      <w:pPr>
        <w:spacing w:line="360" w:lineRule="auto"/>
        <w:rPr>
          <w:rFonts w:ascii="宋体" w:hAnsi="宋体"/>
          <w:lang w:eastAsia="zh-CN"/>
        </w:rPr>
      </w:pPr>
      <w:r>
        <w:rPr>
          <w:rFonts w:ascii="宋体" w:hAnsi="宋体" w:hint="eastAsia"/>
          <w:lang w:eastAsia="zh-CN"/>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066078A7">
      <w:pPr>
        <w:spacing w:line="360" w:lineRule="auto"/>
        <w:rPr>
          <w:rFonts w:ascii="宋体" w:hAnsi="宋体"/>
          <w:lang w:eastAsia="zh-CN"/>
        </w:rPr>
      </w:pPr>
      <w:r>
        <w:rPr>
          <w:rFonts w:ascii="宋体" w:hAnsi="宋体" w:hint="eastAsia"/>
          <w:lang w:eastAsia="zh-CN"/>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61654E74">
      <w:pPr>
        <w:spacing w:line="360" w:lineRule="auto"/>
        <w:rPr>
          <w:rFonts w:ascii="宋体" w:hAnsi="宋体"/>
          <w:lang w:eastAsia="zh-CN"/>
        </w:rPr>
      </w:pPr>
      <w:r>
        <w:rPr>
          <w:rFonts w:ascii="宋体" w:hAnsi="宋体" w:hint="eastAsia"/>
          <w:lang w:eastAsia="zh-CN"/>
        </w:rPr>
        <w:t>6.1.7 紧急情况处理</w:t>
      </w:r>
    </w:p>
    <w:p w14:paraId="01392405">
      <w:pPr>
        <w:spacing w:line="360" w:lineRule="auto"/>
        <w:rPr>
          <w:rFonts w:ascii="宋体" w:hAnsi="宋体"/>
          <w:lang w:eastAsia="zh-CN"/>
        </w:rPr>
      </w:pPr>
      <w:r>
        <w:rPr>
          <w:rFonts w:ascii="宋体" w:hAnsi="宋体" w:hint="eastAsia"/>
          <w:lang w:eastAsia="zh-CN"/>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2EE1E758">
      <w:pPr>
        <w:spacing w:line="360" w:lineRule="auto"/>
        <w:rPr>
          <w:rFonts w:ascii="宋体" w:hAnsi="宋体"/>
          <w:lang w:eastAsia="zh-CN"/>
        </w:rPr>
      </w:pPr>
      <w:r>
        <w:rPr>
          <w:rFonts w:ascii="宋体" w:hAnsi="宋体" w:hint="eastAsia"/>
          <w:lang w:eastAsia="zh-CN"/>
        </w:rPr>
        <w:t>6.1.8 事故处理</w:t>
      </w:r>
    </w:p>
    <w:p w14:paraId="1250DB52">
      <w:pPr>
        <w:spacing w:line="360" w:lineRule="auto"/>
        <w:rPr>
          <w:rFonts w:ascii="宋体" w:hAnsi="宋体"/>
          <w:lang w:eastAsia="zh-CN"/>
        </w:rPr>
      </w:pPr>
      <w:r>
        <w:rPr>
          <w:rFonts w:ascii="宋体" w:hAnsi="宋体" w:hint="eastAsia"/>
          <w:lang w:eastAsia="zh-CN"/>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3EC48A48">
      <w:pPr>
        <w:spacing w:line="360" w:lineRule="auto"/>
        <w:rPr>
          <w:rFonts w:ascii="宋体" w:hAnsi="宋体"/>
          <w:lang w:eastAsia="zh-CN"/>
        </w:rPr>
      </w:pPr>
      <w:r>
        <w:rPr>
          <w:rFonts w:ascii="宋体" w:hAnsi="宋体" w:hint="eastAsia"/>
          <w:lang w:eastAsia="zh-CN"/>
        </w:rPr>
        <w:t>6.1.9 安全生产责任</w:t>
      </w:r>
    </w:p>
    <w:p w14:paraId="0D4576BD">
      <w:pPr>
        <w:spacing w:line="360" w:lineRule="auto"/>
        <w:rPr>
          <w:rFonts w:ascii="宋体" w:hAnsi="宋体"/>
          <w:lang w:eastAsia="zh-CN"/>
        </w:rPr>
      </w:pPr>
      <w:r>
        <w:rPr>
          <w:rFonts w:ascii="宋体" w:hAnsi="宋体" w:hint="eastAsia"/>
          <w:lang w:eastAsia="zh-CN"/>
        </w:rPr>
        <w:t>6.1.9.1 发包人的安全责任</w:t>
      </w:r>
    </w:p>
    <w:p w14:paraId="77D78067">
      <w:pPr>
        <w:spacing w:line="360" w:lineRule="auto"/>
        <w:rPr>
          <w:rFonts w:ascii="宋体" w:hAnsi="宋体"/>
          <w:lang w:eastAsia="zh-CN"/>
        </w:rPr>
      </w:pPr>
      <w:r>
        <w:rPr>
          <w:rFonts w:ascii="宋体" w:hAnsi="宋体" w:hint="eastAsia"/>
          <w:lang w:eastAsia="zh-CN"/>
        </w:rPr>
        <w:t>发包人应负责赔偿以下各种情况造成的损失：</w:t>
      </w:r>
    </w:p>
    <w:p w14:paraId="0C69D7C5">
      <w:pPr>
        <w:spacing w:line="360" w:lineRule="auto"/>
        <w:rPr>
          <w:rFonts w:ascii="宋体" w:hAnsi="宋体"/>
          <w:lang w:eastAsia="zh-CN"/>
        </w:rPr>
      </w:pPr>
      <w:r>
        <w:rPr>
          <w:rFonts w:ascii="宋体" w:hAnsi="宋体" w:hint="eastAsia"/>
          <w:lang w:eastAsia="zh-CN"/>
        </w:rPr>
        <w:t>（1）工程或工程的任何部分对土地的占用所造成的第三者财产损失；</w:t>
      </w:r>
    </w:p>
    <w:p w14:paraId="108473C3">
      <w:pPr>
        <w:spacing w:line="360" w:lineRule="auto"/>
        <w:rPr>
          <w:rFonts w:ascii="宋体" w:hAnsi="宋体"/>
          <w:lang w:eastAsia="zh-CN"/>
        </w:rPr>
      </w:pPr>
      <w:r>
        <w:rPr>
          <w:rFonts w:ascii="宋体" w:hAnsi="宋体" w:hint="eastAsia"/>
          <w:lang w:eastAsia="zh-CN"/>
        </w:rPr>
        <w:t>（2）由于发包人原因在施工场地及其毗邻地带造成的第三者人身伤亡和财产损失；</w:t>
      </w:r>
    </w:p>
    <w:p w14:paraId="41B90469">
      <w:pPr>
        <w:spacing w:line="360" w:lineRule="auto"/>
        <w:rPr>
          <w:rFonts w:ascii="宋体" w:hAnsi="宋体"/>
          <w:lang w:eastAsia="zh-CN"/>
        </w:rPr>
      </w:pPr>
      <w:r>
        <w:rPr>
          <w:rFonts w:ascii="宋体" w:hAnsi="宋体" w:hint="eastAsia"/>
          <w:lang w:eastAsia="zh-CN"/>
        </w:rPr>
        <w:t>（3）由于发包人原因对承包人、监理人造成的人员人身伤亡和财产损失；</w:t>
      </w:r>
    </w:p>
    <w:p w14:paraId="6C8790F4">
      <w:pPr>
        <w:spacing w:line="360" w:lineRule="auto"/>
        <w:rPr>
          <w:rFonts w:ascii="宋体" w:hAnsi="宋体"/>
          <w:lang w:eastAsia="zh-CN"/>
        </w:rPr>
      </w:pPr>
      <w:r>
        <w:rPr>
          <w:rFonts w:ascii="宋体" w:hAnsi="宋体" w:hint="eastAsia"/>
          <w:lang w:eastAsia="zh-CN"/>
        </w:rPr>
        <w:t>（4）由于发包人原因造成的发包人自身人员的人身伤害以及财产损失。</w:t>
      </w:r>
    </w:p>
    <w:p w14:paraId="2220B67D">
      <w:pPr>
        <w:spacing w:line="360" w:lineRule="auto"/>
        <w:rPr>
          <w:rFonts w:ascii="宋体" w:hAnsi="宋体"/>
          <w:lang w:eastAsia="zh-CN"/>
        </w:rPr>
      </w:pPr>
      <w:r>
        <w:rPr>
          <w:rFonts w:ascii="宋体" w:hAnsi="宋体" w:hint="eastAsia"/>
          <w:lang w:eastAsia="zh-CN"/>
        </w:rPr>
        <w:t>6.1.9.2 承包人的安全责任</w:t>
      </w:r>
    </w:p>
    <w:p w14:paraId="7F6EA3F0">
      <w:pPr>
        <w:spacing w:line="360" w:lineRule="auto"/>
        <w:rPr>
          <w:rFonts w:ascii="宋体" w:hAnsi="宋体"/>
          <w:lang w:eastAsia="zh-CN"/>
        </w:rPr>
      </w:pPr>
      <w:r>
        <w:rPr>
          <w:rFonts w:ascii="宋体" w:hAnsi="宋体" w:hint="eastAsia"/>
          <w:lang w:eastAsia="zh-CN"/>
        </w:rPr>
        <w:t>由于承包人原因在施工场地内及其毗邻地带造成的发包人、监理人以及第三者人员伤亡和财产损失，由承包人负责赔偿。</w:t>
      </w:r>
    </w:p>
    <w:p w14:paraId="1D2924D7">
      <w:pPr>
        <w:spacing w:line="360" w:lineRule="auto"/>
        <w:rPr>
          <w:rFonts w:ascii="宋体" w:hAnsi="宋体"/>
          <w:bCs/>
          <w:lang w:eastAsia="zh-CN"/>
        </w:rPr>
      </w:pPr>
      <w:r>
        <w:rPr>
          <w:rFonts w:ascii="宋体" w:hAnsi="宋体" w:hint="eastAsia"/>
          <w:bCs/>
          <w:lang w:eastAsia="zh-CN"/>
        </w:rPr>
        <w:t>6.2 职业健康</w:t>
      </w:r>
    </w:p>
    <w:p w14:paraId="6F688214">
      <w:pPr>
        <w:spacing w:line="360" w:lineRule="auto"/>
        <w:rPr>
          <w:rFonts w:ascii="宋体" w:hAnsi="宋体"/>
          <w:lang w:eastAsia="zh-CN"/>
        </w:rPr>
      </w:pPr>
      <w:r>
        <w:rPr>
          <w:rFonts w:ascii="宋体" w:hAnsi="宋体" w:hint="eastAsia"/>
          <w:lang w:eastAsia="zh-CN"/>
        </w:rPr>
        <w:t>6.2.1 劳动保护</w:t>
      </w:r>
    </w:p>
    <w:p w14:paraId="4BF4E3ED">
      <w:pPr>
        <w:spacing w:line="360" w:lineRule="auto"/>
        <w:rPr>
          <w:rFonts w:ascii="宋体" w:hAnsi="宋体"/>
          <w:lang w:eastAsia="zh-CN"/>
        </w:rPr>
      </w:pPr>
      <w:r>
        <w:rPr>
          <w:rFonts w:ascii="宋体" w:hAnsi="宋体" w:hint="eastAsia"/>
          <w:lang w:eastAsia="zh-CN"/>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7FE098D4">
      <w:pPr>
        <w:spacing w:line="360" w:lineRule="auto"/>
        <w:rPr>
          <w:rFonts w:ascii="宋体" w:hAnsi="宋体"/>
          <w:lang w:eastAsia="zh-CN"/>
        </w:rPr>
      </w:pPr>
      <w:r>
        <w:rPr>
          <w:rFonts w:ascii="宋体" w:hAnsi="宋体" w:hint="eastAsia"/>
          <w:lang w:eastAsia="zh-CN"/>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4A0FDD8C">
      <w:pPr>
        <w:spacing w:line="360" w:lineRule="auto"/>
        <w:rPr>
          <w:rFonts w:ascii="宋体" w:hAnsi="宋体"/>
          <w:lang w:eastAsia="zh-CN"/>
        </w:rPr>
      </w:pPr>
      <w:r>
        <w:rPr>
          <w:rFonts w:ascii="宋体" w:hAnsi="宋体" w:hint="eastAsia"/>
          <w:lang w:eastAsia="zh-CN"/>
        </w:rPr>
        <w:t>承包人应按法律规定安排工作时间，保证其雇佣人员享有休息和休假的权利。因工程施工的特殊需要占用休假日或延长工作时间的，应不超过法律规定的限度，并按法律规定给予补休或付酬。</w:t>
      </w:r>
    </w:p>
    <w:p w14:paraId="20A2EEDE">
      <w:pPr>
        <w:spacing w:line="360" w:lineRule="auto"/>
        <w:rPr>
          <w:rFonts w:ascii="宋体" w:hAnsi="宋体"/>
          <w:lang w:eastAsia="zh-CN"/>
        </w:rPr>
      </w:pPr>
      <w:r>
        <w:rPr>
          <w:rFonts w:ascii="宋体" w:hAnsi="宋体" w:hint="eastAsia"/>
          <w:lang w:eastAsia="zh-CN"/>
        </w:rPr>
        <w:t>6.2.2 生活条件</w:t>
      </w:r>
    </w:p>
    <w:p w14:paraId="5F5F98C0">
      <w:pPr>
        <w:spacing w:line="360" w:lineRule="auto"/>
        <w:rPr>
          <w:rFonts w:ascii="宋体" w:hAnsi="宋体"/>
          <w:lang w:eastAsia="zh-CN"/>
        </w:rPr>
      </w:pPr>
      <w:r>
        <w:rPr>
          <w:rFonts w:ascii="宋体" w:hAnsi="宋体" w:hint="eastAsia"/>
          <w:lang w:eastAsia="zh-CN"/>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7F6E2542">
      <w:pPr>
        <w:spacing w:line="360" w:lineRule="auto"/>
        <w:rPr>
          <w:rFonts w:ascii="宋体" w:hAnsi="宋体"/>
          <w:bCs/>
          <w:lang w:eastAsia="zh-CN"/>
        </w:rPr>
      </w:pPr>
      <w:r>
        <w:rPr>
          <w:rFonts w:ascii="宋体" w:hAnsi="宋体" w:hint="eastAsia"/>
          <w:bCs/>
          <w:lang w:eastAsia="zh-CN"/>
        </w:rPr>
        <w:t>6.3 环境保护</w:t>
      </w:r>
    </w:p>
    <w:p w14:paraId="2DA7CEA3">
      <w:pPr>
        <w:spacing w:line="360" w:lineRule="auto"/>
        <w:rPr>
          <w:rFonts w:ascii="宋体" w:hAnsi="宋体"/>
          <w:lang w:eastAsia="zh-CN"/>
        </w:rPr>
      </w:pPr>
      <w:r>
        <w:rPr>
          <w:rFonts w:ascii="宋体" w:hAnsi="宋体" w:hint="eastAsia"/>
          <w:lang w:eastAsia="zh-CN"/>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60AE7F11">
      <w:pPr>
        <w:spacing w:line="360" w:lineRule="auto"/>
        <w:rPr>
          <w:rFonts w:ascii="宋体" w:hAnsi="宋体"/>
          <w:lang w:eastAsia="zh-CN"/>
        </w:rPr>
      </w:pPr>
      <w:r>
        <w:rPr>
          <w:rFonts w:ascii="宋体" w:hAnsi="宋体" w:hint="eastAsia"/>
          <w:lang w:eastAsia="zh-CN"/>
        </w:rPr>
        <w:t>承包人应当承担因其原因引起的环境污染侵权损害赔偿责任，因上述环境污染引起纠纷而导致暂停施工的，由此增加的费用和（或）延误的工期由承包人承担。</w:t>
      </w:r>
    </w:p>
    <w:p w14:paraId="678E8457">
      <w:pPr>
        <w:spacing w:line="360" w:lineRule="auto"/>
        <w:rPr>
          <w:rFonts w:ascii="宋体" w:hAnsi="宋体"/>
          <w:bCs/>
          <w:lang w:eastAsia="zh-CN"/>
        </w:rPr>
      </w:pPr>
      <w:r>
        <w:rPr>
          <w:rFonts w:ascii="宋体" w:hAnsi="宋体" w:hint="eastAsia"/>
          <w:bCs/>
          <w:lang w:eastAsia="zh-CN"/>
        </w:rPr>
        <w:t>7. 工期和进度</w:t>
      </w:r>
    </w:p>
    <w:p w14:paraId="7DE39472">
      <w:pPr>
        <w:spacing w:line="360" w:lineRule="auto"/>
        <w:rPr>
          <w:rFonts w:ascii="宋体" w:hAnsi="宋体"/>
          <w:bCs/>
          <w:lang w:eastAsia="zh-CN"/>
        </w:rPr>
      </w:pPr>
      <w:r>
        <w:rPr>
          <w:rFonts w:ascii="宋体" w:hAnsi="宋体" w:hint="eastAsia"/>
          <w:bCs/>
          <w:lang w:eastAsia="zh-CN"/>
        </w:rPr>
        <w:t>7.1施工组织设计</w:t>
      </w:r>
    </w:p>
    <w:p w14:paraId="30EFDB95">
      <w:pPr>
        <w:spacing w:line="360" w:lineRule="auto"/>
        <w:rPr>
          <w:rFonts w:ascii="宋体" w:hAnsi="宋体"/>
          <w:lang w:eastAsia="zh-CN"/>
        </w:rPr>
      </w:pPr>
      <w:r>
        <w:rPr>
          <w:rFonts w:ascii="宋体" w:hAnsi="宋体" w:hint="eastAsia"/>
          <w:lang w:eastAsia="zh-CN"/>
        </w:rPr>
        <w:t>7.1.1 施工组织设计的内容</w:t>
      </w:r>
    </w:p>
    <w:p w14:paraId="12BFF83C">
      <w:pPr>
        <w:spacing w:line="360" w:lineRule="auto"/>
        <w:rPr>
          <w:rFonts w:ascii="宋体" w:hAnsi="宋体"/>
          <w:lang w:eastAsia="zh-CN"/>
        </w:rPr>
      </w:pPr>
      <w:r>
        <w:rPr>
          <w:rFonts w:ascii="宋体" w:hAnsi="宋体" w:hint="eastAsia"/>
          <w:lang w:eastAsia="zh-CN"/>
        </w:rPr>
        <w:t>施工组织设计应包含以下内容：</w:t>
      </w:r>
    </w:p>
    <w:p w14:paraId="15990148">
      <w:pPr>
        <w:spacing w:line="360" w:lineRule="auto"/>
        <w:rPr>
          <w:rFonts w:ascii="宋体" w:hAnsi="宋体"/>
          <w:lang w:eastAsia="zh-CN"/>
        </w:rPr>
      </w:pPr>
      <w:r>
        <w:rPr>
          <w:rFonts w:ascii="宋体" w:hAnsi="宋体" w:hint="eastAsia"/>
          <w:lang w:eastAsia="zh-CN"/>
        </w:rPr>
        <w:t xml:space="preserve">（1）施工方案； </w:t>
      </w:r>
    </w:p>
    <w:p w14:paraId="316AEA8A">
      <w:pPr>
        <w:spacing w:line="360" w:lineRule="auto"/>
        <w:rPr>
          <w:rFonts w:ascii="宋体" w:hAnsi="宋体"/>
          <w:lang w:eastAsia="zh-CN"/>
        </w:rPr>
      </w:pPr>
      <w:r>
        <w:rPr>
          <w:rFonts w:ascii="宋体" w:hAnsi="宋体" w:hint="eastAsia"/>
          <w:lang w:eastAsia="zh-CN"/>
        </w:rPr>
        <w:t>（2）施工现场平面布置图；</w:t>
      </w:r>
    </w:p>
    <w:p w14:paraId="49139B92">
      <w:pPr>
        <w:spacing w:line="360" w:lineRule="auto"/>
        <w:rPr>
          <w:rFonts w:ascii="宋体" w:hAnsi="宋体"/>
          <w:lang w:eastAsia="zh-CN"/>
        </w:rPr>
      </w:pPr>
      <w:r>
        <w:rPr>
          <w:rFonts w:ascii="宋体" w:hAnsi="宋体" w:hint="eastAsia"/>
          <w:lang w:eastAsia="zh-CN"/>
        </w:rPr>
        <w:t xml:space="preserve">（3）施工进度计划和保证措施； </w:t>
      </w:r>
    </w:p>
    <w:p w14:paraId="66722CF0">
      <w:pPr>
        <w:spacing w:line="360" w:lineRule="auto"/>
        <w:rPr>
          <w:rFonts w:ascii="宋体" w:hAnsi="宋体"/>
          <w:lang w:eastAsia="zh-CN"/>
        </w:rPr>
      </w:pPr>
      <w:r>
        <w:rPr>
          <w:rFonts w:ascii="宋体" w:hAnsi="宋体" w:hint="eastAsia"/>
          <w:lang w:eastAsia="zh-CN"/>
        </w:rPr>
        <w:t>（4）劳动力及材料供应计划；</w:t>
      </w:r>
    </w:p>
    <w:p w14:paraId="3DC6639E">
      <w:pPr>
        <w:spacing w:line="360" w:lineRule="auto"/>
        <w:rPr>
          <w:rFonts w:ascii="宋体" w:hAnsi="宋体"/>
          <w:lang w:eastAsia="zh-CN"/>
        </w:rPr>
      </w:pPr>
      <w:r>
        <w:rPr>
          <w:rFonts w:ascii="宋体" w:hAnsi="宋体" w:hint="eastAsia"/>
          <w:lang w:eastAsia="zh-CN"/>
        </w:rPr>
        <w:t>（5）施工机械设备的选用；</w:t>
      </w:r>
    </w:p>
    <w:p w14:paraId="33B1045F">
      <w:pPr>
        <w:spacing w:line="360" w:lineRule="auto"/>
        <w:rPr>
          <w:rFonts w:ascii="宋体" w:hAnsi="宋体"/>
          <w:lang w:eastAsia="zh-CN"/>
        </w:rPr>
      </w:pPr>
      <w:r>
        <w:rPr>
          <w:rFonts w:ascii="宋体" w:hAnsi="宋体" w:hint="eastAsia"/>
          <w:lang w:eastAsia="zh-CN"/>
        </w:rPr>
        <w:t>（6）质量保证体系及措施；</w:t>
      </w:r>
    </w:p>
    <w:p w14:paraId="5CB99297">
      <w:pPr>
        <w:spacing w:line="360" w:lineRule="auto"/>
        <w:rPr>
          <w:rFonts w:ascii="宋体" w:hAnsi="宋体"/>
          <w:lang w:eastAsia="zh-CN"/>
        </w:rPr>
      </w:pPr>
      <w:r>
        <w:rPr>
          <w:rFonts w:ascii="宋体" w:hAnsi="宋体" w:hint="eastAsia"/>
          <w:lang w:eastAsia="zh-CN"/>
        </w:rPr>
        <w:t>（7）安全生产、文明施工措施；</w:t>
      </w:r>
    </w:p>
    <w:p w14:paraId="5AAACDB7">
      <w:pPr>
        <w:spacing w:line="360" w:lineRule="auto"/>
        <w:rPr>
          <w:rFonts w:ascii="宋体" w:hAnsi="宋体"/>
          <w:lang w:eastAsia="zh-CN"/>
        </w:rPr>
      </w:pPr>
      <w:r>
        <w:rPr>
          <w:rFonts w:ascii="宋体" w:hAnsi="宋体" w:hint="eastAsia"/>
          <w:lang w:eastAsia="zh-CN"/>
        </w:rPr>
        <w:t>（8）环境保护、成本控制措施；</w:t>
      </w:r>
    </w:p>
    <w:p w14:paraId="252F444C">
      <w:pPr>
        <w:spacing w:line="360" w:lineRule="auto"/>
        <w:rPr>
          <w:rFonts w:ascii="宋体" w:hAnsi="宋体"/>
          <w:lang w:eastAsia="zh-CN"/>
        </w:rPr>
      </w:pPr>
      <w:r>
        <w:rPr>
          <w:rFonts w:ascii="宋体" w:hAnsi="宋体" w:hint="eastAsia"/>
          <w:lang w:eastAsia="zh-CN"/>
        </w:rPr>
        <w:t>（9）合同当事人约定的其他内容。</w:t>
      </w:r>
    </w:p>
    <w:p w14:paraId="0FBD2D1E">
      <w:pPr>
        <w:spacing w:line="360" w:lineRule="auto"/>
        <w:rPr>
          <w:rFonts w:ascii="宋体" w:hAnsi="宋体"/>
          <w:lang w:eastAsia="zh-CN"/>
        </w:rPr>
      </w:pPr>
      <w:r>
        <w:rPr>
          <w:rFonts w:ascii="宋体" w:hAnsi="宋体" w:hint="eastAsia"/>
          <w:lang w:eastAsia="zh-CN"/>
        </w:rPr>
        <w:t>7.1.2 施工组织设计的提交和修改</w:t>
      </w:r>
    </w:p>
    <w:p w14:paraId="264DA9A7">
      <w:pPr>
        <w:spacing w:line="360" w:lineRule="auto"/>
        <w:rPr>
          <w:rFonts w:ascii="宋体" w:hAnsi="宋体"/>
          <w:lang w:eastAsia="zh-CN"/>
        </w:rPr>
      </w:pPr>
      <w:r>
        <w:rPr>
          <w:rFonts w:ascii="宋体" w:hAnsi="宋体" w:hint="eastAsia"/>
          <w:lang w:eastAsia="zh-CN"/>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5935B1BA">
      <w:pPr>
        <w:spacing w:line="360" w:lineRule="auto"/>
        <w:rPr>
          <w:rFonts w:ascii="宋体" w:hAnsi="宋体"/>
          <w:lang w:eastAsia="zh-CN"/>
        </w:rPr>
      </w:pPr>
      <w:r>
        <w:rPr>
          <w:rFonts w:ascii="宋体" w:hAnsi="宋体" w:hint="eastAsia"/>
          <w:lang w:eastAsia="zh-CN"/>
        </w:rPr>
        <w:t>施工进度计划的编制和修改按照第7.2款〔施工进度计划〕执行。</w:t>
      </w:r>
    </w:p>
    <w:p w14:paraId="759B6B09">
      <w:pPr>
        <w:spacing w:line="360" w:lineRule="auto"/>
        <w:rPr>
          <w:rFonts w:ascii="宋体" w:hAnsi="宋体"/>
          <w:bCs/>
          <w:lang w:eastAsia="zh-CN"/>
        </w:rPr>
      </w:pPr>
      <w:r>
        <w:rPr>
          <w:rFonts w:ascii="宋体" w:hAnsi="宋体" w:hint="eastAsia"/>
          <w:bCs/>
          <w:lang w:eastAsia="zh-CN"/>
        </w:rPr>
        <w:t>7.2 施工进度计划</w:t>
      </w:r>
    </w:p>
    <w:p w14:paraId="2BA9BFBB">
      <w:pPr>
        <w:spacing w:line="360" w:lineRule="auto"/>
        <w:rPr>
          <w:rFonts w:ascii="宋体" w:hAnsi="宋体"/>
          <w:lang w:eastAsia="zh-CN"/>
        </w:rPr>
      </w:pPr>
      <w:r>
        <w:rPr>
          <w:rFonts w:ascii="宋体" w:hAnsi="宋体" w:hint="eastAsia"/>
          <w:lang w:eastAsia="zh-CN"/>
        </w:rPr>
        <w:t>7.2.1 施工进度计划的编制</w:t>
      </w:r>
    </w:p>
    <w:p w14:paraId="36831318">
      <w:pPr>
        <w:spacing w:line="360" w:lineRule="auto"/>
        <w:rPr>
          <w:rFonts w:ascii="宋体" w:hAnsi="宋体"/>
          <w:lang w:eastAsia="zh-CN"/>
        </w:rPr>
      </w:pPr>
      <w:r>
        <w:rPr>
          <w:rFonts w:ascii="宋体" w:hAnsi="宋体" w:hint="eastAsia"/>
          <w:lang w:eastAsia="zh-CN"/>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7752C3F7">
      <w:pPr>
        <w:spacing w:line="360" w:lineRule="auto"/>
        <w:rPr>
          <w:rFonts w:ascii="宋体" w:hAnsi="宋体"/>
          <w:lang w:eastAsia="zh-CN"/>
        </w:rPr>
      </w:pPr>
      <w:r>
        <w:rPr>
          <w:rFonts w:ascii="宋体" w:hAnsi="宋体" w:hint="eastAsia"/>
          <w:lang w:eastAsia="zh-CN"/>
        </w:rPr>
        <w:t>7.2.2 施工进度计划的修订</w:t>
      </w:r>
    </w:p>
    <w:p w14:paraId="420D89E6">
      <w:pPr>
        <w:spacing w:line="360" w:lineRule="auto"/>
        <w:rPr>
          <w:rFonts w:ascii="宋体" w:hAnsi="宋体"/>
          <w:lang w:eastAsia="zh-CN"/>
        </w:rPr>
      </w:pPr>
      <w:r>
        <w:rPr>
          <w:rFonts w:ascii="宋体" w:hAnsi="宋体" w:hint="eastAsia"/>
          <w:lang w:eastAsia="zh-CN"/>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2653BC2D">
      <w:pPr>
        <w:spacing w:line="360" w:lineRule="auto"/>
        <w:rPr>
          <w:rFonts w:ascii="宋体" w:hAnsi="宋体"/>
          <w:bCs/>
          <w:lang w:eastAsia="zh-CN"/>
        </w:rPr>
      </w:pPr>
      <w:r>
        <w:rPr>
          <w:rFonts w:ascii="宋体" w:hAnsi="宋体" w:hint="eastAsia"/>
          <w:bCs/>
          <w:lang w:eastAsia="zh-CN"/>
        </w:rPr>
        <w:t>7.3 开工</w:t>
      </w:r>
    </w:p>
    <w:p w14:paraId="6032D26E">
      <w:pPr>
        <w:spacing w:line="360" w:lineRule="auto"/>
        <w:rPr>
          <w:rFonts w:ascii="宋体" w:hAnsi="宋体"/>
          <w:lang w:eastAsia="zh-CN"/>
        </w:rPr>
      </w:pPr>
      <w:r>
        <w:rPr>
          <w:rFonts w:ascii="宋体" w:hAnsi="宋体" w:hint="eastAsia"/>
          <w:lang w:eastAsia="zh-CN"/>
        </w:rPr>
        <w:t>7.3.1 开工准备</w:t>
      </w:r>
    </w:p>
    <w:p w14:paraId="1D8E27BE">
      <w:pPr>
        <w:spacing w:line="360" w:lineRule="auto"/>
        <w:rPr>
          <w:rFonts w:ascii="宋体" w:hAnsi="宋体"/>
          <w:lang w:eastAsia="zh-CN"/>
        </w:rPr>
      </w:pPr>
      <w:r>
        <w:rPr>
          <w:rFonts w:ascii="宋体" w:hAnsi="宋体" w:hint="eastAsia"/>
          <w:lang w:eastAsia="zh-CN"/>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01D447E2">
      <w:pPr>
        <w:spacing w:line="360" w:lineRule="auto"/>
        <w:rPr>
          <w:rFonts w:ascii="宋体" w:hAnsi="宋体"/>
          <w:lang w:eastAsia="zh-CN"/>
        </w:rPr>
      </w:pPr>
      <w:r>
        <w:rPr>
          <w:rFonts w:ascii="宋体" w:hAnsi="宋体" w:hint="eastAsia"/>
          <w:lang w:eastAsia="zh-CN"/>
        </w:rPr>
        <w:t>除专用合同条款另有约定外，合同当事人应按约定完成开工准备工作。</w:t>
      </w:r>
    </w:p>
    <w:p w14:paraId="46091109">
      <w:pPr>
        <w:spacing w:line="360" w:lineRule="auto"/>
        <w:rPr>
          <w:rFonts w:ascii="宋体" w:hAnsi="宋体"/>
          <w:lang w:eastAsia="zh-CN"/>
        </w:rPr>
      </w:pPr>
      <w:r>
        <w:rPr>
          <w:rFonts w:ascii="宋体" w:hAnsi="宋体" w:hint="eastAsia"/>
          <w:lang w:eastAsia="zh-CN"/>
        </w:rPr>
        <w:t>7.3.2 开工通知</w:t>
      </w:r>
    </w:p>
    <w:p w14:paraId="3BB9328F">
      <w:pPr>
        <w:spacing w:line="360" w:lineRule="auto"/>
        <w:rPr>
          <w:rFonts w:ascii="宋体" w:hAnsi="宋体"/>
          <w:lang w:eastAsia="zh-CN"/>
        </w:rPr>
      </w:pPr>
      <w:r>
        <w:rPr>
          <w:rFonts w:ascii="宋体" w:hAnsi="宋体" w:hint="eastAsia"/>
          <w:lang w:eastAsia="zh-CN"/>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1B50BABE">
      <w:pPr>
        <w:spacing w:line="360" w:lineRule="auto"/>
        <w:rPr>
          <w:rFonts w:ascii="宋体" w:hAnsi="宋体"/>
          <w:lang w:eastAsia="zh-CN"/>
        </w:rPr>
      </w:pPr>
      <w:r>
        <w:rPr>
          <w:rFonts w:ascii="宋体" w:hAnsi="宋体" w:hint="eastAsia"/>
          <w:lang w:eastAsia="zh-CN"/>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541CDD3D">
      <w:pPr>
        <w:spacing w:line="360" w:lineRule="auto"/>
        <w:rPr>
          <w:rFonts w:ascii="宋体" w:hAnsi="宋体"/>
          <w:bCs/>
          <w:lang w:eastAsia="zh-CN"/>
        </w:rPr>
      </w:pPr>
      <w:r>
        <w:rPr>
          <w:rFonts w:ascii="宋体" w:hAnsi="宋体" w:hint="eastAsia"/>
          <w:bCs/>
          <w:lang w:eastAsia="zh-CN"/>
        </w:rPr>
        <w:t>7.4测量放线</w:t>
      </w:r>
    </w:p>
    <w:p w14:paraId="0968AA15">
      <w:pPr>
        <w:spacing w:line="360" w:lineRule="auto"/>
        <w:rPr>
          <w:rFonts w:ascii="宋体" w:hAnsi="宋体"/>
          <w:lang w:eastAsia="zh-CN"/>
        </w:rPr>
      </w:pPr>
      <w:r>
        <w:rPr>
          <w:rFonts w:ascii="宋体" w:hAnsi="宋体" w:hint="eastAsia"/>
          <w:lang w:eastAsia="zh-CN"/>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45F3D6B2">
      <w:pPr>
        <w:spacing w:line="360" w:lineRule="auto"/>
        <w:rPr>
          <w:rFonts w:ascii="宋体" w:hAnsi="宋体"/>
          <w:lang w:eastAsia="zh-CN"/>
        </w:rPr>
      </w:pPr>
      <w:r>
        <w:rPr>
          <w:rFonts w:ascii="宋体" w:hAnsi="宋体" w:hint="eastAsia"/>
          <w:lang w:eastAsia="zh-CN"/>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7DFE4575">
      <w:pPr>
        <w:spacing w:line="360" w:lineRule="auto"/>
        <w:rPr>
          <w:rFonts w:ascii="宋体" w:hAnsi="宋体"/>
          <w:lang w:eastAsia="zh-CN"/>
        </w:rPr>
      </w:pPr>
      <w:r>
        <w:rPr>
          <w:rFonts w:ascii="宋体" w:hAnsi="宋体" w:hint="eastAsia"/>
          <w:lang w:eastAsia="zh-CN"/>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6DC9CA5E">
      <w:pPr>
        <w:spacing w:line="360" w:lineRule="auto"/>
        <w:rPr>
          <w:rFonts w:ascii="宋体" w:hAnsi="宋体"/>
          <w:lang w:eastAsia="zh-CN"/>
        </w:rPr>
      </w:pPr>
      <w:r>
        <w:rPr>
          <w:rFonts w:ascii="宋体" w:hAnsi="宋体" w:hint="eastAsia"/>
          <w:lang w:eastAsia="zh-CN"/>
        </w:rPr>
        <w:t>施工过程中对施工现场内水准点等测量标志物的保护工作由承包人负责。</w:t>
      </w:r>
    </w:p>
    <w:p w14:paraId="631810BD">
      <w:pPr>
        <w:spacing w:line="360" w:lineRule="auto"/>
        <w:rPr>
          <w:rFonts w:ascii="宋体" w:hAnsi="宋体"/>
          <w:bCs/>
          <w:lang w:eastAsia="zh-CN"/>
        </w:rPr>
      </w:pPr>
      <w:r>
        <w:rPr>
          <w:rFonts w:ascii="宋体" w:hAnsi="宋体" w:hint="eastAsia"/>
          <w:bCs/>
          <w:lang w:eastAsia="zh-CN"/>
        </w:rPr>
        <w:t>7.5 工期延误</w:t>
      </w:r>
    </w:p>
    <w:p w14:paraId="70B07710">
      <w:pPr>
        <w:spacing w:line="360" w:lineRule="auto"/>
        <w:rPr>
          <w:rFonts w:ascii="宋体" w:hAnsi="宋体"/>
          <w:lang w:eastAsia="zh-CN"/>
        </w:rPr>
      </w:pPr>
      <w:r>
        <w:rPr>
          <w:rFonts w:ascii="宋体" w:hAnsi="宋体" w:hint="eastAsia"/>
          <w:lang w:eastAsia="zh-CN"/>
        </w:rPr>
        <w:t>7.5.1 因发包人原因导致工期延误</w:t>
      </w:r>
    </w:p>
    <w:p w14:paraId="6847F7B9">
      <w:pPr>
        <w:spacing w:line="360" w:lineRule="auto"/>
        <w:rPr>
          <w:rFonts w:ascii="宋体" w:hAnsi="宋体"/>
          <w:lang w:eastAsia="zh-CN"/>
        </w:rPr>
      </w:pPr>
      <w:r>
        <w:rPr>
          <w:rFonts w:ascii="宋体" w:hAnsi="宋体" w:hint="eastAsia"/>
          <w:lang w:eastAsia="zh-CN"/>
        </w:rPr>
        <w:t xml:space="preserve">在合同履行过程中，因下列情况导致工期延误和（或）费用增加的，由发包人承担由此延误的工期和（或）增加的费用，且发包人应支付承包人合理的利润： </w:t>
      </w:r>
    </w:p>
    <w:p w14:paraId="2038E7A0">
      <w:pPr>
        <w:spacing w:line="360" w:lineRule="auto"/>
        <w:rPr>
          <w:rFonts w:ascii="宋体" w:hAnsi="宋体"/>
          <w:lang w:eastAsia="zh-CN"/>
        </w:rPr>
      </w:pPr>
      <w:r>
        <w:rPr>
          <w:rFonts w:ascii="宋体" w:hAnsi="宋体" w:hint="eastAsia"/>
          <w:lang w:eastAsia="zh-CN"/>
        </w:rPr>
        <w:t>（1）发包人未能按合同约定提供图纸或所提供图纸不符合合同约定的；</w:t>
      </w:r>
    </w:p>
    <w:p w14:paraId="746FB867">
      <w:pPr>
        <w:spacing w:line="360" w:lineRule="auto"/>
        <w:rPr>
          <w:rFonts w:ascii="宋体" w:hAnsi="宋体"/>
          <w:lang w:eastAsia="zh-CN"/>
        </w:rPr>
      </w:pPr>
      <w:r>
        <w:rPr>
          <w:rFonts w:ascii="宋体" w:hAnsi="宋体" w:hint="eastAsia"/>
          <w:lang w:eastAsia="zh-CN"/>
        </w:rPr>
        <w:t>（2）发包人未能按合同约定提供施工现场、施工条件、基础资料、许可、批准等开工条件的；</w:t>
      </w:r>
    </w:p>
    <w:p w14:paraId="3FCEF913">
      <w:pPr>
        <w:spacing w:line="360" w:lineRule="auto"/>
        <w:rPr>
          <w:rFonts w:ascii="宋体" w:hAnsi="宋体"/>
          <w:lang w:eastAsia="zh-CN"/>
        </w:rPr>
      </w:pPr>
      <w:r>
        <w:rPr>
          <w:rFonts w:ascii="宋体" w:hAnsi="宋体" w:hint="eastAsia"/>
          <w:lang w:eastAsia="zh-CN"/>
        </w:rPr>
        <w:t>（3）发包人提供的测量基准点、基准线和水准点及其书面资料存在错误或疏漏的；</w:t>
      </w:r>
    </w:p>
    <w:p w14:paraId="6B72F462">
      <w:pPr>
        <w:spacing w:line="360" w:lineRule="auto"/>
        <w:rPr>
          <w:rFonts w:ascii="宋体" w:hAnsi="宋体"/>
          <w:lang w:eastAsia="zh-CN"/>
        </w:rPr>
      </w:pPr>
      <w:r>
        <w:rPr>
          <w:rFonts w:ascii="宋体" w:hAnsi="宋体" w:hint="eastAsia"/>
          <w:lang w:eastAsia="zh-CN"/>
        </w:rPr>
        <w:t>（4）发包人未能在计划开工日期之日起7天内同意下达开工通知的；</w:t>
      </w:r>
    </w:p>
    <w:p w14:paraId="1FAF8743">
      <w:pPr>
        <w:spacing w:line="360" w:lineRule="auto"/>
        <w:rPr>
          <w:rFonts w:ascii="宋体" w:hAnsi="宋体"/>
          <w:lang w:eastAsia="zh-CN"/>
        </w:rPr>
      </w:pPr>
      <w:r>
        <w:rPr>
          <w:rFonts w:ascii="宋体" w:hAnsi="宋体" w:hint="eastAsia"/>
          <w:lang w:eastAsia="zh-CN"/>
        </w:rPr>
        <w:t>（5）发包人未能按合同约定日期支付工程预付款、进度款或竣工结算款的；</w:t>
      </w:r>
    </w:p>
    <w:p w14:paraId="71FBDEC3">
      <w:pPr>
        <w:spacing w:line="360" w:lineRule="auto"/>
        <w:rPr>
          <w:rFonts w:ascii="宋体" w:hAnsi="宋体"/>
          <w:lang w:eastAsia="zh-CN"/>
        </w:rPr>
      </w:pPr>
      <w:r>
        <w:rPr>
          <w:rFonts w:ascii="宋体" w:hAnsi="宋体" w:hint="eastAsia"/>
          <w:lang w:eastAsia="zh-CN"/>
        </w:rPr>
        <w:t>（6）监理人未按合同约定发出指示、批准等文件的；</w:t>
      </w:r>
    </w:p>
    <w:p w14:paraId="031B2446">
      <w:pPr>
        <w:spacing w:line="360" w:lineRule="auto"/>
        <w:rPr>
          <w:rFonts w:ascii="宋体" w:hAnsi="宋体"/>
          <w:lang w:eastAsia="zh-CN"/>
        </w:rPr>
      </w:pPr>
      <w:r>
        <w:rPr>
          <w:rFonts w:ascii="宋体" w:hAnsi="宋体" w:hint="eastAsia"/>
          <w:lang w:eastAsia="zh-CN"/>
        </w:rPr>
        <w:t>（7）专用合同条款中约定的其他情形。</w:t>
      </w:r>
    </w:p>
    <w:p w14:paraId="0FAB57CE">
      <w:pPr>
        <w:spacing w:line="360" w:lineRule="auto"/>
        <w:rPr>
          <w:rFonts w:ascii="宋体" w:hAnsi="宋体"/>
          <w:lang w:eastAsia="zh-CN"/>
        </w:rPr>
      </w:pPr>
      <w:r>
        <w:rPr>
          <w:rFonts w:ascii="宋体" w:hAnsi="宋体" w:hint="eastAsia"/>
          <w:lang w:eastAsia="zh-CN"/>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1722447F">
      <w:pPr>
        <w:spacing w:line="360" w:lineRule="auto"/>
        <w:rPr>
          <w:rFonts w:ascii="宋体" w:hAnsi="宋体"/>
          <w:lang w:eastAsia="zh-CN"/>
        </w:rPr>
      </w:pPr>
      <w:r>
        <w:rPr>
          <w:rFonts w:ascii="宋体" w:hAnsi="宋体" w:hint="eastAsia"/>
          <w:lang w:eastAsia="zh-CN"/>
        </w:rPr>
        <w:t>7.5.2 因承包人原因导致工期延误</w:t>
      </w:r>
    </w:p>
    <w:p w14:paraId="5853B522">
      <w:pPr>
        <w:spacing w:line="360" w:lineRule="auto"/>
        <w:rPr>
          <w:rFonts w:ascii="宋体" w:hAnsi="宋体"/>
          <w:lang w:eastAsia="zh-CN"/>
        </w:rPr>
      </w:pPr>
      <w:r>
        <w:rPr>
          <w:rFonts w:ascii="宋体" w:hAnsi="宋体" w:hint="eastAsia"/>
          <w:lang w:eastAsia="zh-CN"/>
        </w:rPr>
        <w:t>因承包人原因造成工期延误的，可以在专用合同条款中约定逾期竣工违约金的计算方法和逾期竣工违约金的上限。承包人支付逾期竣工违约金后，不免除承包人继续完成工程及修补缺陷的义务。</w:t>
      </w:r>
    </w:p>
    <w:p w14:paraId="5EB42DA2">
      <w:pPr>
        <w:spacing w:line="360" w:lineRule="auto"/>
        <w:rPr>
          <w:rFonts w:ascii="宋体" w:hAnsi="宋体"/>
          <w:bCs/>
          <w:lang w:eastAsia="zh-CN"/>
        </w:rPr>
      </w:pPr>
      <w:r>
        <w:rPr>
          <w:rFonts w:ascii="宋体" w:hAnsi="宋体" w:hint="eastAsia"/>
          <w:bCs/>
          <w:lang w:eastAsia="zh-CN"/>
        </w:rPr>
        <w:t>7.6 不利物质条件</w:t>
      </w:r>
    </w:p>
    <w:p w14:paraId="0C1126E7">
      <w:pPr>
        <w:spacing w:line="360" w:lineRule="auto"/>
        <w:rPr>
          <w:rFonts w:ascii="宋体" w:hAnsi="宋体"/>
          <w:lang w:eastAsia="zh-CN"/>
        </w:rPr>
      </w:pPr>
      <w:r>
        <w:rPr>
          <w:rFonts w:ascii="宋体" w:hAnsi="宋体" w:hint="eastAsia"/>
          <w:lang w:eastAsia="zh-CN"/>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48B39876">
      <w:pPr>
        <w:spacing w:line="360" w:lineRule="auto"/>
        <w:rPr>
          <w:rFonts w:ascii="宋体" w:hAnsi="宋体"/>
          <w:lang w:eastAsia="zh-CN"/>
        </w:rPr>
      </w:pPr>
      <w:r>
        <w:rPr>
          <w:rFonts w:ascii="宋体" w:hAnsi="宋体" w:hint="eastAsia"/>
          <w:lang w:eastAsia="zh-CN"/>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662D8431">
      <w:pPr>
        <w:spacing w:line="360" w:lineRule="auto"/>
        <w:rPr>
          <w:rFonts w:ascii="宋体" w:hAnsi="宋体"/>
          <w:bCs/>
          <w:lang w:eastAsia="zh-CN"/>
        </w:rPr>
      </w:pPr>
      <w:r>
        <w:rPr>
          <w:rFonts w:ascii="宋体" w:hAnsi="宋体" w:hint="eastAsia"/>
          <w:bCs/>
          <w:lang w:eastAsia="zh-CN"/>
        </w:rPr>
        <w:t>7.7 异常恶劣的气候条件</w:t>
      </w:r>
    </w:p>
    <w:p w14:paraId="4597428D">
      <w:pPr>
        <w:spacing w:line="360" w:lineRule="auto"/>
        <w:rPr>
          <w:rFonts w:ascii="宋体" w:hAnsi="宋体"/>
          <w:lang w:eastAsia="zh-CN"/>
        </w:rPr>
      </w:pPr>
      <w:r>
        <w:rPr>
          <w:rFonts w:ascii="宋体" w:hAnsi="宋体" w:hint="eastAsia"/>
          <w:lang w:eastAsia="zh-CN"/>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5C82AB3C">
      <w:pPr>
        <w:spacing w:line="360" w:lineRule="auto"/>
        <w:rPr>
          <w:rFonts w:ascii="宋体" w:hAnsi="宋体"/>
          <w:lang w:eastAsia="zh-CN"/>
        </w:rPr>
      </w:pPr>
      <w:r>
        <w:rPr>
          <w:rFonts w:ascii="宋体" w:hAnsi="宋体" w:hint="eastAsia"/>
          <w:lang w:eastAsia="zh-CN"/>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0D44244F">
      <w:pPr>
        <w:spacing w:line="360" w:lineRule="auto"/>
        <w:rPr>
          <w:rFonts w:ascii="宋体" w:hAnsi="宋体"/>
          <w:bCs/>
          <w:lang w:eastAsia="zh-CN"/>
        </w:rPr>
      </w:pPr>
      <w:r>
        <w:rPr>
          <w:rFonts w:ascii="宋体" w:hAnsi="宋体" w:hint="eastAsia"/>
          <w:bCs/>
          <w:lang w:eastAsia="zh-CN"/>
        </w:rPr>
        <w:t>7.8 暂停施工</w:t>
      </w:r>
    </w:p>
    <w:p w14:paraId="606160DC">
      <w:pPr>
        <w:spacing w:line="360" w:lineRule="auto"/>
        <w:rPr>
          <w:rFonts w:ascii="宋体" w:hAnsi="宋体"/>
          <w:lang w:eastAsia="zh-CN"/>
        </w:rPr>
      </w:pPr>
      <w:r>
        <w:rPr>
          <w:rFonts w:ascii="宋体" w:hAnsi="宋体" w:hint="eastAsia"/>
          <w:lang w:eastAsia="zh-CN"/>
        </w:rPr>
        <w:t>7.8.1发包人原因引起的暂停施工</w:t>
      </w:r>
    </w:p>
    <w:p w14:paraId="0DB63A1E">
      <w:pPr>
        <w:spacing w:line="360" w:lineRule="auto"/>
        <w:rPr>
          <w:rFonts w:ascii="宋体" w:hAnsi="宋体"/>
          <w:lang w:eastAsia="zh-CN"/>
        </w:rPr>
      </w:pPr>
      <w:r>
        <w:rPr>
          <w:rFonts w:ascii="宋体" w:hAnsi="宋体" w:hint="eastAsia"/>
          <w:lang w:eastAsia="zh-CN"/>
        </w:rPr>
        <w:t>因发包人原因引起暂停施工的，监理人经发包人同意后，应及时下达暂停施工指示。情况紧急且监理人未及时下达暂停施工指示的，按照第7.8.4项〔紧急情况下的暂停施工〕执行。</w:t>
      </w:r>
    </w:p>
    <w:p w14:paraId="415DDE1A">
      <w:pPr>
        <w:spacing w:line="360" w:lineRule="auto"/>
        <w:rPr>
          <w:rFonts w:ascii="宋体" w:hAnsi="宋体"/>
          <w:lang w:eastAsia="zh-CN"/>
        </w:rPr>
      </w:pPr>
      <w:r>
        <w:rPr>
          <w:rFonts w:ascii="宋体" w:hAnsi="宋体" w:hint="eastAsia"/>
          <w:lang w:eastAsia="zh-CN"/>
        </w:rPr>
        <w:t>因发包人原因引起的暂停施工，发包人应承担由此增加的费用和（或）延误的工期，并支付承包人合理的利润。</w:t>
      </w:r>
    </w:p>
    <w:p w14:paraId="61BEA9EA">
      <w:pPr>
        <w:spacing w:line="360" w:lineRule="auto"/>
        <w:rPr>
          <w:rFonts w:ascii="宋体" w:hAnsi="宋体"/>
          <w:lang w:eastAsia="zh-CN"/>
        </w:rPr>
      </w:pPr>
      <w:r>
        <w:rPr>
          <w:rFonts w:ascii="宋体" w:hAnsi="宋体" w:hint="eastAsia"/>
          <w:lang w:eastAsia="zh-CN"/>
        </w:rPr>
        <w:t>7.8.2 承包人原因引起的暂停施工</w:t>
      </w:r>
    </w:p>
    <w:p w14:paraId="7D2BBCEA">
      <w:pPr>
        <w:spacing w:line="360" w:lineRule="auto"/>
        <w:rPr>
          <w:rFonts w:ascii="宋体" w:hAnsi="宋体"/>
          <w:lang w:eastAsia="zh-CN"/>
        </w:rPr>
      </w:pPr>
      <w:r>
        <w:rPr>
          <w:rFonts w:ascii="宋体" w:hAnsi="宋体" w:hint="eastAsia"/>
          <w:lang w:eastAsia="zh-CN"/>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33B4D1E2">
      <w:pPr>
        <w:spacing w:line="360" w:lineRule="auto"/>
        <w:rPr>
          <w:rFonts w:ascii="宋体" w:hAnsi="宋体"/>
          <w:lang w:eastAsia="zh-CN"/>
        </w:rPr>
      </w:pPr>
      <w:r>
        <w:rPr>
          <w:rFonts w:ascii="宋体" w:hAnsi="宋体" w:hint="eastAsia"/>
          <w:lang w:eastAsia="zh-CN"/>
        </w:rPr>
        <w:t>7.8.3 指示暂停施工</w:t>
      </w:r>
    </w:p>
    <w:p w14:paraId="11E940EB">
      <w:pPr>
        <w:spacing w:line="360" w:lineRule="auto"/>
        <w:rPr>
          <w:rFonts w:ascii="宋体" w:hAnsi="宋体"/>
          <w:lang w:eastAsia="zh-CN"/>
        </w:rPr>
      </w:pPr>
      <w:r>
        <w:rPr>
          <w:rFonts w:ascii="宋体" w:hAnsi="宋体" w:hint="eastAsia"/>
          <w:lang w:eastAsia="zh-CN"/>
        </w:rPr>
        <w:t>监理人认为有必要时，并经发包人批准后，可向承包人作出暂停施工的指示，承包人应按监理人指示暂停施工。</w:t>
      </w:r>
    </w:p>
    <w:p w14:paraId="3CB68FAF">
      <w:pPr>
        <w:spacing w:line="360" w:lineRule="auto"/>
        <w:rPr>
          <w:rFonts w:ascii="宋体" w:hAnsi="宋体"/>
          <w:lang w:eastAsia="zh-CN"/>
        </w:rPr>
      </w:pPr>
      <w:r>
        <w:rPr>
          <w:rFonts w:ascii="宋体" w:hAnsi="宋体" w:hint="eastAsia"/>
          <w:lang w:eastAsia="zh-CN"/>
        </w:rPr>
        <w:t>7.8.4 紧急情况下的暂停施工</w:t>
      </w:r>
    </w:p>
    <w:p w14:paraId="3E62A774">
      <w:pPr>
        <w:spacing w:line="360" w:lineRule="auto"/>
        <w:rPr>
          <w:rFonts w:ascii="宋体" w:hAnsi="宋体"/>
          <w:lang w:eastAsia="zh-CN"/>
        </w:rPr>
      </w:pPr>
      <w:r>
        <w:rPr>
          <w:rFonts w:ascii="宋体" w:hAnsi="宋体" w:hint="eastAsia"/>
          <w:lang w:eastAsia="zh-CN"/>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068575EB">
      <w:pPr>
        <w:spacing w:line="360" w:lineRule="auto"/>
        <w:rPr>
          <w:rFonts w:ascii="宋体" w:hAnsi="宋体"/>
          <w:lang w:eastAsia="zh-CN"/>
        </w:rPr>
      </w:pPr>
      <w:r>
        <w:rPr>
          <w:rFonts w:ascii="宋体" w:hAnsi="宋体" w:hint="eastAsia"/>
          <w:lang w:eastAsia="zh-CN"/>
        </w:rPr>
        <w:t>7.8.5 暂停施工后的复工</w:t>
      </w:r>
    </w:p>
    <w:p w14:paraId="475B115D">
      <w:pPr>
        <w:spacing w:line="360" w:lineRule="auto"/>
        <w:rPr>
          <w:rFonts w:ascii="宋体" w:hAnsi="宋体"/>
          <w:lang w:eastAsia="zh-CN"/>
        </w:rPr>
      </w:pPr>
      <w:r>
        <w:rPr>
          <w:rFonts w:ascii="宋体" w:hAnsi="宋体" w:hint="eastAsia"/>
          <w:lang w:eastAsia="zh-CN"/>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3D4D7B76">
      <w:pPr>
        <w:spacing w:line="360" w:lineRule="auto"/>
        <w:rPr>
          <w:rFonts w:ascii="宋体" w:hAnsi="宋体"/>
          <w:lang w:eastAsia="zh-CN"/>
        </w:rPr>
      </w:pPr>
      <w:r>
        <w:rPr>
          <w:rFonts w:ascii="宋体" w:hAnsi="宋体" w:hint="eastAsia"/>
          <w:lang w:eastAsia="zh-CN"/>
        </w:rPr>
        <w:t>承包人无故拖延和拒绝复工的，承包人承担由此增加的费用和（或）延误的工期；因发包人原因无法按时复工的，按照第7.5.1项〔因发包人原因导致工期延误〕约定办理。</w:t>
      </w:r>
    </w:p>
    <w:p w14:paraId="23702292">
      <w:pPr>
        <w:spacing w:line="360" w:lineRule="auto"/>
        <w:rPr>
          <w:rFonts w:ascii="宋体" w:hAnsi="宋体"/>
          <w:lang w:eastAsia="zh-CN"/>
        </w:rPr>
      </w:pPr>
      <w:r>
        <w:rPr>
          <w:rFonts w:ascii="宋体" w:hAnsi="宋体" w:hint="eastAsia"/>
          <w:lang w:eastAsia="zh-CN"/>
        </w:rPr>
        <w:t>7.8.6 暂停施工持续56天以上</w:t>
      </w:r>
    </w:p>
    <w:p w14:paraId="72F56835">
      <w:pPr>
        <w:spacing w:line="360" w:lineRule="auto"/>
        <w:rPr>
          <w:rFonts w:ascii="宋体" w:hAnsi="宋体"/>
          <w:lang w:eastAsia="zh-CN"/>
        </w:rPr>
      </w:pPr>
      <w:r>
        <w:rPr>
          <w:rFonts w:ascii="宋体" w:hAnsi="宋体" w:hint="eastAsia"/>
          <w:lang w:eastAsia="zh-CN"/>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5E3E2886">
      <w:pPr>
        <w:spacing w:line="360" w:lineRule="auto"/>
        <w:rPr>
          <w:rFonts w:ascii="宋体" w:hAnsi="宋体"/>
          <w:lang w:eastAsia="zh-CN"/>
        </w:rPr>
      </w:pPr>
      <w:r>
        <w:rPr>
          <w:rFonts w:ascii="宋体" w:hAnsi="宋体" w:hint="eastAsia"/>
          <w:lang w:eastAsia="zh-CN"/>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52F90407">
      <w:pPr>
        <w:spacing w:line="360" w:lineRule="auto"/>
        <w:rPr>
          <w:rFonts w:ascii="宋体" w:hAnsi="宋体"/>
          <w:lang w:eastAsia="zh-CN"/>
        </w:rPr>
      </w:pPr>
      <w:r>
        <w:rPr>
          <w:rFonts w:ascii="宋体" w:hAnsi="宋体" w:hint="eastAsia"/>
          <w:lang w:eastAsia="zh-CN"/>
        </w:rPr>
        <w:t>7.8.7 暂停施工期间的工程照管</w:t>
      </w:r>
    </w:p>
    <w:p w14:paraId="05576655">
      <w:pPr>
        <w:spacing w:line="360" w:lineRule="auto"/>
        <w:rPr>
          <w:rFonts w:ascii="宋体" w:hAnsi="宋体"/>
          <w:lang w:eastAsia="zh-CN"/>
        </w:rPr>
      </w:pPr>
      <w:r>
        <w:rPr>
          <w:rFonts w:ascii="宋体" w:hAnsi="宋体" w:hint="eastAsia"/>
          <w:lang w:eastAsia="zh-CN"/>
        </w:rPr>
        <w:t>暂停施工期间，承包人应负责妥善照管工程并提供安全保障，由此增加的费用由责任方承担。</w:t>
      </w:r>
    </w:p>
    <w:p w14:paraId="1CB84A29">
      <w:pPr>
        <w:spacing w:line="360" w:lineRule="auto"/>
        <w:rPr>
          <w:rFonts w:ascii="宋体" w:hAnsi="宋体"/>
          <w:lang w:eastAsia="zh-CN"/>
        </w:rPr>
      </w:pPr>
      <w:r>
        <w:rPr>
          <w:rFonts w:ascii="宋体" w:hAnsi="宋体" w:hint="eastAsia"/>
          <w:lang w:eastAsia="zh-CN"/>
        </w:rPr>
        <w:t>7.8.8 暂停施工的措施</w:t>
      </w:r>
    </w:p>
    <w:p w14:paraId="7D758158">
      <w:pPr>
        <w:spacing w:line="360" w:lineRule="auto"/>
        <w:rPr>
          <w:rFonts w:ascii="宋体" w:hAnsi="宋体"/>
          <w:lang w:eastAsia="zh-CN"/>
        </w:rPr>
      </w:pPr>
      <w:r>
        <w:rPr>
          <w:rFonts w:ascii="宋体" w:hAnsi="宋体" w:hint="eastAsia"/>
          <w:lang w:eastAsia="zh-CN"/>
        </w:rPr>
        <w:t>暂停施工期间，发包人和承包人均应采取必要的措施确保工程质量及安全，防止因暂停施工扩大损失。</w:t>
      </w:r>
    </w:p>
    <w:p w14:paraId="3C0DE03F">
      <w:pPr>
        <w:spacing w:line="360" w:lineRule="auto"/>
        <w:rPr>
          <w:rFonts w:ascii="宋体" w:hAnsi="宋体"/>
          <w:bCs/>
          <w:lang w:eastAsia="zh-CN"/>
        </w:rPr>
      </w:pPr>
      <w:r>
        <w:rPr>
          <w:rFonts w:ascii="宋体" w:hAnsi="宋体" w:hint="eastAsia"/>
          <w:bCs/>
          <w:lang w:eastAsia="zh-CN"/>
        </w:rPr>
        <w:t>7.9提前竣工</w:t>
      </w:r>
    </w:p>
    <w:p w14:paraId="15E36579">
      <w:pPr>
        <w:spacing w:line="360" w:lineRule="auto"/>
        <w:rPr>
          <w:rFonts w:ascii="宋体" w:hAnsi="宋体"/>
          <w:lang w:eastAsia="zh-CN"/>
        </w:rPr>
      </w:pPr>
      <w:r>
        <w:rPr>
          <w:rFonts w:ascii="宋体" w:hAnsi="宋体" w:hint="eastAsia"/>
          <w:lang w:eastAsia="zh-CN"/>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6B631E09">
      <w:pPr>
        <w:spacing w:line="360" w:lineRule="auto"/>
        <w:rPr>
          <w:rFonts w:ascii="宋体" w:hAnsi="宋体"/>
          <w:lang w:eastAsia="zh-CN"/>
        </w:rPr>
      </w:pPr>
      <w:r>
        <w:rPr>
          <w:rFonts w:ascii="宋体" w:hAnsi="宋体" w:hint="eastAsia"/>
          <w:lang w:eastAsia="zh-CN"/>
        </w:rPr>
        <w:t>7.9.2 发包人要求承包人提前竣工，或承包人提出提前竣工的建议能够给发包人带来效益的，合同当事人可以在专用合同条款中约定提前竣工的奖励。</w:t>
      </w:r>
    </w:p>
    <w:p w14:paraId="5B5B9AF4">
      <w:pPr>
        <w:spacing w:line="360" w:lineRule="auto"/>
        <w:rPr>
          <w:rFonts w:ascii="宋体" w:hAnsi="宋体"/>
          <w:bCs/>
          <w:lang w:eastAsia="zh-CN"/>
        </w:rPr>
      </w:pPr>
      <w:r>
        <w:rPr>
          <w:rFonts w:ascii="宋体" w:hAnsi="宋体" w:hint="eastAsia"/>
          <w:bCs/>
          <w:lang w:eastAsia="zh-CN"/>
        </w:rPr>
        <w:t>8. 材料与设备</w:t>
      </w:r>
    </w:p>
    <w:p w14:paraId="13ECE55E">
      <w:pPr>
        <w:spacing w:line="360" w:lineRule="auto"/>
        <w:rPr>
          <w:rFonts w:ascii="宋体" w:hAnsi="宋体"/>
          <w:bCs/>
          <w:lang w:eastAsia="zh-CN"/>
        </w:rPr>
      </w:pPr>
      <w:r>
        <w:rPr>
          <w:rFonts w:ascii="宋体" w:hAnsi="宋体" w:hint="eastAsia"/>
          <w:bCs/>
          <w:lang w:eastAsia="zh-CN"/>
        </w:rPr>
        <w:t>8.1发包人供应材料与工程设备</w:t>
      </w:r>
    </w:p>
    <w:p w14:paraId="3B80F531">
      <w:pPr>
        <w:spacing w:line="360" w:lineRule="auto"/>
        <w:rPr>
          <w:rFonts w:ascii="宋体" w:hAnsi="宋体"/>
          <w:lang w:eastAsia="zh-CN"/>
        </w:rPr>
      </w:pPr>
      <w:r>
        <w:rPr>
          <w:rFonts w:ascii="宋体" w:hAnsi="宋体" w:hint="eastAsia"/>
          <w:lang w:eastAsia="zh-CN"/>
        </w:rPr>
        <w:t>发包人自行供应材料、工程设备的，应在签订合同时在专用合同条款的附件《发包人供应材料设备一览表》中明确材料、工程设备的品种、规格、型号、数量、单价、质量等级和送达地点。</w:t>
      </w:r>
    </w:p>
    <w:p w14:paraId="4B5C1F30">
      <w:pPr>
        <w:spacing w:line="360" w:lineRule="auto"/>
        <w:rPr>
          <w:rFonts w:ascii="宋体" w:hAnsi="宋体"/>
          <w:lang w:eastAsia="zh-CN"/>
        </w:rPr>
      </w:pPr>
      <w:r>
        <w:rPr>
          <w:rFonts w:ascii="宋体" w:hAnsi="宋体" w:hint="eastAsia"/>
          <w:lang w:eastAsia="zh-CN"/>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514B5684">
      <w:pPr>
        <w:spacing w:line="360" w:lineRule="auto"/>
        <w:rPr>
          <w:rFonts w:ascii="宋体" w:hAnsi="宋体"/>
          <w:b/>
          <w:bCs/>
          <w:lang w:eastAsia="zh-CN"/>
        </w:rPr>
      </w:pPr>
      <w:r>
        <w:rPr>
          <w:rFonts w:ascii="宋体" w:hAnsi="宋体" w:hint="eastAsia"/>
          <w:bCs/>
          <w:lang w:eastAsia="zh-CN"/>
        </w:rPr>
        <w:t>8.2承包人采购材料与工程设备</w:t>
      </w:r>
    </w:p>
    <w:p w14:paraId="4940B039">
      <w:pPr>
        <w:spacing w:line="360" w:lineRule="auto"/>
        <w:rPr>
          <w:rFonts w:ascii="宋体" w:hAnsi="宋体"/>
          <w:lang w:eastAsia="zh-CN"/>
        </w:rPr>
      </w:pPr>
      <w:r>
        <w:rPr>
          <w:rFonts w:ascii="宋体" w:hAnsi="宋体" w:hint="eastAsia"/>
          <w:lang w:eastAsia="zh-CN"/>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75188579">
      <w:pPr>
        <w:spacing w:line="360" w:lineRule="auto"/>
        <w:rPr>
          <w:rFonts w:ascii="宋体" w:hAnsi="宋体"/>
          <w:bCs/>
          <w:lang w:eastAsia="zh-CN"/>
        </w:rPr>
      </w:pPr>
      <w:r>
        <w:rPr>
          <w:rFonts w:ascii="宋体" w:hAnsi="宋体" w:hint="eastAsia"/>
          <w:bCs/>
          <w:lang w:eastAsia="zh-CN"/>
        </w:rPr>
        <w:t>8.3材料与工程设备的接收与拒收</w:t>
      </w:r>
    </w:p>
    <w:p w14:paraId="705DA009">
      <w:pPr>
        <w:spacing w:line="360" w:lineRule="auto"/>
        <w:rPr>
          <w:rFonts w:ascii="宋体" w:hAnsi="宋体"/>
          <w:lang w:eastAsia="zh-CN"/>
        </w:rPr>
      </w:pPr>
      <w:r>
        <w:rPr>
          <w:rFonts w:ascii="宋体" w:hAnsi="宋体" w:hint="eastAsia"/>
          <w:lang w:eastAsia="zh-CN"/>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0A3F5ABA">
      <w:pPr>
        <w:spacing w:line="360" w:lineRule="auto"/>
        <w:rPr>
          <w:rFonts w:ascii="宋体" w:hAnsi="宋体"/>
          <w:lang w:eastAsia="zh-CN"/>
        </w:rPr>
      </w:pPr>
      <w:r>
        <w:rPr>
          <w:rFonts w:ascii="宋体" w:hAnsi="宋体" w:hint="eastAsia"/>
          <w:lang w:eastAsia="zh-CN"/>
        </w:rPr>
        <w:t>发包人提供的材料和工程设备的规格、数量或质量不符合合同约定的，或因发包人原因导致交货日期延误或交货地点变更等情况的，按照第16.1款〔发包人违约〕约定办理。</w:t>
      </w:r>
    </w:p>
    <w:p w14:paraId="71571558">
      <w:pPr>
        <w:spacing w:line="360" w:lineRule="auto"/>
        <w:rPr>
          <w:rFonts w:ascii="宋体" w:hAnsi="宋体"/>
          <w:lang w:eastAsia="zh-CN"/>
        </w:rPr>
      </w:pPr>
      <w:r>
        <w:rPr>
          <w:rFonts w:ascii="宋体" w:hAnsi="宋体" w:hint="eastAsia"/>
          <w:lang w:eastAsia="zh-CN"/>
        </w:rPr>
        <w:t>8.3.2 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027B7EA7">
      <w:pPr>
        <w:spacing w:line="360" w:lineRule="auto"/>
        <w:rPr>
          <w:rFonts w:ascii="宋体" w:hAnsi="宋体"/>
          <w:lang w:eastAsia="zh-CN"/>
        </w:rPr>
      </w:pPr>
      <w:r>
        <w:rPr>
          <w:rFonts w:ascii="宋体" w:hAnsi="宋体" w:hint="eastAsia"/>
          <w:lang w:eastAsia="zh-CN"/>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47D82BBE">
      <w:pPr>
        <w:spacing w:line="360" w:lineRule="auto"/>
        <w:rPr>
          <w:rFonts w:ascii="宋体" w:hAnsi="宋体"/>
          <w:bCs/>
          <w:lang w:eastAsia="zh-CN"/>
        </w:rPr>
      </w:pPr>
      <w:r>
        <w:rPr>
          <w:rFonts w:ascii="宋体" w:hAnsi="宋体" w:hint="eastAsia"/>
          <w:bCs/>
          <w:lang w:eastAsia="zh-CN"/>
        </w:rPr>
        <w:t>8.4材料与工程设备的保管与使用</w:t>
      </w:r>
    </w:p>
    <w:p w14:paraId="3E91779D">
      <w:pPr>
        <w:spacing w:line="360" w:lineRule="auto"/>
        <w:rPr>
          <w:rFonts w:ascii="宋体" w:hAnsi="宋体"/>
          <w:lang w:eastAsia="zh-CN"/>
        </w:rPr>
      </w:pPr>
      <w:r>
        <w:rPr>
          <w:rFonts w:ascii="宋体" w:hAnsi="宋体" w:hint="eastAsia"/>
          <w:lang w:eastAsia="zh-CN"/>
        </w:rPr>
        <w:t>8.4.1 发包人供应材料与工程设备的保管与使用</w:t>
      </w:r>
    </w:p>
    <w:p w14:paraId="28883311">
      <w:pPr>
        <w:spacing w:line="360" w:lineRule="auto"/>
        <w:rPr>
          <w:rFonts w:ascii="宋体" w:hAnsi="宋体"/>
          <w:lang w:eastAsia="zh-CN"/>
        </w:rPr>
      </w:pPr>
      <w:r>
        <w:rPr>
          <w:rFonts w:ascii="宋体" w:hAnsi="宋体" w:hint="eastAsia"/>
          <w:lang w:eastAsia="zh-CN"/>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3C5C8168">
      <w:pPr>
        <w:spacing w:line="360" w:lineRule="auto"/>
        <w:rPr>
          <w:rFonts w:ascii="宋体" w:hAnsi="宋体"/>
          <w:lang w:eastAsia="zh-CN"/>
        </w:rPr>
      </w:pPr>
      <w:r>
        <w:rPr>
          <w:rFonts w:ascii="宋体" w:hAnsi="宋体" w:hint="eastAsia"/>
          <w:lang w:eastAsia="zh-CN"/>
        </w:rPr>
        <w:t>发包人供应的材料和工程设备使用前，由承包人负责检验，检验费用由发包人承担，不合格的不得使用。</w:t>
      </w:r>
    </w:p>
    <w:p w14:paraId="7D76C6DF">
      <w:pPr>
        <w:spacing w:line="360" w:lineRule="auto"/>
        <w:rPr>
          <w:rFonts w:ascii="宋体" w:hAnsi="宋体"/>
          <w:lang w:eastAsia="zh-CN"/>
        </w:rPr>
      </w:pPr>
      <w:r>
        <w:rPr>
          <w:rFonts w:ascii="宋体" w:hAnsi="宋体" w:hint="eastAsia"/>
          <w:lang w:eastAsia="zh-CN"/>
        </w:rPr>
        <w:t>8.4.2 承包人采购材料与工程设备的保管与使用</w:t>
      </w:r>
    </w:p>
    <w:p w14:paraId="378CD822">
      <w:pPr>
        <w:spacing w:line="360" w:lineRule="auto"/>
        <w:rPr>
          <w:rFonts w:ascii="宋体" w:hAnsi="宋体"/>
          <w:lang w:eastAsia="zh-CN"/>
        </w:rPr>
      </w:pPr>
      <w:r>
        <w:rPr>
          <w:rFonts w:ascii="宋体" w:hAnsi="宋体" w:hint="eastAsia"/>
          <w:lang w:eastAsia="zh-CN"/>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16354250">
      <w:pPr>
        <w:spacing w:line="360" w:lineRule="auto"/>
        <w:rPr>
          <w:rFonts w:ascii="宋体" w:hAnsi="宋体"/>
          <w:lang w:eastAsia="zh-CN"/>
        </w:rPr>
      </w:pPr>
      <w:r>
        <w:rPr>
          <w:rFonts w:ascii="宋体" w:hAnsi="宋体" w:hint="eastAsia"/>
          <w:lang w:eastAsia="zh-CN"/>
        </w:rPr>
        <w:t>发包人或监理人发现承包人使用不符合设计或有关标准要求的材料和工程设备时，有权要求承包人进行修复、拆除或重新采购，由此增加的费用和（或）延误的工期，由承包人承担。</w:t>
      </w:r>
    </w:p>
    <w:p w14:paraId="7197E0AE">
      <w:pPr>
        <w:spacing w:line="360" w:lineRule="auto"/>
        <w:rPr>
          <w:rFonts w:ascii="宋体" w:hAnsi="宋体"/>
          <w:bCs/>
          <w:lang w:eastAsia="zh-CN"/>
        </w:rPr>
      </w:pPr>
      <w:r>
        <w:rPr>
          <w:rFonts w:ascii="宋体" w:hAnsi="宋体" w:hint="eastAsia"/>
          <w:bCs/>
          <w:lang w:eastAsia="zh-CN"/>
        </w:rPr>
        <w:t>8.5禁止使用不合格的材料和工程设备</w:t>
      </w:r>
    </w:p>
    <w:p w14:paraId="5B6426EF">
      <w:pPr>
        <w:spacing w:line="360" w:lineRule="auto"/>
        <w:rPr>
          <w:rFonts w:ascii="宋体" w:hAnsi="宋体"/>
          <w:lang w:eastAsia="zh-CN"/>
        </w:rPr>
      </w:pPr>
      <w:r>
        <w:rPr>
          <w:rFonts w:ascii="宋体" w:hAnsi="宋体" w:hint="eastAsia"/>
          <w:lang w:eastAsia="zh-CN"/>
        </w:rPr>
        <w:t>8.5.1 监理人有权拒绝承包人提供的不合格材料或工程设备，并要求承包人立即进行更换。监理人应在更换后再次进行检查和检验，由此增加的费用和（或）延误的工期由承包人承担。</w:t>
      </w:r>
    </w:p>
    <w:p w14:paraId="580521DC">
      <w:pPr>
        <w:spacing w:line="360" w:lineRule="auto"/>
        <w:rPr>
          <w:rFonts w:ascii="宋体" w:hAnsi="宋体"/>
          <w:lang w:eastAsia="zh-CN"/>
        </w:rPr>
      </w:pPr>
      <w:r>
        <w:rPr>
          <w:rFonts w:ascii="宋体" w:hAnsi="宋体" w:hint="eastAsia"/>
          <w:lang w:eastAsia="zh-CN"/>
        </w:rPr>
        <w:t>8.5.2 监理人发现承包人使用了不合格的材料和工程设备，承包人应按照监理人的指示立即改正，并禁止在工程中继续使用不合格的材料和工程设备。</w:t>
      </w:r>
    </w:p>
    <w:p w14:paraId="2EC81D99">
      <w:pPr>
        <w:spacing w:line="360" w:lineRule="auto"/>
        <w:rPr>
          <w:rFonts w:ascii="宋体" w:hAnsi="宋体"/>
          <w:lang w:eastAsia="zh-CN"/>
        </w:rPr>
      </w:pPr>
      <w:r>
        <w:rPr>
          <w:rFonts w:ascii="宋体" w:hAnsi="宋体" w:hint="eastAsia"/>
          <w:lang w:eastAsia="zh-CN"/>
        </w:rPr>
        <w:t>8.5.3 发包人提供的材料或工程设备不符合合同要求的，承包人有权拒绝，并可要求发包人更换，由此增加的费用和（或）延误的工期由发包人承担，并支付承包人合理的利润。</w:t>
      </w:r>
    </w:p>
    <w:p w14:paraId="31C3F060">
      <w:pPr>
        <w:spacing w:line="360" w:lineRule="auto"/>
        <w:rPr>
          <w:rFonts w:ascii="宋体" w:hAnsi="宋体"/>
          <w:bCs/>
          <w:lang w:eastAsia="zh-CN"/>
        </w:rPr>
      </w:pPr>
      <w:r>
        <w:rPr>
          <w:rFonts w:ascii="宋体" w:hAnsi="宋体" w:hint="eastAsia"/>
          <w:bCs/>
          <w:lang w:eastAsia="zh-CN"/>
        </w:rPr>
        <w:t>8.6 样品</w:t>
      </w:r>
    </w:p>
    <w:p w14:paraId="0B1AD6C3">
      <w:pPr>
        <w:spacing w:line="360" w:lineRule="auto"/>
        <w:rPr>
          <w:rFonts w:ascii="宋体" w:hAnsi="宋体"/>
          <w:lang w:eastAsia="zh-CN"/>
        </w:rPr>
      </w:pPr>
      <w:r>
        <w:rPr>
          <w:rFonts w:ascii="宋体" w:hAnsi="宋体" w:hint="eastAsia"/>
          <w:lang w:eastAsia="zh-CN"/>
        </w:rPr>
        <w:t>8.6.1</w:t>
      </w:r>
      <w:r>
        <w:rPr>
          <w:rFonts w:ascii="宋体" w:hAnsi="宋体" w:hint="eastAsia"/>
          <w:lang w:eastAsia="zh-CN"/>
        </w:rPr>
        <w:tab/>
      </w:r>
      <w:r>
        <w:rPr>
          <w:rFonts w:ascii="宋体" w:hAnsi="宋体" w:hint="eastAsia"/>
          <w:lang w:eastAsia="zh-CN"/>
        </w:rPr>
        <w:t>样品的报送与封存</w:t>
      </w:r>
    </w:p>
    <w:p w14:paraId="5AC4A193">
      <w:pPr>
        <w:spacing w:line="360" w:lineRule="auto"/>
        <w:rPr>
          <w:rFonts w:ascii="宋体" w:hAnsi="宋体"/>
          <w:lang w:eastAsia="zh-CN"/>
        </w:rPr>
      </w:pPr>
      <w:r>
        <w:rPr>
          <w:rFonts w:ascii="宋体" w:hAnsi="宋体" w:hint="eastAsia"/>
          <w:lang w:eastAsia="zh-CN"/>
        </w:rPr>
        <w:t>需要承包人报送样品的材料或工程设备，样品的种类、名称、规格、数量等要求均应在专用合同条款中约定。样品的报送程序如下：</w:t>
      </w:r>
    </w:p>
    <w:p w14:paraId="73E8FB8D">
      <w:pPr>
        <w:spacing w:line="360" w:lineRule="auto"/>
        <w:rPr>
          <w:rFonts w:ascii="宋体" w:hAnsi="宋体"/>
          <w:lang w:eastAsia="zh-CN"/>
        </w:rPr>
      </w:pPr>
      <w:r>
        <w:rPr>
          <w:rFonts w:ascii="宋体" w:hAnsi="宋体" w:hint="eastAsia"/>
          <w:lang w:eastAsia="zh-CN"/>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4C7F944D">
      <w:pPr>
        <w:spacing w:line="360" w:lineRule="auto"/>
        <w:rPr>
          <w:rFonts w:ascii="宋体" w:hAnsi="宋体"/>
          <w:lang w:eastAsia="zh-CN"/>
        </w:rPr>
      </w:pPr>
      <w:r>
        <w:rPr>
          <w:rFonts w:ascii="宋体" w:hAnsi="宋体" w:hint="eastAsia"/>
          <w:lang w:eastAsia="zh-CN"/>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27B17FD3">
      <w:pPr>
        <w:spacing w:line="360" w:lineRule="auto"/>
        <w:rPr>
          <w:rFonts w:ascii="宋体" w:hAnsi="宋体"/>
          <w:lang w:eastAsia="zh-CN"/>
        </w:rPr>
      </w:pPr>
      <w:r>
        <w:rPr>
          <w:rFonts w:ascii="宋体" w:hAnsi="宋体" w:hint="eastAsia"/>
          <w:lang w:eastAsia="zh-CN"/>
        </w:rPr>
        <w:t>（3）经发包人和监理人审批确认的样品应按约定的方法封样，封存的样品作为检验工程相关部分的标准之一。承包人在施工过程中不得使用与样品不符的材料或工程设备。</w:t>
      </w:r>
    </w:p>
    <w:p w14:paraId="7532A647">
      <w:pPr>
        <w:spacing w:line="360" w:lineRule="auto"/>
        <w:rPr>
          <w:rFonts w:ascii="宋体" w:hAnsi="宋体"/>
          <w:lang w:eastAsia="zh-CN"/>
        </w:rPr>
      </w:pPr>
      <w:r>
        <w:rPr>
          <w:rFonts w:ascii="宋体" w:hAnsi="宋体" w:hint="eastAsia"/>
          <w:lang w:eastAsia="zh-CN"/>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386D9BC0">
      <w:pPr>
        <w:spacing w:line="360" w:lineRule="auto"/>
        <w:rPr>
          <w:rFonts w:ascii="宋体" w:hAnsi="宋体"/>
          <w:lang w:eastAsia="zh-CN"/>
        </w:rPr>
      </w:pPr>
      <w:r>
        <w:rPr>
          <w:rFonts w:ascii="宋体" w:hAnsi="宋体" w:hint="eastAsia"/>
          <w:lang w:eastAsia="zh-CN"/>
        </w:rPr>
        <w:t>8.6.2 样品的保管</w:t>
      </w:r>
    </w:p>
    <w:p w14:paraId="5B8A5C50">
      <w:pPr>
        <w:spacing w:line="360" w:lineRule="auto"/>
        <w:rPr>
          <w:rFonts w:ascii="宋体" w:hAnsi="宋体"/>
          <w:lang w:eastAsia="zh-CN"/>
        </w:rPr>
      </w:pPr>
      <w:r>
        <w:rPr>
          <w:rFonts w:ascii="宋体" w:hAnsi="宋体" w:hint="eastAsia"/>
          <w:lang w:eastAsia="zh-CN"/>
        </w:rPr>
        <w:t>经批准的样品应由监理人负责封存于现场，承包人应在现场为保存样品提供适当和固定的场所并保持适当和良好的存储环境条件。</w:t>
      </w:r>
    </w:p>
    <w:p w14:paraId="39C6F398">
      <w:pPr>
        <w:spacing w:line="360" w:lineRule="auto"/>
        <w:rPr>
          <w:rFonts w:ascii="宋体" w:hAnsi="宋体"/>
          <w:bCs/>
          <w:lang w:eastAsia="zh-CN"/>
        </w:rPr>
      </w:pPr>
      <w:r>
        <w:rPr>
          <w:rFonts w:ascii="宋体" w:hAnsi="宋体" w:hint="eastAsia"/>
          <w:bCs/>
          <w:lang w:eastAsia="zh-CN"/>
        </w:rPr>
        <w:t>8.7材料与工程设备的替代</w:t>
      </w:r>
    </w:p>
    <w:p w14:paraId="33A07E9A">
      <w:pPr>
        <w:spacing w:line="360" w:lineRule="auto"/>
        <w:rPr>
          <w:rFonts w:ascii="宋体" w:hAnsi="宋体"/>
          <w:lang w:eastAsia="zh-CN"/>
        </w:rPr>
      </w:pPr>
      <w:r>
        <w:rPr>
          <w:rFonts w:ascii="宋体" w:hAnsi="宋体" w:hint="eastAsia"/>
          <w:lang w:eastAsia="zh-CN"/>
        </w:rPr>
        <w:t>8.7.1 出现下列情况需要使用替代材料和工程设备的，承包人应按照第8.7.2项约定的程序执行：</w:t>
      </w:r>
    </w:p>
    <w:p w14:paraId="04775A2D">
      <w:pPr>
        <w:spacing w:line="360" w:lineRule="auto"/>
        <w:rPr>
          <w:rFonts w:ascii="宋体" w:hAnsi="宋体"/>
          <w:lang w:eastAsia="zh-CN"/>
        </w:rPr>
      </w:pPr>
      <w:r>
        <w:rPr>
          <w:rFonts w:ascii="宋体" w:hAnsi="宋体" w:hint="eastAsia"/>
          <w:lang w:eastAsia="zh-CN"/>
        </w:rPr>
        <w:t>（1）基准日期后生效的法律规定禁止使用的；</w:t>
      </w:r>
    </w:p>
    <w:p w14:paraId="02953F9F">
      <w:pPr>
        <w:spacing w:line="360" w:lineRule="auto"/>
        <w:rPr>
          <w:rFonts w:ascii="宋体" w:hAnsi="宋体"/>
          <w:lang w:eastAsia="zh-CN"/>
        </w:rPr>
      </w:pPr>
      <w:r>
        <w:rPr>
          <w:rFonts w:ascii="宋体" w:hAnsi="宋体" w:hint="eastAsia"/>
          <w:lang w:eastAsia="zh-CN"/>
        </w:rPr>
        <w:t>（2）发包人要求使用替代品的；</w:t>
      </w:r>
    </w:p>
    <w:p w14:paraId="5C6192B9">
      <w:pPr>
        <w:spacing w:line="360" w:lineRule="auto"/>
        <w:rPr>
          <w:rFonts w:ascii="宋体" w:hAnsi="宋体"/>
          <w:lang w:eastAsia="zh-CN"/>
        </w:rPr>
      </w:pPr>
      <w:r>
        <w:rPr>
          <w:rFonts w:ascii="宋体" w:hAnsi="宋体" w:hint="eastAsia"/>
          <w:lang w:eastAsia="zh-CN"/>
        </w:rPr>
        <w:t>（3）因其他原因必须使用替代品的。</w:t>
      </w:r>
    </w:p>
    <w:p w14:paraId="4A8ED092">
      <w:pPr>
        <w:spacing w:line="360" w:lineRule="auto"/>
        <w:rPr>
          <w:rFonts w:ascii="宋体" w:hAnsi="宋体"/>
          <w:lang w:eastAsia="zh-CN"/>
        </w:rPr>
      </w:pPr>
      <w:r>
        <w:rPr>
          <w:rFonts w:ascii="宋体" w:hAnsi="宋体" w:hint="eastAsia"/>
          <w:lang w:eastAsia="zh-CN"/>
        </w:rPr>
        <w:t>8.7.2 承包人应在使用替代材料和工程设备28天前书面通知监理人，并附下列文件：</w:t>
      </w:r>
    </w:p>
    <w:p w14:paraId="116C04F7">
      <w:pPr>
        <w:spacing w:line="360" w:lineRule="auto"/>
        <w:rPr>
          <w:rFonts w:ascii="宋体" w:hAnsi="宋体"/>
          <w:lang w:eastAsia="zh-CN"/>
        </w:rPr>
      </w:pPr>
      <w:r>
        <w:rPr>
          <w:rFonts w:ascii="宋体" w:hAnsi="宋体" w:hint="eastAsia"/>
          <w:lang w:eastAsia="zh-CN"/>
        </w:rPr>
        <w:t>（1）被替代的材料和工程设备的名称、数量、规格、型号、品牌、性能、价格及其他相关资料；</w:t>
      </w:r>
    </w:p>
    <w:p w14:paraId="3E6A157D">
      <w:pPr>
        <w:spacing w:line="360" w:lineRule="auto"/>
        <w:rPr>
          <w:rFonts w:ascii="宋体" w:hAnsi="宋体"/>
          <w:lang w:eastAsia="zh-CN"/>
        </w:rPr>
      </w:pPr>
      <w:r>
        <w:rPr>
          <w:rFonts w:ascii="宋体" w:hAnsi="宋体" w:hint="eastAsia"/>
          <w:lang w:eastAsia="zh-CN"/>
        </w:rPr>
        <w:t>（2）替代品的名称、数量、规格、型号、品牌、性能、价格及其他相关资料；</w:t>
      </w:r>
    </w:p>
    <w:p w14:paraId="4AEA6681">
      <w:pPr>
        <w:spacing w:line="360" w:lineRule="auto"/>
        <w:rPr>
          <w:rFonts w:ascii="宋体" w:hAnsi="宋体"/>
          <w:lang w:eastAsia="zh-CN"/>
        </w:rPr>
      </w:pPr>
      <w:r>
        <w:rPr>
          <w:rFonts w:ascii="宋体" w:hAnsi="宋体" w:hint="eastAsia"/>
          <w:lang w:eastAsia="zh-CN"/>
        </w:rPr>
        <w:t>（3）替代品与被替代产品之间的差异以及使用替代品可能对工程产生的影响；</w:t>
      </w:r>
    </w:p>
    <w:p w14:paraId="7B2D3546">
      <w:pPr>
        <w:spacing w:line="360" w:lineRule="auto"/>
        <w:rPr>
          <w:rFonts w:ascii="宋体" w:hAnsi="宋体"/>
          <w:lang w:eastAsia="zh-CN"/>
        </w:rPr>
      </w:pPr>
      <w:r>
        <w:rPr>
          <w:rFonts w:ascii="宋体" w:hAnsi="宋体" w:hint="eastAsia"/>
          <w:lang w:eastAsia="zh-CN"/>
        </w:rPr>
        <w:t>（4）替代品与被替代产品的价格差异；</w:t>
      </w:r>
    </w:p>
    <w:p w14:paraId="4B02ED89">
      <w:pPr>
        <w:spacing w:line="360" w:lineRule="auto"/>
        <w:rPr>
          <w:rFonts w:ascii="宋体" w:hAnsi="宋体"/>
          <w:lang w:eastAsia="zh-CN"/>
        </w:rPr>
      </w:pPr>
      <w:r>
        <w:rPr>
          <w:rFonts w:ascii="宋体" w:hAnsi="宋体" w:hint="eastAsia"/>
          <w:lang w:eastAsia="zh-CN"/>
        </w:rPr>
        <w:t>（5）使用替代品的理由和原因说明；</w:t>
      </w:r>
    </w:p>
    <w:p w14:paraId="5B934BA8">
      <w:pPr>
        <w:spacing w:line="360" w:lineRule="auto"/>
        <w:rPr>
          <w:rFonts w:ascii="宋体" w:hAnsi="宋体"/>
          <w:lang w:eastAsia="zh-CN"/>
        </w:rPr>
      </w:pPr>
      <w:r>
        <w:rPr>
          <w:rFonts w:ascii="宋体" w:hAnsi="宋体" w:hint="eastAsia"/>
          <w:lang w:eastAsia="zh-CN"/>
        </w:rPr>
        <w:t>（6）监理人要求的其他文件。</w:t>
      </w:r>
    </w:p>
    <w:p w14:paraId="2B081611">
      <w:pPr>
        <w:spacing w:line="360" w:lineRule="auto"/>
        <w:rPr>
          <w:rFonts w:ascii="宋体" w:hAnsi="宋体"/>
          <w:lang w:eastAsia="zh-CN"/>
        </w:rPr>
      </w:pPr>
      <w:r>
        <w:rPr>
          <w:rFonts w:ascii="宋体" w:hAnsi="宋体" w:hint="eastAsia"/>
          <w:lang w:eastAsia="zh-CN"/>
        </w:rPr>
        <w:t>监理人应在收到通知后14天内向承包人发出经发包人签认的书面指示；监理人逾期发出书面指示的，视为发包人和监理人同意使用替代品。</w:t>
      </w:r>
    </w:p>
    <w:p w14:paraId="00AF2A35">
      <w:pPr>
        <w:spacing w:line="360" w:lineRule="auto"/>
        <w:rPr>
          <w:rFonts w:ascii="宋体" w:hAnsi="宋体"/>
          <w:lang w:eastAsia="zh-CN"/>
        </w:rPr>
      </w:pPr>
      <w:r>
        <w:rPr>
          <w:rFonts w:ascii="宋体" w:hAnsi="宋体" w:hint="eastAsia"/>
          <w:lang w:eastAsia="zh-CN"/>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4EDCA12A">
      <w:pPr>
        <w:spacing w:line="360" w:lineRule="auto"/>
        <w:rPr>
          <w:rFonts w:ascii="宋体" w:hAnsi="宋体"/>
          <w:bCs/>
          <w:lang w:eastAsia="zh-CN"/>
        </w:rPr>
      </w:pPr>
      <w:r>
        <w:rPr>
          <w:rFonts w:ascii="宋体" w:hAnsi="宋体" w:hint="eastAsia"/>
          <w:bCs/>
          <w:lang w:eastAsia="zh-CN"/>
        </w:rPr>
        <w:t>8.8施工设备和临时设施</w:t>
      </w:r>
    </w:p>
    <w:p w14:paraId="432265C5">
      <w:pPr>
        <w:spacing w:line="360" w:lineRule="auto"/>
        <w:rPr>
          <w:rFonts w:ascii="宋体" w:hAnsi="宋体"/>
          <w:lang w:eastAsia="zh-CN"/>
        </w:rPr>
      </w:pPr>
      <w:r>
        <w:rPr>
          <w:rFonts w:ascii="宋体" w:hAnsi="宋体" w:hint="eastAsia"/>
          <w:lang w:eastAsia="zh-CN"/>
        </w:rPr>
        <w:t>8.8.1 承包人提供的施工设备和临时设施</w:t>
      </w:r>
    </w:p>
    <w:p w14:paraId="1AEFB824">
      <w:pPr>
        <w:spacing w:line="360" w:lineRule="auto"/>
        <w:rPr>
          <w:rFonts w:ascii="宋体" w:hAnsi="宋体"/>
          <w:lang w:eastAsia="zh-CN"/>
        </w:rPr>
      </w:pPr>
      <w:r>
        <w:rPr>
          <w:rFonts w:ascii="宋体" w:hAnsi="宋体" w:hint="eastAsia"/>
          <w:lang w:eastAsia="zh-CN"/>
        </w:rPr>
        <w:t>承包人应按合同进度计划的要求，及时配置施工设备和修建临时设施。进入施工场地的承包人设备需经监理人核查后才能投入使用。承包人更换合同约定的承包人设备的，应报监理人批准。</w:t>
      </w:r>
    </w:p>
    <w:p w14:paraId="7455FA1A">
      <w:pPr>
        <w:spacing w:line="360" w:lineRule="auto"/>
        <w:rPr>
          <w:rFonts w:ascii="宋体" w:hAnsi="宋体"/>
          <w:lang w:eastAsia="zh-CN"/>
        </w:rPr>
      </w:pPr>
      <w:r>
        <w:rPr>
          <w:rFonts w:ascii="宋体" w:hAnsi="宋体" w:hint="eastAsia"/>
          <w:lang w:eastAsia="zh-CN"/>
        </w:rPr>
        <w:t>除专用合同条款另有约定外，承包人应自行承担修建临时设施的费用，需要临时占地的，应由发包人办理申请手续并承担相应费用。</w:t>
      </w:r>
    </w:p>
    <w:p w14:paraId="55B7EE46">
      <w:pPr>
        <w:spacing w:line="360" w:lineRule="auto"/>
        <w:rPr>
          <w:rFonts w:ascii="宋体" w:hAnsi="宋体"/>
          <w:lang w:eastAsia="zh-CN"/>
        </w:rPr>
      </w:pPr>
      <w:r>
        <w:rPr>
          <w:rFonts w:ascii="宋体" w:hAnsi="宋体" w:hint="eastAsia"/>
          <w:lang w:eastAsia="zh-CN"/>
        </w:rPr>
        <w:t>8.8.2发包人提供的施工设备和临时设施</w:t>
      </w:r>
    </w:p>
    <w:p w14:paraId="00B8EB3A">
      <w:pPr>
        <w:spacing w:line="360" w:lineRule="auto"/>
        <w:rPr>
          <w:rFonts w:ascii="宋体" w:hAnsi="宋体"/>
          <w:lang w:eastAsia="zh-CN"/>
        </w:rPr>
      </w:pPr>
      <w:r>
        <w:rPr>
          <w:rFonts w:ascii="宋体" w:hAnsi="宋体" w:hint="eastAsia"/>
          <w:lang w:eastAsia="zh-CN"/>
        </w:rPr>
        <w:t>发包人提供的施工设备或临时设施在专用合同条款中约定。</w:t>
      </w:r>
    </w:p>
    <w:p w14:paraId="5790358F">
      <w:pPr>
        <w:spacing w:line="360" w:lineRule="auto"/>
        <w:rPr>
          <w:rFonts w:ascii="宋体" w:hAnsi="宋体"/>
          <w:lang w:eastAsia="zh-CN"/>
        </w:rPr>
      </w:pPr>
      <w:r>
        <w:rPr>
          <w:rFonts w:ascii="宋体" w:hAnsi="宋体" w:hint="eastAsia"/>
          <w:lang w:eastAsia="zh-CN"/>
        </w:rPr>
        <w:t>8.8.3要求承包人增加或更换施工设备</w:t>
      </w:r>
    </w:p>
    <w:p w14:paraId="173EC894">
      <w:pPr>
        <w:spacing w:line="360" w:lineRule="auto"/>
        <w:rPr>
          <w:rFonts w:ascii="宋体" w:hAnsi="宋体"/>
          <w:lang w:eastAsia="zh-CN"/>
        </w:rPr>
      </w:pPr>
      <w:r>
        <w:rPr>
          <w:rFonts w:ascii="宋体" w:hAnsi="宋体" w:hint="eastAsia"/>
          <w:lang w:eastAsia="zh-CN"/>
        </w:rPr>
        <w:t>承包人使用的施工设备不能满足合同进度计划和（或）质量要求时，监理人有权要求承包人增加或更换施工设备，承包人应及时增加或更换，由此增加的费用和（或）延误的工期由承包人承担。</w:t>
      </w:r>
    </w:p>
    <w:p w14:paraId="4841CDBF">
      <w:pPr>
        <w:spacing w:line="360" w:lineRule="auto"/>
        <w:rPr>
          <w:rFonts w:ascii="宋体" w:hAnsi="宋体"/>
          <w:bCs/>
          <w:lang w:eastAsia="zh-CN"/>
        </w:rPr>
      </w:pPr>
      <w:r>
        <w:rPr>
          <w:rFonts w:ascii="宋体" w:hAnsi="宋体" w:hint="eastAsia"/>
          <w:bCs/>
          <w:lang w:eastAsia="zh-CN"/>
        </w:rPr>
        <w:t>8.9材料与设备专用要求</w:t>
      </w:r>
    </w:p>
    <w:p w14:paraId="3E3AB3EA">
      <w:pPr>
        <w:spacing w:line="360" w:lineRule="auto"/>
        <w:rPr>
          <w:rFonts w:ascii="宋体" w:hAnsi="宋体"/>
          <w:lang w:eastAsia="zh-CN"/>
        </w:rPr>
      </w:pPr>
      <w:r>
        <w:rPr>
          <w:rFonts w:ascii="宋体" w:hAnsi="宋体" w:hint="eastAsia"/>
          <w:lang w:eastAsia="zh-CN"/>
        </w:rPr>
        <w:t>承包人运入施工现场的材料、工程设备、施工设备以及在施工场地建设的临时设施，包括备品备件、安装工具与资料，必须专用于工程。未经发包人批准，承包人不得运出施工现场或挪作他用；经发包人批准，承包人可以根据施工进度计划撤走闲置的施工设备和其他物品。</w:t>
      </w:r>
    </w:p>
    <w:p w14:paraId="243089A9">
      <w:pPr>
        <w:spacing w:line="360" w:lineRule="auto"/>
        <w:rPr>
          <w:rFonts w:ascii="宋体" w:hAnsi="宋体"/>
          <w:bCs/>
          <w:lang w:eastAsia="zh-CN"/>
        </w:rPr>
      </w:pPr>
      <w:r>
        <w:rPr>
          <w:rFonts w:ascii="宋体" w:hAnsi="宋体" w:hint="eastAsia"/>
          <w:bCs/>
          <w:lang w:eastAsia="zh-CN"/>
        </w:rPr>
        <w:t>9. 试验与检验</w:t>
      </w:r>
    </w:p>
    <w:p w14:paraId="555C00A8">
      <w:pPr>
        <w:spacing w:line="360" w:lineRule="auto"/>
        <w:rPr>
          <w:rFonts w:ascii="宋体" w:hAnsi="宋体"/>
          <w:bCs/>
          <w:lang w:eastAsia="zh-CN"/>
        </w:rPr>
      </w:pPr>
      <w:r>
        <w:rPr>
          <w:rFonts w:ascii="宋体" w:hAnsi="宋体" w:hint="eastAsia"/>
          <w:bCs/>
          <w:lang w:eastAsia="zh-CN"/>
        </w:rPr>
        <w:t>9.1试验设备与试验人员</w:t>
      </w:r>
    </w:p>
    <w:p w14:paraId="3AB7F85A">
      <w:pPr>
        <w:spacing w:line="360" w:lineRule="auto"/>
        <w:rPr>
          <w:rFonts w:ascii="宋体" w:hAnsi="宋体"/>
          <w:lang w:eastAsia="zh-CN"/>
        </w:rPr>
      </w:pPr>
      <w:r>
        <w:rPr>
          <w:rFonts w:ascii="宋体" w:hAnsi="宋体" w:hint="eastAsia"/>
          <w:lang w:eastAsia="zh-CN"/>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557C3784">
      <w:pPr>
        <w:spacing w:line="360" w:lineRule="auto"/>
        <w:rPr>
          <w:rFonts w:ascii="宋体" w:hAnsi="宋体"/>
          <w:lang w:eastAsia="zh-CN"/>
        </w:rPr>
      </w:pPr>
      <w:r>
        <w:rPr>
          <w:rFonts w:ascii="宋体" w:hAnsi="宋体" w:hint="eastAsia"/>
          <w:lang w:eastAsia="zh-CN"/>
        </w:rPr>
        <w:t>9.1.2 承包人应按专用合同条款的约定提供试验设备、取样装置、试验场所和试验条件，并向监理人提交相应进场计划表。</w:t>
      </w:r>
    </w:p>
    <w:p w14:paraId="39981AA1">
      <w:pPr>
        <w:spacing w:line="360" w:lineRule="auto"/>
        <w:rPr>
          <w:rFonts w:ascii="宋体" w:hAnsi="宋体"/>
          <w:lang w:eastAsia="zh-CN"/>
        </w:rPr>
      </w:pPr>
      <w:r>
        <w:rPr>
          <w:rFonts w:ascii="宋体" w:hAnsi="宋体" w:hint="eastAsia"/>
          <w:lang w:eastAsia="zh-CN"/>
        </w:rPr>
        <w:t>承包人配置的试验设备要符合相应试验规程的要求并经过具有资质的检测单位检测，且在正式使用该试验设备前，需要经过监理人与承包人共同校定。</w:t>
      </w:r>
    </w:p>
    <w:p w14:paraId="395578E7">
      <w:pPr>
        <w:spacing w:line="360" w:lineRule="auto"/>
        <w:rPr>
          <w:rFonts w:ascii="宋体" w:hAnsi="宋体"/>
          <w:lang w:eastAsia="zh-CN"/>
        </w:rPr>
      </w:pPr>
      <w:r>
        <w:rPr>
          <w:rFonts w:ascii="宋体" w:hAnsi="宋体" w:hint="eastAsia"/>
          <w:lang w:eastAsia="zh-CN"/>
        </w:rPr>
        <w:t>9.1.3 承包人应向监理人提交试验人员的名单及其岗位、资格等证明资料，试验人员必须能够熟练进行相应的检测试验，承包人对试验人员的试验程序和试验结果的正确性负责。</w:t>
      </w:r>
    </w:p>
    <w:p w14:paraId="458FA233">
      <w:pPr>
        <w:spacing w:line="360" w:lineRule="auto"/>
        <w:rPr>
          <w:rFonts w:ascii="宋体" w:hAnsi="宋体"/>
          <w:bCs/>
          <w:lang w:eastAsia="zh-CN"/>
        </w:rPr>
      </w:pPr>
      <w:r>
        <w:rPr>
          <w:rFonts w:ascii="宋体" w:hAnsi="宋体" w:hint="eastAsia"/>
          <w:bCs/>
          <w:lang w:eastAsia="zh-CN"/>
        </w:rPr>
        <w:t>9.2取样</w:t>
      </w:r>
    </w:p>
    <w:p w14:paraId="037424B7">
      <w:pPr>
        <w:spacing w:line="360" w:lineRule="auto"/>
        <w:rPr>
          <w:rFonts w:ascii="宋体" w:hAnsi="宋体"/>
          <w:lang w:eastAsia="zh-CN"/>
        </w:rPr>
      </w:pPr>
      <w:r>
        <w:rPr>
          <w:rFonts w:ascii="宋体" w:hAnsi="宋体" w:hint="eastAsia"/>
          <w:lang w:eastAsia="zh-CN"/>
        </w:rPr>
        <w:t>试验属于自检性质的，承包人可以单独取样。试验属于监理人抽检性质的，可由监理人取样，也可由承包人的试验人员在监理人的监督下取样。</w:t>
      </w:r>
    </w:p>
    <w:p w14:paraId="4748244A">
      <w:pPr>
        <w:spacing w:line="360" w:lineRule="auto"/>
        <w:rPr>
          <w:rFonts w:ascii="宋体" w:hAnsi="宋体"/>
          <w:bCs/>
          <w:lang w:eastAsia="zh-CN"/>
        </w:rPr>
      </w:pPr>
      <w:r>
        <w:rPr>
          <w:rFonts w:ascii="宋体" w:hAnsi="宋体" w:hint="eastAsia"/>
          <w:bCs/>
          <w:lang w:eastAsia="zh-CN"/>
        </w:rPr>
        <w:t>9.3材料、工程设备和工程的试验和检验</w:t>
      </w:r>
    </w:p>
    <w:p w14:paraId="00BCCC87">
      <w:pPr>
        <w:spacing w:line="360" w:lineRule="auto"/>
        <w:rPr>
          <w:rFonts w:ascii="宋体" w:hAnsi="宋体"/>
          <w:lang w:eastAsia="zh-CN"/>
        </w:rPr>
      </w:pPr>
      <w:r>
        <w:rPr>
          <w:rFonts w:ascii="宋体" w:hAnsi="宋体" w:hint="eastAsia"/>
          <w:lang w:eastAsia="zh-CN"/>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0E3EDCFD">
      <w:pPr>
        <w:spacing w:line="360" w:lineRule="auto"/>
        <w:rPr>
          <w:rFonts w:ascii="宋体" w:hAnsi="宋体"/>
          <w:lang w:eastAsia="zh-CN"/>
        </w:rPr>
      </w:pPr>
      <w:r>
        <w:rPr>
          <w:rFonts w:ascii="宋体" w:hAnsi="宋体" w:hint="eastAsia"/>
          <w:lang w:eastAsia="zh-CN"/>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1A5E22B5">
      <w:pPr>
        <w:spacing w:line="360" w:lineRule="auto"/>
        <w:rPr>
          <w:rFonts w:ascii="宋体" w:hAnsi="宋体"/>
          <w:lang w:eastAsia="zh-CN"/>
        </w:rPr>
      </w:pPr>
      <w:r>
        <w:rPr>
          <w:rFonts w:ascii="宋体" w:hAnsi="宋体" w:hint="eastAsia"/>
          <w:lang w:eastAsia="zh-CN"/>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771BEB0C">
      <w:pPr>
        <w:spacing w:line="360" w:lineRule="auto"/>
        <w:rPr>
          <w:rFonts w:ascii="宋体" w:hAnsi="宋体"/>
          <w:bCs/>
          <w:lang w:eastAsia="zh-CN"/>
        </w:rPr>
      </w:pPr>
      <w:r>
        <w:rPr>
          <w:rFonts w:ascii="宋体" w:hAnsi="宋体" w:hint="eastAsia"/>
          <w:bCs/>
          <w:lang w:eastAsia="zh-CN"/>
        </w:rPr>
        <w:t>9.4现场工艺试验</w:t>
      </w:r>
    </w:p>
    <w:p w14:paraId="79F55369">
      <w:pPr>
        <w:spacing w:line="360" w:lineRule="auto"/>
        <w:rPr>
          <w:rFonts w:ascii="宋体" w:hAnsi="宋体"/>
          <w:lang w:eastAsia="zh-CN"/>
        </w:rPr>
      </w:pPr>
      <w:r>
        <w:rPr>
          <w:rFonts w:ascii="宋体" w:hAnsi="宋体" w:hint="eastAsia"/>
          <w:lang w:eastAsia="zh-CN"/>
        </w:rPr>
        <w:t>承包人应按合同约定或监理人指示进行现场工艺试验。对大型的现场工艺试验，监理人认为必要时，承包人应根据监理人提出的工艺试验要求，编制工艺试验措施计划，报送监理人审查。</w:t>
      </w:r>
    </w:p>
    <w:p w14:paraId="67C88409">
      <w:pPr>
        <w:spacing w:line="360" w:lineRule="auto"/>
        <w:rPr>
          <w:rFonts w:ascii="宋体" w:hAnsi="宋体"/>
          <w:bCs/>
          <w:lang w:eastAsia="zh-CN"/>
        </w:rPr>
      </w:pPr>
      <w:r>
        <w:rPr>
          <w:rFonts w:ascii="宋体" w:hAnsi="宋体" w:hint="eastAsia"/>
          <w:bCs/>
          <w:lang w:eastAsia="zh-CN"/>
        </w:rPr>
        <w:t>10. 变更</w:t>
      </w:r>
    </w:p>
    <w:p w14:paraId="02D6C267">
      <w:pPr>
        <w:spacing w:line="360" w:lineRule="auto"/>
        <w:rPr>
          <w:rFonts w:ascii="宋体" w:hAnsi="宋体"/>
          <w:bCs/>
          <w:lang w:eastAsia="zh-CN"/>
        </w:rPr>
      </w:pPr>
      <w:r>
        <w:rPr>
          <w:rFonts w:ascii="宋体" w:hAnsi="宋体" w:hint="eastAsia"/>
          <w:bCs/>
          <w:lang w:eastAsia="zh-CN"/>
        </w:rPr>
        <w:t>10.1变更的范围</w:t>
      </w:r>
    </w:p>
    <w:p w14:paraId="204C7E42">
      <w:pPr>
        <w:spacing w:line="360" w:lineRule="auto"/>
        <w:rPr>
          <w:rFonts w:ascii="宋体" w:hAnsi="宋体"/>
          <w:lang w:eastAsia="zh-CN"/>
        </w:rPr>
      </w:pPr>
      <w:r>
        <w:rPr>
          <w:rFonts w:ascii="宋体" w:hAnsi="宋体" w:hint="eastAsia"/>
          <w:lang w:eastAsia="zh-CN"/>
        </w:rPr>
        <w:t>除专用合同条款另有约定外，合同履行过程中发生以下情形的，应按照本条约定进行变更：</w:t>
      </w:r>
    </w:p>
    <w:p w14:paraId="0B00C296">
      <w:pPr>
        <w:spacing w:line="360" w:lineRule="auto"/>
        <w:rPr>
          <w:rFonts w:ascii="宋体" w:hAnsi="宋体"/>
          <w:lang w:eastAsia="zh-CN"/>
        </w:rPr>
      </w:pPr>
      <w:r>
        <w:rPr>
          <w:rFonts w:ascii="宋体" w:hAnsi="宋体" w:hint="eastAsia"/>
          <w:lang w:eastAsia="zh-CN"/>
        </w:rPr>
        <w:t>（1）增加或减少合同中任何工作，或追加额外的工作；</w:t>
      </w:r>
    </w:p>
    <w:p w14:paraId="41651DAF">
      <w:pPr>
        <w:spacing w:line="360" w:lineRule="auto"/>
        <w:rPr>
          <w:rFonts w:ascii="宋体" w:hAnsi="宋体"/>
          <w:lang w:eastAsia="zh-CN"/>
        </w:rPr>
      </w:pPr>
      <w:r>
        <w:rPr>
          <w:rFonts w:ascii="宋体" w:hAnsi="宋体" w:hint="eastAsia"/>
          <w:lang w:eastAsia="zh-CN"/>
        </w:rPr>
        <w:t>（2）取消合同中任何工作，但转由他人实施的工作除外；</w:t>
      </w:r>
    </w:p>
    <w:p w14:paraId="7852B802">
      <w:pPr>
        <w:spacing w:line="360" w:lineRule="auto"/>
        <w:rPr>
          <w:rFonts w:ascii="宋体" w:hAnsi="宋体"/>
          <w:lang w:eastAsia="zh-CN"/>
        </w:rPr>
      </w:pPr>
      <w:r>
        <w:rPr>
          <w:rFonts w:ascii="宋体" w:hAnsi="宋体" w:hint="eastAsia"/>
          <w:lang w:eastAsia="zh-CN"/>
        </w:rPr>
        <w:t>（3）改变合同中任何工作的质量标准或其他特性；</w:t>
      </w:r>
    </w:p>
    <w:p w14:paraId="01709C37">
      <w:pPr>
        <w:spacing w:line="360" w:lineRule="auto"/>
        <w:rPr>
          <w:rFonts w:ascii="宋体" w:hAnsi="宋体"/>
          <w:lang w:eastAsia="zh-CN"/>
        </w:rPr>
      </w:pPr>
      <w:r>
        <w:rPr>
          <w:rFonts w:ascii="宋体" w:hAnsi="宋体" w:hint="eastAsia"/>
          <w:lang w:eastAsia="zh-CN"/>
        </w:rPr>
        <w:t>（4）改变工程的基线、标高、位置和尺寸；</w:t>
      </w:r>
    </w:p>
    <w:p w14:paraId="620A2B36">
      <w:pPr>
        <w:spacing w:line="360" w:lineRule="auto"/>
        <w:rPr>
          <w:rFonts w:ascii="宋体" w:hAnsi="宋体"/>
          <w:lang w:eastAsia="zh-CN"/>
        </w:rPr>
      </w:pPr>
      <w:r>
        <w:rPr>
          <w:rFonts w:ascii="宋体" w:hAnsi="宋体" w:hint="eastAsia"/>
          <w:lang w:eastAsia="zh-CN"/>
        </w:rPr>
        <w:t>（5）改变工程的时间安排或实施顺序。</w:t>
      </w:r>
    </w:p>
    <w:p w14:paraId="28DEDC5D">
      <w:pPr>
        <w:spacing w:line="360" w:lineRule="auto"/>
        <w:rPr>
          <w:rFonts w:ascii="宋体" w:hAnsi="宋体"/>
          <w:bCs/>
          <w:lang w:eastAsia="zh-CN"/>
        </w:rPr>
      </w:pPr>
      <w:r>
        <w:rPr>
          <w:rFonts w:ascii="宋体" w:hAnsi="宋体" w:hint="eastAsia"/>
          <w:bCs/>
          <w:lang w:eastAsia="zh-CN"/>
        </w:rPr>
        <w:t>10.2变更权</w:t>
      </w:r>
    </w:p>
    <w:p w14:paraId="28D0B998">
      <w:pPr>
        <w:spacing w:line="360" w:lineRule="auto"/>
        <w:rPr>
          <w:rFonts w:ascii="宋体" w:hAnsi="宋体"/>
          <w:lang w:eastAsia="zh-CN"/>
        </w:rPr>
      </w:pPr>
      <w:r>
        <w:rPr>
          <w:rFonts w:ascii="宋体" w:hAnsi="宋体" w:hint="eastAsia"/>
          <w:lang w:eastAsia="zh-CN"/>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715AFBF1">
      <w:pPr>
        <w:spacing w:line="360" w:lineRule="auto"/>
        <w:rPr>
          <w:rFonts w:ascii="宋体" w:hAnsi="宋体"/>
          <w:lang w:eastAsia="zh-CN"/>
        </w:rPr>
      </w:pPr>
      <w:r>
        <w:rPr>
          <w:rFonts w:ascii="宋体" w:hAnsi="宋体" w:hint="eastAsia"/>
          <w:lang w:eastAsia="zh-CN"/>
        </w:rPr>
        <w:t>涉及设计变更的，应由设计人提供变更后的图纸和说明。如变更超过原设计标准或批准的建设规模时，发包人应及时办理规划、设计变更等审批手续。</w:t>
      </w:r>
    </w:p>
    <w:p w14:paraId="1DB95E38">
      <w:pPr>
        <w:spacing w:line="360" w:lineRule="auto"/>
        <w:rPr>
          <w:rFonts w:ascii="宋体" w:hAnsi="宋体"/>
          <w:bCs/>
          <w:lang w:eastAsia="zh-CN"/>
        </w:rPr>
      </w:pPr>
      <w:r>
        <w:rPr>
          <w:rFonts w:ascii="宋体" w:hAnsi="宋体" w:hint="eastAsia"/>
          <w:bCs/>
          <w:lang w:eastAsia="zh-CN"/>
        </w:rPr>
        <w:t>10.3变更程序</w:t>
      </w:r>
    </w:p>
    <w:p w14:paraId="717A96B6">
      <w:pPr>
        <w:spacing w:line="360" w:lineRule="auto"/>
        <w:rPr>
          <w:rFonts w:ascii="宋体" w:hAnsi="宋体"/>
          <w:lang w:eastAsia="zh-CN"/>
        </w:rPr>
      </w:pPr>
      <w:r>
        <w:rPr>
          <w:rFonts w:ascii="宋体" w:hAnsi="宋体" w:hint="eastAsia"/>
          <w:lang w:eastAsia="zh-CN"/>
        </w:rPr>
        <w:t>10.3.1 发包人提出变更</w:t>
      </w:r>
    </w:p>
    <w:p w14:paraId="4168D93F">
      <w:pPr>
        <w:spacing w:line="360" w:lineRule="auto"/>
        <w:rPr>
          <w:rFonts w:ascii="宋体" w:hAnsi="宋体"/>
          <w:lang w:eastAsia="zh-CN"/>
        </w:rPr>
      </w:pPr>
      <w:r>
        <w:rPr>
          <w:rFonts w:ascii="宋体" w:hAnsi="宋体" w:hint="eastAsia"/>
          <w:lang w:eastAsia="zh-CN"/>
        </w:rPr>
        <w:t>发包人提出变更的，应通过监理人向承包人发出变更指示，变更指示应说明计划变更的工程范围和变更的内容。</w:t>
      </w:r>
    </w:p>
    <w:p w14:paraId="5D6DBD63">
      <w:pPr>
        <w:spacing w:line="360" w:lineRule="auto"/>
        <w:rPr>
          <w:rFonts w:ascii="宋体" w:hAnsi="宋体"/>
          <w:lang w:eastAsia="zh-CN"/>
        </w:rPr>
      </w:pPr>
      <w:r>
        <w:rPr>
          <w:rFonts w:ascii="宋体" w:hAnsi="宋体" w:hint="eastAsia"/>
          <w:lang w:eastAsia="zh-CN"/>
        </w:rPr>
        <w:t>10.3.2 监理人提出变更建议</w:t>
      </w:r>
    </w:p>
    <w:p w14:paraId="15D29A52">
      <w:pPr>
        <w:spacing w:line="360" w:lineRule="auto"/>
        <w:rPr>
          <w:rFonts w:ascii="宋体" w:hAnsi="宋体"/>
          <w:lang w:eastAsia="zh-CN"/>
        </w:rPr>
      </w:pPr>
      <w:r>
        <w:rPr>
          <w:rFonts w:ascii="宋体" w:hAnsi="宋体" w:hint="eastAsia"/>
          <w:lang w:eastAsia="zh-CN"/>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4A23BC99">
      <w:pPr>
        <w:spacing w:line="360" w:lineRule="auto"/>
        <w:rPr>
          <w:rFonts w:ascii="宋体" w:hAnsi="宋体"/>
          <w:lang w:eastAsia="zh-CN"/>
        </w:rPr>
      </w:pPr>
      <w:r>
        <w:rPr>
          <w:rFonts w:ascii="宋体" w:hAnsi="宋体" w:hint="eastAsia"/>
          <w:lang w:eastAsia="zh-CN"/>
        </w:rPr>
        <w:t>10.3.3 变更执行</w:t>
      </w:r>
    </w:p>
    <w:p w14:paraId="250B3F2F">
      <w:pPr>
        <w:spacing w:line="360" w:lineRule="auto"/>
        <w:rPr>
          <w:rFonts w:ascii="宋体" w:hAnsi="宋体"/>
          <w:lang w:eastAsia="zh-CN"/>
        </w:rPr>
      </w:pPr>
      <w:r>
        <w:rPr>
          <w:rFonts w:ascii="宋体" w:hAnsi="宋体" w:hint="eastAsia"/>
          <w:lang w:eastAsia="zh-CN"/>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46CC6730">
      <w:pPr>
        <w:spacing w:line="360" w:lineRule="auto"/>
        <w:rPr>
          <w:rFonts w:ascii="宋体" w:hAnsi="宋体"/>
          <w:bCs/>
          <w:lang w:eastAsia="zh-CN"/>
        </w:rPr>
      </w:pPr>
      <w:r>
        <w:rPr>
          <w:rFonts w:ascii="宋体" w:hAnsi="宋体" w:hint="eastAsia"/>
          <w:bCs/>
          <w:lang w:eastAsia="zh-CN"/>
        </w:rPr>
        <w:t>10.4变更估价</w:t>
      </w:r>
    </w:p>
    <w:p w14:paraId="596A3F98">
      <w:pPr>
        <w:spacing w:line="360" w:lineRule="auto"/>
        <w:rPr>
          <w:rFonts w:ascii="宋体" w:hAnsi="宋体"/>
          <w:lang w:eastAsia="zh-CN"/>
        </w:rPr>
      </w:pPr>
      <w:r>
        <w:rPr>
          <w:rFonts w:ascii="宋体" w:hAnsi="宋体" w:hint="eastAsia"/>
          <w:lang w:eastAsia="zh-CN"/>
        </w:rPr>
        <w:t>10.4.1 变更估价原则</w:t>
      </w:r>
    </w:p>
    <w:p w14:paraId="3D87BB5F">
      <w:pPr>
        <w:spacing w:line="360" w:lineRule="auto"/>
        <w:rPr>
          <w:rFonts w:ascii="宋体" w:hAnsi="宋体"/>
          <w:lang w:eastAsia="zh-CN"/>
        </w:rPr>
      </w:pPr>
      <w:r>
        <w:rPr>
          <w:rFonts w:ascii="宋体" w:hAnsi="宋体" w:hint="eastAsia"/>
          <w:lang w:eastAsia="zh-CN"/>
        </w:rPr>
        <w:t>除专用合同条款另有约定外，变更估价按照本款约定处理：</w:t>
      </w:r>
    </w:p>
    <w:p w14:paraId="599B11E9">
      <w:pPr>
        <w:spacing w:line="360" w:lineRule="auto"/>
        <w:rPr>
          <w:rFonts w:ascii="宋体" w:hAnsi="宋体"/>
          <w:lang w:eastAsia="zh-CN"/>
        </w:rPr>
      </w:pPr>
      <w:r>
        <w:rPr>
          <w:rFonts w:ascii="宋体" w:hAnsi="宋体" w:hint="eastAsia"/>
          <w:lang w:eastAsia="zh-CN"/>
        </w:rPr>
        <w:t>（1）已标价工程量清单或预算书有相同项目的，按照相同项目单价认定；</w:t>
      </w:r>
    </w:p>
    <w:p w14:paraId="7536B94D">
      <w:pPr>
        <w:spacing w:line="360" w:lineRule="auto"/>
        <w:rPr>
          <w:rFonts w:ascii="宋体" w:hAnsi="宋体"/>
          <w:lang w:eastAsia="zh-CN"/>
        </w:rPr>
      </w:pPr>
      <w:r>
        <w:rPr>
          <w:rFonts w:ascii="宋体" w:hAnsi="宋体" w:hint="eastAsia"/>
          <w:lang w:eastAsia="zh-CN"/>
        </w:rPr>
        <w:t>（2）已标价工程量清单或预算书中无相同项目，但有类似项目的，参照类似项目的单价认定；</w:t>
      </w:r>
    </w:p>
    <w:p w14:paraId="1659B8C8">
      <w:pPr>
        <w:spacing w:line="360" w:lineRule="auto"/>
        <w:rPr>
          <w:rFonts w:ascii="宋体" w:hAnsi="宋体"/>
          <w:lang w:eastAsia="zh-CN"/>
        </w:rPr>
      </w:pPr>
      <w:r>
        <w:rPr>
          <w:rFonts w:ascii="宋体" w:hAnsi="宋体" w:hint="eastAsia"/>
          <w:lang w:eastAsia="zh-CN"/>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3648657C">
      <w:pPr>
        <w:spacing w:line="360" w:lineRule="auto"/>
        <w:rPr>
          <w:rFonts w:ascii="宋体" w:hAnsi="宋体"/>
          <w:lang w:eastAsia="zh-CN"/>
        </w:rPr>
      </w:pPr>
      <w:r>
        <w:rPr>
          <w:rFonts w:ascii="宋体" w:hAnsi="宋体" w:hint="eastAsia"/>
          <w:lang w:eastAsia="zh-CN"/>
        </w:rPr>
        <w:t>10.4.2 变更估价程序</w:t>
      </w:r>
    </w:p>
    <w:p w14:paraId="654EB023">
      <w:pPr>
        <w:spacing w:line="360" w:lineRule="auto"/>
        <w:rPr>
          <w:rFonts w:ascii="宋体" w:hAnsi="宋体"/>
          <w:lang w:eastAsia="zh-CN"/>
        </w:rPr>
      </w:pPr>
      <w:r>
        <w:rPr>
          <w:rFonts w:ascii="宋体" w:hAnsi="宋体" w:hint="eastAsia"/>
          <w:lang w:eastAsia="zh-CN"/>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6E28CE5C">
      <w:pPr>
        <w:spacing w:line="360" w:lineRule="auto"/>
        <w:rPr>
          <w:rFonts w:ascii="宋体" w:hAnsi="宋体"/>
          <w:lang w:eastAsia="zh-CN"/>
        </w:rPr>
      </w:pPr>
      <w:r>
        <w:rPr>
          <w:rFonts w:ascii="宋体" w:hAnsi="宋体" w:hint="eastAsia"/>
          <w:lang w:eastAsia="zh-CN"/>
        </w:rPr>
        <w:t>因变更引起的价格调整应计入最近一期的进度款中支付。</w:t>
      </w:r>
    </w:p>
    <w:p w14:paraId="7135575A">
      <w:pPr>
        <w:spacing w:line="360" w:lineRule="auto"/>
        <w:rPr>
          <w:rFonts w:ascii="宋体" w:hAnsi="宋体"/>
          <w:bCs/>
          <w:lang w:eastAsia="zh-CN"/>
        </w:rPr>
      </w:pPr>
      <w:r>
        <w:rPr>
          <w:rFonts w:ascii="宋体" w:hAnsi="宋体" w:hint="eastAsia"/>
          <w:bCs/>
          <w:lang w:eastAsia="zh-CN"/>
        </w:rPr>
        <w:t>10.5承包人的合理化建议</w:t>
      </w:r>
    </w:p>
    <w:p w14:paraId="55141DDB">
      <w:pPr>
        <w:spacing w:line="360" w:lineRule="auto"/>
        <w:rPr>
          <w:rFonts w:ascii="宋体" w:hAnsi="宋体"/>
          <w:lang w:eastAsia="zh-CN"/>
        </w:rPr>
      </w:pPr>
      <w:r>
        <w:rPr>
          <w:rFonts w:ascii="宋体" w:hAnsi="宋体" w:hint="eastAsia"/>
          <w:lang w:eastAsia="zh-CN"/>
        </w:rPr>
        <w:t>承包人提出合理化建议的，应向监理人提交合理化建议说明，说明建议的内容和理由，以及实施该建议对合同价格和工期的影响。</w:t>
      </w:r>
    </w:p>
    <w:p w14:paraId="21CC9219">
      <w:pPr>
        <w:spacing w:line="360" w:lineRule="auto"/>
        <w:rPr>
          <w:rFonts w:ascii="宋体" w:hAnsi="宋体"/>
          <w:lang w:eastAsia="zh-CN"/>
        </w:rPr>
      </w:pPr>
      <w:r>
        <w:rPr>
          <w:rFonts w:ascii="宋体" w:hAnsi="宋体" w:hint="eastAsia"/>
          <w:lang w:eastAsia="zh-CN"/>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7C752049">
      <w:pPr>
        <w:spacing w:line="360" w:lineRule="auto"/>
        <w:rPr>
          <w:rFonts w:ascii="宋体" w:hAnsi="宋体"/>
          <w:lang w:eastAsia="zh-CN"/>
        </w:rPr>
      </w:pPr>
      <w:r>
        <w:rPr>
          <w:rFonts w:ascii="宋体" w:hAnsi="宋体" w:hint="eastAsia"/>
          <w:lang w:eastAsia="zh-CN"/>
        </w:rPr>
        <w:t>合理化建议降低了合同价格或者提高了工程经济效益的，发包人可对承包人给予奖励，奖励的方法和金额在专用合同条款中约定。</w:t>
      </w:r>
    </w:p>
    <w:p w14:paraId="6375DF4C">
      <w:pPr>
        <w:spacing w:line="360" w:lineRule="auto"/>
        <w:rPr>
          <w:rFonts w:ascii="宋体" w:hAnsi="宋体"/>
          <w:b/>
          <w:bCs/>
          <w:lang w:eastAsia="zh-CN"/>
        </w:rPr>
      </w:pPr>
      <w:r>
        <w:rPr>
          <w:rFonts w:ascii="宋体" w:hAnsi="宋体" w:hint="eastAsia"/>
          <w:bCs/>
          <w:lang w:eastAsia="zh-CN"/>
        </w:rPr>
        <w:t xml:space="preserve">10.6变更引起的工期调整  </w:t>
      </w:r>
      <w:r>
        <w:rPr>
          <w:rFonts w:ascii="宋体" w:hAnsi="宋体" w:hint="eastAsia"/>
          <w:b/>
          <w:bCs/>
          <w:lang w:eastAsia="zh-CN"/>
        </w:rPr>
        <w:t xml:space="preserve"> </w:t>
      </w:r>
    </w:p>
    <w:p w14:paraId="0DCF8FE8">
      <w:pPr>
        <w:spacing w:line="360" w:lineRule="auto"/>
        <w:rPr>
          <w:rFonts w:ascii="宋体" w:hAnsi="宋体"/>
          <w:lang w:eastAsia="zh-CN"/>
        </w:rPr>
      </w:pPr>
      <w:r>
        <w:rPr>
          <w:rFonts w:ascii="宋体" w:hAnsi="宋体" w:hint="eastAsia"/>
          <w:lang w:eastAsia="zh-CN"/>
        </w:rPr>
        <w:t>因变更引起工期变化的，合同当事人均可要求调整合同工期，由合同当事人按照第4.4款〔商定或确定〕并参考工程所在地的工期定额标准确定增减工期天数。</w:t>
      </w:r>
    </w:p>
    <w:p w14:paraId="7A9FC59E">
      <w:pPr>
        <w:spacing w:line="360" w:lineRule="auto"/>
        <w:rPr>
          <w:rFonts w:ascii="宋体" w:hAnsi="宋体"/>
          <w:bCs/>
          <w:lang w:eastAsia="zh-CN"/>
        </w:rPr>
      </w:pPr>
      <w:r>
        <w:rPr>
          <w:rFonts w:ascii="宋体" w:hAnsi="宋体" w:hint="eastAsia"/>
          <w:bCs/>
          <w:lang w:eastAsia="zh-CN"/>
        </w:rPr>
        <w:t>10.7暂估价</w:t>
      </w:r>
    </w:p>
    <w:p w14:paraId="21C4F4BD">
      <w:pPr>
        <w:spacing w:line="360" w:lineRule="auto"/>
        <w:rPr>
          <w:rFonts w:ascii="宋体" w:hAnsi="宋体"/>
          <w:lang w:eastAsia="zh-CN"/>
        </w:rPr>
      </w:pPr>
      <w:r>
        <w:rPr>
          <w:rFonts w:ascii="宋体" w:hAnsi="宋体" w:hint="eastAsia"/>
          <w:lang w:eastAsia="zh-CN"/>
        </w:rPr>
        <w:t>暂估价专业分包工程、服务、材料和工程设备的明细由合同当事人在专用合同条款中约定。</w:t>
      </w:r>
    </w:p>
    <w:p w14:paraId="7C36EC81">
      <w:pPr>
        <w:spacing w:line="360" w:lineRule="auto"/>
        <w:rPr>
          <w:rFonts w:ascii="宋体" w:hAnsi="宋体"/>
          <w:lang w:eastAsia="zh-CN"/>
        </w:rPr>
      </w:pPr>
      <w:r>
        <w:rPr>
          <w:rFonts w:ascii="宋体" w:hAnsi="宋体" w:hint="eastAsia"/>
          <w:lang w:eastAsia="zh-CN"/>
        </w:rPr>
        <w:t>10.7.1 依法必须招标的暂估价项目</w:t>
      </w:r>
    </w:p>
    <w:p w14:paraId="69477D5C">
      <w:pPr>
        <w:spacing w:line="360" w:lineRule="auto"/>
        <w:rPr>
          <w:rFonts w:ascii="宋体" w:hAnsi="宋体"/>
          <w:lang w:eastAsia="zh-CN"/>
        </w:rPr>
      </w:pPr>
      <w:r>
        <w:rPr>
          <w:rFonts w:ascii="宋体" w:hAnsi="宋体" w:hint="eastAsia"/>
          <w:lang w:eastAsia="zh-CN"/>
        </w:rPr>
        <w:t>对于依法必须招标的暂估价项目，采取以下第1种方式确定。合同当事人也可以在专用合同条款中选择其他招标方式。</w:t>
      </w:r>
    </w:p>
    <w:p w14:paraId="1CFF0041">
      <w:pPr>
        <w:spacing w:line="360" w:lineRule="auto"/>
        <w:rPr>
          <w:rFonts w:ascii="宋体" w:hAnsi="宋体"/>
          <w:lang w:eastAsia="zh-CN"/>
        </w:rPr>
      </w:pPr>
      <w:r>
        <w:rPr>
          <w:rFonts w:ascii="宋体" w:hAnsi="宋体" w:hint="eastAsia"/>
          <w:lang w:eastAsia="zh-CN"/>
        </w:rPr>
        <w:t>第1种方式：对于依法必须招标的暂估价项目，由承包人招标，对该暂估价项目的确认和批准按照以下约定执行：</w:t>
      </w:r>
    </w:p>
    <w:p w14:paraId="3816223A">
      <w:pPr>
        <w:spacing w:line="360" w:lineRule="auto"/>
        <w:rPr>
          <w:rFonts w:ascii="宋体" w:hAnsi="宋体"/>
          <w:lang w:eastAsia="zh-CN"/>
        </w:rPr>
      </w:pPr>
      <w:r>
        <w:rPr>
          <w:rFonts w:ascii="宋体" w:hAnsi="宋体" w:hint="eastAsia"/>
          <w:lang w:eastAsia="zh-CN"/>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31DA5584">
      <w:pPr>
        <w:spacing w:line="360" w:lineRule="auto"/>
        <w:rPr>
          <w:rFonts w:ascii="宋体" w:hAnsi="宋体"/>
          <w:lang w:eastAsia="zh-CN"/>
        </w:rPr>
      </w:pPr>
      <w:r>
        <w:rPr>
          <w:rFonts w:ascii="宋体" w:hAnsi="宋体" w:hint="eastAsia"/>
          <w:lang w:eastAsia="zh-CN"/>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4CB7C104">
      <w:pPr>
        <w:spacing w:line="360" w:lineRule="auto"/>
        <w:rPr>
          <w:rFonts w:ascii="宋体" w:hAnsi="宋体"/>
          <w:lang w:eastAsia="zh-CN"/>
        </w:rPr>
      </w:pPr>
      <w:r>
        <w:rPr>
          <w:rFonts w:ascii="宋体" w:hAnsi="宋体" w:hint="eastAsia"/>
          <w:lang w:eastAsia="zh-CN"/>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17E13BB8">
      <w:pPr>
        <w:spacing w:line="360" w:lineRule="auto"/>
        <w:rPr>
          <w:rFonts w:ascii="宋体" w:hAnsi="宋体"/>
          <w:lang w:eastAsia="zh-CN"/>
        </w:rPr>
      </w:pPr>
      <w:r>
        <w:rPr>
          <w:rFonts w:ascii="宋体" w:hAnsi="宋体" w:hint="eastAsia"/>
          <w:lang w:eastAsia="zh-CN"/>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5DF4A9A4">
      <w:pPr>
        <w:spacing w:line="360" w:lineRule="auto"/>
        <w:rPr>
          <w:rFonts w:ascii="宋体" w:hAnsi="宋体"/>
          <w:lang w:eastAsia="zh-CN"/>
        </w:rPr>
      </w:pPr>
      <w:r>
        <w:rPr>
          <w:rFonts w:ascii="宋体" w:hAnsi="宋体" w:hint="eastAsia"/>
          <w:lang w:eastAsia="zh-CN"/>
        </w:rPr>
        <w:t>10.7.2不属于依法必须招标的暂估价项目</w:t>
      </w:r>
    </w:p>
    <w:p w14:paraId="7C4464E1">
      <w:pPr>
        <w:spacing w:line="360" w:lineRule="auto"/>
        <w:rPr>
          <w:rFonts w:ascii="宋体" w:hAnsi="宋体"/>
          <w:lang w:eastAsia="zh-CN"/>
        </w:rPr>
      </w:pPr>
      <w:r>
        <w:rPr>
          <w:rFonts w:ascii="宋体" w:hAnsi="宋体" w:hint="eastAsia"/>
          <w:lang w:eastAsia="zh-CN"/>
        </w:rPr>
        <w:t xml:space="preserve">除专用合同条款另有约定外，对于不属于依法必须招标的暂估价项目，采取以下第1种方式确定： </w:t>
      </w:r>
    </w:p>
    <w:p w14:paraId="1427A391">
      <w:pPr>
        <w:spacing w:line="360" w:lineRule="auto"/>
        <w:rPr>
          <w:rFonts w:ascii="宋体" w:hAnsi="宋体"/>
          <w:lang w:eastAsia="zh-CN"/>
        </w:rPr>
      </w:pPr>
      <w:r>
        <w:rPr>
          <w:rFonts w:ascii="宋体" w:hAnsi="宋体" w:hint="eastAsia"/>
          <w:lang w:eastAsia="zh-CN"/>
        </w:rPr>
        <w:t>第1种方式：对于不属于依法必须招标的暂估价项目，按本项约定确认和批准：</w:t>
      </w:r>
    </w:p>
    <w:p w14:paraId="4CBF7FAE">
      <w:pPr>
        <w:spacing w:line="360" w:lineRule="auto"/>
        <w:rPr>
          <w:rFonts w:ascii="宋体" w:hAnsi="宋体"/>
          <w:lang w:eastAsia="zh-CN"/>
        </w:rPr>
      </w:pPr>
      <w:r>
        <w:rPr>
          <w:rFonts w:ascii="宋体" w:hAnsi="宋体" w:hint="eastAsia"/>
          <w:lang w:eastAsia="zh-CN"/>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21BAE3A9">
      <w:pPr>
        <w:spacing w:line="360" w:lineRule="auto"/>
        <w:rPr>
          <w:rFonts w:ascii="宋体" w:hAnsi="宋体"/>
          <w:lang w:eastAsia="zh-CN"/>
        </w:rPr>
      </w:pPr>
      <w:r>
        <w:rPr>
          <w:rFonts w:ascii="宋体" w:hAnsi="宋体" w:hint="eastAsia"/>
          <w:lang w:eastAsia="zh-CN"/>
        </w:rPr>
        <w:t>（2）发包人认为承包人确定的供应商、分包人无法满足工程质量或合同要求的，发包人可以要求承包人重新确定暂估价项目的供应商、分包人;</w:t>
      </w:r>
    </w:p>
    <w:p w14:paraId="486394D6">
      <w:pPr>
        <w:spacing w:line="360" w:lineRule="auto"/>
        <w:rPr>
          <w:rFonts w:ascii="宋体" w:hAnsi="宋体"/>
          <w:lang w:eastAsia="zh-CN"/>
        </w:rPr>
      </w:pPr>
      <w:r>
        <w:rPr>
          <w:rFonts w:ascii="宋体" w:hAnsi="宋体" w:hint="eastAsia"/>
          <w:lang w:eastAsia="zh-CN"/>
        </w:rPr>
        <w:t>（3）承包人应当在签订暂估价合同后7天内，将暂估价合同副本报送发包人留存。</w:t>
      </w:r>
    </w:p>
    <w:p w14:paraId="11C40F0F">
      <w:pPr>
        <w:spacing w:line="360" w:lineRule="auto"/>
        <w:rPr>
          <w:rFonts w:ascii="宋体" w:hAnsi="宋体"/>
          <w:lang w:eastAsia="zh-CN"/>
        </w:rPr>
      </w:pPr>
      <w:r>
        <w:rPr>
          <w:rFonts w:ascii="宋体" w:hAnsi="宋体" w:hint="eastAsia"/>
          <w:lang w:eastAsia="zh-CN"/>
        </w:rPr>
        <w:t>第2种方式：承包人按照第10.7.1项〔依法必须招标的暂估价项目〕约定的第1种方式确定暂估价项目。</w:t>
      </w:r>
    </w:p>
    <w:p w14:paraId="5D78769A">
      <w:pPr>
        <w:spacing w:line="360" w:lineRule="auto"/>
        <w:rPr>
          <w:rFonts w:ascii="宋体" w:hAnsi="宋体"/>
          <w:lang w:eastAsia="zh-CN"/>
        </w:rPr>
      </w:pPr>
      <w:r>
        <w:rPr>
          <w:rFonts w:ascii="宋体" w:hAnsi="宋体" w:hint="eastAsia"/>
          <w:lang w:eastAsia="zh-CN"/>
        </w:rPr>
        <w:t>第3种方式：承包人直接实施的暂估价项目</w:t>
      </w:r>
    </w:p>
    <w:p w14:paraId="1AE7AB71">
      <w:pPr>
        <w:spacing w:line="360" w:lineRule="auto"/>
        <w:rPr>
          <w:rFonts w:ascii="宋体" w:hAnsi="宋体"/>
          <w:lang w:eastAsia="zh-CN"/>
        </w:rPr>
      </w:pPr>
      <w:r>
        <w:rPr>
          <w:rFonts w:ascii="宋体" w:hAnsi="宋体" w:hint="eastAsia"/>
          <w:lang w:eastAsia="zh-CN"/>
        </w:rPr>
        <w:t>承包人具备实施暂估价项目的资格和条件的，经发包人和承包人协商一致后，可由承包人自行实施暂估价项目，合同当事人可以在专用合同条款约定具体事项。</w:t>
      </w:r>
    </w:p>
    <w:p w14:paraId="352ECEA6">
      <w:pPr>
        <w:spacing w:line="360" w:lineRule="auto"/>
        <w:rPr>
          <w:rFonts w:ascii="宋体" w:hAnsi="宋体"/>
          <w:lang w:eastAsia="zh-CN"/>
        </w:rPr>
      </w:pPr>
      <w:r>
        <w:rPr>
          <w:rFonts w:ascii="宋体" w:hAnsi="宋体" w:hint="eastAsia"/>
          <w:lang w:eastAsia="zh-CN"/>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79289021">
      <w:pPr>
        <w:spacing w:line="360" w:lineRule="auto"/>
        <w:rPr>
          <w:rFonts w:ascii="宋体" w:hAnsi="宋体"/>
          <w:bCs/>
          <w:lang w:eastAsia="zh-CN"/>
        </w:rPr>
      </w:pPr>
      <w:r>
        <w:rPr>
          <w:rFonts w:ascii="宋体" w:hAnsi="宋体" w:hint="eastAsia"/>
          <w:bCs/>
          <w:lang w:eastAsia="zh-CN"/>
        </w:rPr>
        <w:t>10.8暂列金额</w:t>
      </w:r>
    </w:p>
    <w:p w14:paraId="5EC25A5C">
      <w:pPr>
        <w:spacing w:line="360" w:lineRule="auto"/>
        <w:rPr>
          <w:rFonts w:ascii="宋体" w:hAnsi="宋体"/>
          <w:lang w:eastAsia="zh-CN"/>
        </w:rPr>
      </w:pPr>
      <w:r>
        <w:rPr>
          <w:rFonts w:ascii="宋体" w:hAnsi="宋体" w:hint="eastAsia"/>
          <w:lang w:eastAsia="zh-CN"/>
        </w:rPr>
        <w:t>暂列金额应按照发包人的要求使用，发包人的要求应通过监理人发出。合同当事人可以在专用合同条款中协商确定有关事项。</w:t>
      </w:r>
    </w:p>
    <w:p w14:paraId="0DEBBBBA">
      <w:pPr>
        <w:spacing w:line="360" w:lineRule="auto"/>
        <w:rPr>
          <w:rFonts w:ascii="宋体" w:hAnsi="宋体"/>
          <w:bCs/>
          <w:lang w:eastAsia="zh-CN"/>
        </w:rPr>
      </w:pPr>
      <w:r>
        <w:rPr>
          <w:rFonts w:ascii="宋体" w:hAnsi="宋体" w:hint="eastAsia"/>
          <w:bCs/>
          <w:lang w:eastAsia="zh-CN"/>
        </w:rPr>
        <w:t xml:space="preserve">10.9计日工 </w:t>
      </w:r>
    </w:p>
    <w:p w14:paraId="472AC666">
      <w:pPr>
        <w:spacing w:line="360" w:lineRule="auto"/>
        <w:rPr>
          <w:rFonts w:ascii="宋体" w:hAnsi="宋体"/>
          <w:lang w:eastAsia="zh-CN"/>
        </w:rPr>
      </w:pPr>
      <w:r>
        <w:rPr>
          <w:rFonts w:ascii="宋体" w:hAnsi="宋体" w:hint="eastAsia"/>
          <w:lang w:eastAsia="zh-CN"/>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59CCEA9C">
      <w:pPr>
        <w:spacing w:line="360" w:lineRule="auto"/>
        <w:rPr>
          <w:rFonts w:ascii="宋体" w:hAnsi="宋体"/>
          <w:lang w:eastAsia="zh-CN"/>
        </w:rPr>
      </w:pPr>
      <w:r>
        <w:rPr>
          <w:rFonts w:ascii="宋体" w:hAnsi="宋体" w:hint="eastAsia"/>
          <w:lang w:eastAsia="zh-CN"/>
        </w:rPr>
        <w:t>采用计日工计价的任何一项工作，承包人应在该项工作实施过程中，每天提交以下报表和有关凭证报送监理人审查：</w:t>
      </w:r>
    </w:p>
    <w:p w14:paraId="21C4D0C6">
      <w:pPr>
        <w:spacing w:line="360" w:lineRule="auto"/>
        <w:rPr>
          <w:rFonts w:ascii="宋体" w:hAnsi="宋体"/>
          <w:lang w:eastAsia="zh-CN"/>
        </w:rPr>
      </w:pPr>
      <w:r>
        <w:rPr>
          <w:rFonts w:ascii="宋体" w:hAnsi="宋体" w:hint="eastAsia"/>
          <w:lang w:eastAsia="zh-CN"/>
        </w:rPr>
        <w:t>（1）工作名称、内容和数量；</w:t>
      </w:r>
    </w:p>
    <w:p w14:paraId="50FE38CE">
      <w:pPr>
        <w:spacing w:line="360" w:lineRule="auto"/>
        <w:rPr>
          <w:rFonts w:ascii="宋体" w:hAnsi="宋体"/>
          <w:lang w:eastAsia="zh-CN"/>
        </w:rPr>
      </w:pPr>
      <w:r>
        <w:rPr>
          <w:rFonts w:ascii="宋体" w:hAnsi="宋体" w:hint="eastAsia"/>
          <w:lang w:eastAsia="zh-CN"/>
        </w:rPr>
        <w:t>（2）投入该工作的所有人员的姓名、专业、工种、级别和耗用工时；</w:t>
      </w:r>
    </w:p>
    <w:p w14:paraId="2EE14E0F">
      <w:pPr>
        <w:spacing w:line="360" w:lineRule="auto"/>
        <w:rPr>
          <w:rFonts w:ascii="宋体" w:hAnsi="宋体"/>
          <w:lang w:eastAsia="zh-CN"/>
        </w:rPr>
      </w:pPr>
      <w:r>
        <w:rPr>
          <w:rFonts w:ascii="宋体" w:hAnsi="宋体" w:hint="eastAsia"/>
          <w:lang w:eastAsia="zh-CN"/>
        </w:rPr>
        <w:t>（3）投入该工作的材料类别和数量；</w:t>
      </w:r>
    </w:p>
    <w:p w14:paraId="4249D1F2">
      <w:pPr>
        <w:spacing w:line="360" w:lineRule="auto"/>
        <w:rPr>
          <w:rFonts w:ascii="宋体" w:hAnsi="宋体"/>
          <w:lang w:eastAsia="zh-CN"/>
        </w:rPr>
      </w:pPr>
      <w:r>
        <w:rPr>
          <w:rFonts w:ascii="宋体" w:hAnsi="宋体" w:hint="eastAsia"/>
          <w:lang w:eastAsia="zh-CN"/>
        </w:rPr>
        <w:t>（4）投入该工作的施工设备型号、台数和耗用台时；</w:t>
      </w:r>
    </w:p>
    <w:p w14:paraId="45FD7C25">
      <w:pPr>
        <w:spacing w:line="360" w:lineRule="auto"/>
        <w:rPr>
          <w:rFonts w:ascii="宋体" w:hAnsi="宋体"/>
          <w:lang w:eastAsia="zh-CN"/>
        </w:rPr>
      </w:pPr>
      <w:r>
        <w:rPr>
          <w:rFonts w:ascii="宋体" w:hAnsi="宋体" w:hint="eastAsia"/>
          <w:lang w:eastAsia="zh-CN"/>
        </w:rPr>
        <w:t>（5）其他有关资料和凭证。</w:t>
      </w:r>
    </w:p>
    <w:p w14:paraId="3164248E">
      <w:pPr>
        <w:spacing w:line="360" w:lineRule="auto"/>
        <w:rPr>
          <w:rFonts w:ascii="宋体" w:hAnsi="宋体"/>
          <w:lang w:eastAsia="zh-CN"/>
        </w:rPr>
      </w:pPr>
      <w:r>
        <w:rPr>
          <w:rFonts w:ascii="宋体" w:hAnsi="宋体" w:hint="eastAsia"/>
          <w:lang w:eastAsia="zh-CN"/>
        </w:rPr>
        <w:t xml:space="preserve"> 计日工由承包人汇总后，列入最近一期进度付款申请单，由监理人审查并经发包人批准后列入进度付款。</w:t>
      </w:r>
    </w:p>
    <w:p w14:paraId="24B8C334">
      <w:pPr>
        <w:spacing w:line="360" w:lineRule="auto"/>
        <w:rPr>
          <w:rFonts w:ascii="宋体" w:hAnsi="宋体"/>
          <w:bCs/>
          <w:lang w:eastAsia="zh-CN"/>
        </w:rPr>
      </w:pPr>
      <w:r>
        <w:rPr>
          <w:rFonts w:ascii="宋体" w:hAnsi="宋体" w:hint="eastAsia"/>
          <w:bCs/>
          <w:lang w:eastAsia="zh-CN"/>
        </w:rPr>
        <w:t>11. 价格调整</w:t>
      </w:r>
    </w:p>
    <w:p w14:paraId="50BAB5CE">
      <w:pPr>
        <w:spacing w:line="360" w:lineRule="auto"/>
        <w:rPr>
          <w:rFonts w:ascii="宋体" w:hAnsi="宋体"/>
          <w:bCs/>
          <w:lang w:eastAsia="zh-CN"/>
        </w:rPr>
      </w:pPr>
      <w:r>
        <w:rPr>
          <w:rFonts w:ascii="宋体" w:hAnsi="宋体" w:hint="eastAsia"/>
          <w:bCs/>
          <w:lang w:eastAsia="zh-CN"/>
        </w:rPr>
        <w:t>11.1市场价格波动引起的调整</w:t>
      </w:r>
    </w:p>
    <w:p w14:paraId="11FEF23D">
      <w:pPr>
        <w:spacing w:line="360" w:lineRule="auto"/>
        <w:rPr>
          <w:rFonts w:ascii="宋体" w:hAnsi="宋体"/>
          <w:lang w:eastAsia="zh-CN"/>
        </w:rPr>
      </w:pPr>
      <w:r>
        <w:rPr>
          <w:rFonts w:ascii="宋体" w:hAnsi="宋体" w:hint="eastAsia"/>
          <w:lang w:eastAsia="zh-CN"/>
        </w:rPr>
        <w:t>除专用合同条款另有约定外，市场价格波动超过合同当事人约定的范围，合同价格应当调整。合同当事人可以在专用合同条款中约定选择以下一种方式对合同价格进行调整：</w:t>
      </w:r>
    </w:p>
    <w:p w14:paraId="4A0B1AA4">
      <w:pPr>
        <w:spacing w:line="360" w:lineRule="auto"/>
        <w:rPr>
          <w:rFonts w:ascii="宋体" w:hAnsi="宋体"/>
          <w:lang w:eastAsia="zh-CN"/>
        </w:rPr>
      </w:pPr>
      <w:r>
        <w:rPr>
          <w:rFonts w:ascii="宋体" w:hAnsi="宋体" w:hint="eastAsia"/>
          <w:lang w:eastAsia="zh-CN"/>
        </w:rPr>
        <w:t>第1种方式：采用价格指数进行价格调整。</w:t>
      </w:r>
    </w:p>
    <w:p w14:paraId="07395531">
      <w:pPr>
        <w:spacing w:line="360" w:lineRule="auto"/>
        <w:rPr>
          <w:rFonts w:ascii="宋体" w:hAnsi="宋体"/>
          <w:lang w:eastAsia="zh-CN"/>
        </w:rPr>
      </w:pPr>
      <w:r>
        <w:rPr>
          <w:rFonts w:ascii="宋体" w:hAnsi="宋体" w:hint="eastAsia"/>
          <w:lang w:eastAsia="zh-CN"/>
        </w:rPr>
        <w:t>（1）价格调整公式</w:t>
      </w:r>
    </w:p>
    <w:p w14:paraId="226DC4AB">
      <w:pPr>
        <w:spacing w:line="360" w:lineRule="auto"/>
        <w:rPr>
          <w:rFonts w:ascii="宋体" w:hAnsi="宋体"/>
          <w:lang w:eastAsia="zh-CN"/>
        </w:rPr>
      </w:pPr>
      <w:r>
        <w:rPr>
          <w:rFonts w:ascii="宋体" w:hAnsi="宋体" w:hint="eastAsia"/>
          <w:lang w:eastAsia="zh-CN"/>
        </w:rPr>
        <w:t>因人工、材料和设备等价格波动影响合同价格时，根据专用合同条款中约定的数据，按以下公式计算差额并调整合同价格：</w:t>
      </w:r>
    </w:p>
    <w:p w14:paraId="3C109338">
      <w:pPr>
        <w:spacing w:line="360" w:lineRule="auto"/>
        <w:rPr>
          <w:rFonts w:ascii="宋体" w:hAnsi="宋体"/>
        </w:rPr>
      </w:pPr>
      <w:r>
        <w:rPr>
          <w:rFonts w:ascii="宋体" w:eastAsia="宋体" w:hAnsi="宋体" w:hint="eastAsia"/>
          <w:kern w:val="2"/>
          <w:lang w:eastAsia="zh-CN"/>
        </w:rPr>
        <w:object>
          <v:shape id="_x0000_i1032" type="#_x0000_t75" style="width:5in;height:44.5pt" o:oleicon="f" o:ole="" coordsize="21600,21600" o:preferrelative="t" filled="f" stroked="f">
            <v:stroke joinstyle="miter"/>
            <v:imagedata r:id="rId8" o:title=""/>
            <o:lock v:ext="edit" aspectratio="t"/>
            <w10:anchorlock/>
          </v:shape>
          <o:OLEObject Type="Embed" ProgID="Equation.3" ShapeID="_x0000_i1032" DrawAspect="Content" ObjectID="_1468075730" r:id="rId18"/>
        </w:object>
      </w:r>
    </w:p>
    <w:p w14:paraId="44257C56">
      <w:pPr>
        <w:spacing w:line="360" w:lineRule="auto"/>
        <w:rPr>
          <w:rFonts w:ascii="宋体" w:hAnsi="宋体"/>
          <w:lang w:eastAsia="zh-CN"/>
        </w:rPr>
      </w:pPr>
      <w:r>
        <w:rPr>
          <w:rFonts w:ascii="宋体" w:hAnsi="宋体" w:hint="eastAsia"/>
          <w:lang w:eastAsia="zh-CN"/>
        </w:rPr>
        <w:t>公式中：</w:t>
      </w:r>
      <w:r>
        <w:rPr>
          <w:rFonts w:ascii="宋体" w:hAnsi="宋体" w:hint="eastAsia"/>
        </w:rPr>
        <w:t>Δ</w:t>
      </w:r>
      <w:r>
        <w:rPr>
          <w:rFonts w:ascii="宋体" w:hAnsi="宋体" w:hint="eastAsia"/>
          <w:lang w:eastAsia="zh-CN"/>
        </w:rPr>
        <w:t>P——需调整的价格差额；</w:t>
      </w:r>
    </w:p>
    <w:p w14:paraId="2C1C9411">
      <w:pPr>
        <w:spacing w:line="360" w:lineRule="auto"/>
        <w:rPr>
          <w:rFonts w:ascii="宋体" w:hAnsi="宋体"/>
          <w:lang w:eastAsia="zh-CN"/>
        </w:rPr>
      </w:pPr>
      <w:r>
        <w:rPr>
          <w:rFonts w:ascii="宋体" w:eastAsia="宋体" w:hAnsi="宋体" w:hint="eastAsia"/>
          <w:kern w:val="2"/>
          <w:lang w:eastAsia="zh-CN"/>
        </w:rPr>
        <w:object>
          <v:shape id="_x0000_i1033" type="#_x0000_t75" style="width:17.5pt;height:17.5pt" o:oleicon="f" o:ole="" coordsize="21600,21600" o:preferrelative="t" filled="f" stroked="f">
            <v:stroke joinstyle="miter"/>
            <v:imagedata r:id="rId10" o:title=""/>
            <o:lock v:ext="edit" aspectratio="t"/>
            <w10:anchorlock/>
          </v:shape>
          <o:OLEObject Type="Embed" ProgID="Equation.3" ShapeID="_x0000_i1033" DrawAspect="Content" ObjectID="_1468075731" r:id="rId19"/>
        </w:object>
      </w:r>
      <w:r>
        <w:rPr>
          <w:rFonts w:ascii="宋体" w:hAnsi="宋体" w:hint="eastAsia"/>
          <w:lang w:eastAsia="zh-CN"/>
        </w:rPr>
        <w:t>——约定的付款证书中承包人应得到的已完成工程量的金额。此项金额应不包括价格调整、不计质量保证金的扣留和支付、预付款的支付和扣回。约定的变更及其他金额已按现行价格计价的，也不计在内；</w:t>
      </w:r>
    </w:p>
    <w:p w14:paraId="3F931467">
      <w:pPr>
        <w:spacing w:line="360" w:lineRule="auto"/>
        <w:rPr>
          <w:rFonts w:ascii="宋体" w:hAnsi="宋体"/>
          <w:lang w:eastAsia="zh-CN"/>
        </w:rPr>
      </w:pPr>
      <w:r>
        <w:rPr>
          <w:rFonts w:ascii="宋体" w:hAnsi="宋体" w:hint="eastAsia"/>
          <w:lang w:eastAsia="zh-CN"/>
        </w:rPr>
        <w:t>A——定值权重（即不调部分的权重）；</w:t>
      </w:r>
    </w:p>
    <w:p w14:paraId="369555BA">
      <w:pPr>
        <w:spacing w:line="360" w:lineRule="auto"/>
        <w:rPr>
          <w:rFonts w:ascii="宋体" w:hAnsi="宋体"/>
          <w:lang w:eastAsia="zh-CN"/>
        </w:rPr>
      </w:pPr>
      <w:r>
        <w:rPr>
          <w:rFonts w:ascii="宋体" w:eastAsia="宋体" w:hAnsi="宋体" w:hint="eastAsia"/>
          <w:kern w:val="2"/>
          <w:lang w:eastAsia="zh-CN"/>
        </w:rPr>
        <w:object>
          <v:shape id="_x0000_i1034" type="#_x0000_t75" style="width:101pt;height:21.5pt" o:oleicon="f" o:ole="" coordsize="21600,21600" o:preferrelative="t" filled="f" stroked="f">
            <v:stroke joinstyle="miter"/>
            <v:imagedata r:id="rId12" o:title=""/>
            <o:lock v:ext="edit" aspectratio="t"/>
            <w10:anchorlock/>
          </v:shape>
          <o:OLEObject Type="Embed" ProgID="Equation.3" ShapeID="_x0000_i1034" DrawAspect="Content" ObjectID="_1468075732" r:id="rId20"/>
        </w:object>
      </w:r>
      <w:r>
        <w:rPr>
          <w:rFonts w:ascii="宋体" w:hAnsi="宋体" w:hint="eastAsia"/>
          <w:lang w:eastAsia="zh-CN"/>
        </w:rPr>
        <w:t>——各可调因子的变值权重（即可调部分的权重），为各可调因子在签约合同价中所占的比例；</w:t>
      </w:r>
    </w:p>
    <w:p w14:paraId="181CAED0">
      <w:pPr>
        <w:spacing w:line="360" w:lineRule="auto"/>
        <w:rPr>
          <w:rFonts w:ascii="宋体" w:hAnsi="宋体"/>
          <w:lang w:eastAsia="zh-CN"/>
        </w:rPr>
      </w:pPr>
      <w:r>
        <w:rPr>
          <w:rFonts w:ascii="宋体" w:eastAsia="宋体" w:hAnsi="宋体" w:hint="eastAsia"/>
          <w:kern w:val="2"/>
          <w:lang w:eastAsia="zh-CN"/>
        </w:rPr>
        <w:object>
          <v:shape id="_x0000_i1035" type="#_x0000_t75" style="width:102pt;height:19.5pt" o:oleicon="f" o:ole="" coordsize="21600,21600" o:preferrelative="t" filled="f" stroked="f">
            <v:stroke joinstyle="miter"/>
            <v:imagedata r:id="rId14" o:title=""/>
            <o:lock v:ext="edit" aspectratio="t"/>
            <w10:anchorlock/>
          </v:shape>
          <o:OLEObject Type="Embed" ProgID="Equation.3" ShapeID="_x0000_i1035" DrawAspect="Content" ObjectID="_1468075733" r:id="rId21"/>
        </w:object>
      </w:r>
      <w:r>
        <w:rPr>
          <w:rFonts w:ascii="宋体" w:hAnsi="宋体" w:hint="eastAsia"/>
          <w:lang w:eastAsia="zh-CN"/>
        </w:rPr>
        <w:t>——各可调因子的现行价格指数，指约定的付款证书相关周期最后一天的前42天的各可调因子的价格指数；</w:t>
      </w:r>
    </w:p>
    <w:p w14:paraId="0D7C7E8D">
      <w:pPr>
        <w:spacing w:line="360" w:lineRule="auto"/>
        <w:rPr>
          <w:rFonts w:ascii="宋体" w:hAnsi="宋体"/>
          <w:lang w:eastAsia="zh-CN"/>
        </w:rPr>
      </w:pPr>
      <w:r>
        <w:rPr>
          <w:rFonts w:ascii="宋体" w:eastAsia="宋体" w:hAnsi="宋体" w:hint="eastAsia"/>
          <w:kern w:val="2"/>
          <w:lang w:eastAsia="zh-CN"/>
        </w:rPr>
        <w:object>
          <v:shape id="_x0000_i1036" type="#_x0000_t75" style="width:108.5pt;height:19.5pt" o:oleicon="f" o:ole="" coordsize="21600,21600" o:preferrelative="t" filled="f" stroked="f">
            <v:stroke joinstyle="miter"/>
            <v:imagedata r:id="rId16" o:title=""/>
            <o:lock v:ext="edit" aspectratio="t"/>
            <w10:anchorlock/>
          </v:shape>
          <o:OLEObject Type="Embed" ProgID="Equation.3" ShapeID="_x0000_i1036" DrawAspect="Content" ObjectID="_1468075734" r:id="rId22"/>
        </w:object>
      </w:r>
      <w:r>
        <w:rPr>
          <w:rFonts w:ascii="宋体" w:hAnsi="宋体" w:hint="eastAsia"/>
          <w:lang w:eastAsia="zh-CN"/>
        </w:rPr>
        <w:t>——各可调因子的基本价格指数，指基准日期的各可调因子的价格指数。</w:t>
      </w:r>
    </w:p>
    <w:p w14:paraId="392A7019">
      <w:pPr>
        <w:spacing w:line="360" w:lineRule="auto"/>
        <w:rPr>
          <w:rFonts w:ascii="宋体" w:hAnsi="宋体"/>
          <w:lang w:eastAsia="zh-CN"/>
        </w:rPr>
      </w:pPr>
      <w:r>
        <w:rPr>
          <w:rFonts w:ascii="宋体" w:hAnsi="宋体" w:hint="eastAsia"/>
          <w:lang w:eastAsia="zh-CN"/>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342BD96B">
      <w:pPr>
        <w:spacing w:line="360" w:lineRule="auto"/>
        <w:rPr>
          <w:rFonts w:ascii="宋体" w:hAnsi="宋体"/>
          <w:lang w:eastAsia="zh-CN"/>
        </w:rPr>
      </w:pPr>
      <w:r>
        <w:rPr>
          <w:rFonts w:ascii="宋体" w:hAnsi="宋体" w:hint="eastAsia"/>
          <w:lang w:eastAsia="zh-CN"/>
        </w:rPr>
        <w:t>（2）暂时确定调整差额</w:t>
      </w:r>
    </w:p>
    <w:p w14:paraId="6761E52E">
      <w:pPr>
        <w:spacing w:line="360" w:lineRule="auto"/>
        <w:rPr>
          <w:rFonts w:ascii="宋体" w:hAnsi="宋体"/>
          <w:lang w:eastAsia="zh-CN"/>
        </w:rPr>
      </w:pPr>
      <w:r>
        <w:rPr>
          <w:rFonts w:ascii="宋体" w:hAnsi="宋体" w:hint="eastAsia"/>
          <w:lang w:eastAsia="zh-CN"/>
        </w:rPr>
        <w:t>在计算调整差额时无现行价格指数的，合同当事人同意暂用前次价格指数计算。实际价格指数有调整的，合同当事人进行相应调整。</w:t>
      </w:r>
    </w:p>
    <w:p w14:paraId="52E623E8">
      <w:pPr>
        <w:spacing w:line="360" w:lineRule="auto"/>
        <w:rPr>
          <w:rFonts w:ascii="宋体" w:hAnsi="宋体"/>
          <w:lang w:eastAsia="zh-CN"/>
        </w:rPr>
      </w:pPr>
      <w:r>
        <w:rPr>
          <w:rFonts w:ascii="宋体" w:hAnsi="宋体" w:hint="eastAsia"/>
          <w:lang w:eastAsia="zh-CN"/>
        </w:rPr>
        <w:t>（3）权重的调整</w:t>
      </w:r>
    </w:p>
    <w:p w14:paraId="4BA84855">
      <w:pPr>
        <w:spacing w:line="360" w:lineRule="auto"/>
        <w:rPr>
          <w:rFonts w:ascii="宋体" w:hAnsi="宋体"/>
          <w:lang w:eastAsia="zh-CN"/>
        </w:rPr>
      </w:pPr>
      <w:r>
        <w:rPr>
          <w:rFonts w:ascii="宋体" w:hAnsi="宋体" w:hint="eastAsia"/>
          <w:lang w:eastAsia="zh-CN"/>
        </w:rPr>
        <w:t>因变更导致合同约定的权重不合理时，按照第4.4款〔商定或确定〕执行。</w:t>
      </w:r>
    </w:p>
    <w:p w14:paraId="55D01744">
      <w:pPr>
        <w:spacing w:line="360" w:lineRule="auto"/>
        <w:rPr>
          <w:rFonts w:ascii="宋体" w:hAnsi="宋体"/>
          <w:lang w:eastAsia="zh-CN"/>
        </w:rPr>
      </w:pPr>
      <w:r>
        <w:rPr>
          <w:rFonts w:ascii="宋体" w:hAnsi="宋体" w:hint="eastAsia"/>
          <w:lang w:eastAsia="zh-CN"/>
        </w:rPr>
        <w:t>（4）因承包人原因工期延误后的价格调整</w:t>
      </w:r>
    </w:p>
    <w:p w14:paraId="7060EE15">
      <w:pPr>
        <w:spacing w:line="360" w:lineRule="auto"/>
        <w:rPr>
          <w:rFonts w:ascii="宋体" w:hAnsi="宋体"/>
          <w:lang w:eastAsia="zh-CN"/>
        </w:rPr>
      </w:pPr>
      <w:r>
        <w:rPr>
          <w:rFonts w:ascii="宋体" w:hAnsi="宋体" w:hint="eastAsia"/>
          <w:lang w:eastAsia="zh-CN"/>
        </w:rPr>
        <w:t>因承包人原因未按期竣工的，对合同约定的竣工日期后继续施工的工程，在使用价格调整公式时，应采用计划竣工日期与实际竣工日期的两个价格指数中较低的一个作为现行价格指数。</w:t>
      </w:r>
    </w:p>
    <w:p w14:paraId="70818A0F">
      <w:pPr>
        <w:spacing w:line="360" w:lineRule="auto"/>
        <w:rPr>
          <w:rFonts w:ascii="宋体" w:hAnsi="宋体"/>
          <w:lang w:eastAsia="zh-CN"/>
        </w:rPr>
      </w:pPr>
      <w:r>
        <w:rPr>
          <w:rFonts w:ascii="宋体" w:hAnsi="宋体" w:hint="eastAsia"/>
          <w:lang w:eastAsia="zh-CN"/>
        </w:rPr>
        <w:t>第2种方式：采用造价信息进行价格调整。</w:t>
      </w:r>
    </w:p>
    <w:p w14:paraId="779D7E75">
      <w:pPr>
        <w:spacing w:line="360" w:lineRule="auto"/>
        <w:rPr>
          <w:rFonts w:ascii="宋体" w:hAnsi="宋体"/>
          <w:lang w:eastAsia="zh-CN"/>
        </w:rPr>
      </w:pPr>
      <w:r>
        <w:rPr>
          <w:rFonts w:ascii="宋体" w:hAnsi="宋体" w:hint="eastAsia"/>
          <w:lang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3B0E7B1B">
      <w:pPr>
        <w:spacing w:line="360" w:lineRule="auto"/>
        <w:rPr>
          <w:rFonts w:ascii="宋体" w:hAnsi="宋体"/>
          <w:lang w:eastAsia="zh-CN"/>
        </w:rPr>
      </w:pPr>
      <w:r>
        <w:rPr>
          <w:rFonts w:ascii="宋体" w:hAnsi="宋体" w:hint="eastAsia"/>
          <w:lang w:eastAsia="zh-CN"/>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751E387E">
      <w:pPr>
        <w:spacing w:line="360" w:lineRule="auto"/>
        <w:rPr>
          <w:rFonts w:ascii="宋体" w:hAnsi="宋体"/>
          <w:lang w:eastAsia="zh-CN"/>
        </w:rPr>
      </w:pPr>
      <w:r>
        <w:rPr>
          <w:rFonts w:ascii="宋体" w:hAnsi="宋体" w:hint="eastAsia"/>
          <w:lang w:eastAsia="zh-CN"/>
        </w:rPr>
        <w:t>（2）材料、工程设备价格变化的价款调整按照发包人提供的基准价格，按以下风险范围规定执行:</w:t>
      </w:r>
    </w:p>
    <w:p w14:paraId="00222D20">
      <w:pPr>
        <w:spacing w:line="360" w:lineRule="auto"/>
        <w:rPr>
          <w:rFonts w:ascii="宋体" w:hAnsi="宋体"/>
          <w:lang w:eastAsia="zh-CN"/>
        </w:rPr>
      </w:pPr>
      <w:r>
        <w:rPr>
          <w:rFonts w:ascii="宋体" w:hAnsi="宋体" w:hint="eastAsia"/>
          <w:lang w:eastAsia="zh-CN"/>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6D043C5D">
      <w:pPr>
        <w:spacing w:line="360" w:lineRule="auto"/>
        <w:rPr>
          <w:rFonts w:ascii="宋体" w:hAnsi="宋体"/>
          <w:lang w:eastAsia="zh-CN"/>
        </w:rPr>
      </w:pPr>
      <w:r>
        <w:rPr>
          <w:rFonts w:ascii="宋体" w:hAnsi="宋体" w:hint="eastAsia"/>
          <w:lang w:eastAsia="zh-CN"/>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782BE4CC">
      <w:pPr>
        <w:spacing w:line="360" w:lineRule="auto"/>
        <w:rPr>
          <w:rFonts w:ascii="宋体" w:hAnsi="宋体"/>
          <w:lang w:eastAsia="zh-CN"/>
        </w:rPr>
      </w:pPr>
      <w:r>
        <w:rPr>
          <w:rFonts w:ascii="宋体" w:hAnsi="宋体" w:hint="eastAsia"/>
          <w:lang w:eastAsia="zh-CN"/>
        </w:rPr>
        <w:t>③承包人在已标价工程量清单或预算书中载明材料单价等于基准价格的：除专用合同条款另有约定外，合同履行期间材料单价涨跌幅以基准价格为基础超过±5%时，其超过部分据实调整。</w:t>
      </w:r>
    </w:p>
    <w:p w14:paraId="60E153DE">
      <w:pPr>
        <w:spacing w:line="360" w:lineRule="auto"/>
        <w:rPr>
          <w:rFonts w:ascii="宋体" w:hAnsi="宋体"/>
          <w:lang w:eastAsia="zh-CN"/>
        </w:rPr>
      </w:pPr>
      <w:r>
        <w:rPr>
          <w:rFonts w:ascii="宋体" w:hAnsi="宋体" w:hint="eastAsia"/>
          <w:lang w:eastAsia="zh-CN"/>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6D3EEA6E">
      <w:pPr>
        <w:spacing w:line="360" w:lineRule="auto"/>
        <w:rPr>
          <w:rFonts w:ascii="宋体" w:hAnsi="宋体"/>
          <w:lang w:eastAsia="zh-CN"/>
        </w:rPr>
      </w:pPr>
      <w:r>
        <w:rPr>
          <w:rFonts w:ascii="宋体" w:hAnsi="宋体" w:hint="eastAsia"/>
          <w:lang w:eastAsia="zh-CN"/>
        </w:rPr>
        <w:t>前述基准价格是指由发包人在招标文件或专用合同条款中给定的材料、工程设备的价格，该价格原则上应当按照省级或行业建设主管部门或其授权的工程造价管理机构发布的信息价编制。</w:t>
      </w:r>
    </w:p>
    <w:p w14:paraId="67A6087D">
      <w:pPr>
        <w:spacing w:line="360" w:lineRule="auto"/>
        <w:rPr>
          <w:rFonts w:ascii="宋体" w:hAnsi="宋体"/>
          <w:lang w:eastAsia="zh-CN"/>
        </w:rPr>
      </w:pPr>
      <w:r>
        <w:rPr>
          <w:rFonts w:ascii="宋体" w:hAnsi="宋体" w:hint="eastAsia"/>
          <w:lang w:eastAsia="zh-CN"/>
        </w:rPr>
        <w:t>（3）施工机械台班单价或施工机械使用费发生变化超过省级或行业建设主管部门或其授权的工程造价管理机构规定的范围时，按规定调整合同价格。</w:t>
      </w:r>
    </w:p>
    <w:p w14:paraId="3530FF7C">
      <w:pPr>
        <w:spacing w:line="360" w:lineRule="auto"/>
        <w:rPr>
          <w:rFonts w:ascii="宋体" w:hAnsi="宋体"/>
          <w:lang w:eastAsia="zh-CN"/>
        </w:rPr>
      </w:pPr>
      <w:r>
        <w:rPr>
          <w:rFonts w:ascii="宋体" w:hAnsi="宋体" w:hint="eastAsia"/>
          <w:lang w:eastAsia="zh-CN"/>
        </w:rPr>
        <w:t>第3种方式：专用合同条款约定的其他方式。</w:t>
      </w:r>
    </w:p>
    <w:p w14:paraId="4B82CFB2">
      <w:pPr>
        <w:spacing w:line="360" w:lineRule="auto"/>
        <w:rPr>
          <w:rFonts w:ascii="宋体" w:hAnsi="宋体"/>
          <w:bCs/>
          <w:lang w:eastAsia="zh-CN"/>
        </w:rPr>
      </w:pPr>
      <w:r>
        <w:rPr>
          <w:rFonts w:ascii="宋体" w:hAnsi="宋体" w:hint="eastAsia"/>
          <w:bCs/>
          <w:lang w:eastAsia="zh-CN"/>
        </w:rPr>
        <w:t>11.2法律变化引起的调整</w:t>
      </w:r>
    </w:p>
    <w:p w14:paraId="5076D6F8">
      <w:pPr>
        <w:spacing w:line="360" w:lineRule="auto"/>
        <w:rPr>
          <w:rFonts w:ascii="宋体" w:hAnsi="宋体"/>
          <w:lang w:eastAsia="zh-CN"/>
        </w:rPr>
      </w:pPr>
      <w:r>
        <w:rPr>
          <w:rFonts w:ascii="宋体" w:hAnsi="宋体" w:hint="eastAsia"/>
          <w:lang w:eastAsia="zh-CN"/>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7A37DEFA">
      <w:pPr>
        <w:spacing w:line="360" w:lineRule="auto"/>
        <w:rPr>
          <w:rFonts w:ascii="宋体" w:hAnsi="宋体"/>
          <w:lang w:eastAsia="zh-CN"/>
        </w:rPr>
      </w:pPr>
      <w:r>
        <w:rPr>
          <w:rFonts w:ascii="宋体" w:hAnsi="宋体" w:hint="eastAsia"/>
          <w:lang w:eastAsia="zh-CN"/>
        </w:rPr>
        <w:t>因法律变化引起的合同价格和工期调整，合同当事人无法达成一致的，由总监理工程师按第4.4款〔商定或确定〕的约定处理。</w:t>
      </w:r>
    </w:p>
    <w:p w14:paraId="3EB169DC">
      <w:pPr>
        <w:spacing w:line="360" w:lineRule="auto"/>
        <w:rPr>
          <w:rFonts w:ascii="宋体" w:hAnsi="宋体"/>
          <w:lang w:eastAsia="zh-CN"/>
        </w:rPr>
      </w:pPr>
      <w:r>
        <w:rPr>
          <w:rFonts w:ascii="宋体" w:hAnsi="宋体" w:hint="eastAsia"/>
          <w:lang w:eastAsia="zh-CN"/>
        </w:rPr>
        <w:t>因承包人原因造成工期延误，在工期延误期间出现法律变化的，由此增加的费用和（或）延误的工期由承包人承担。</w:t>
      </w:r>
    </w:p>
    <w:p w14:paraId="3A82ABA3">
      <w:pPr>
        <w:spacing w:line="360" w:lineRule="auto"/>
        <w:rPr>
          <w:rFonts w:ascii="宋体" w:hAnsi="宋体"/>
          <w:bCs/>
          <w:lang w:eastAsia="zh-CN"/>
        </w:rPr>
      </w:pPr>
      <w:r>
        <w:rPr>
          <w:rFonts w:ascii="宋体" w:hAnsi="宋体" w:hint="eastAsia"/>
          <w:bCs/>
          <w:lang w:eastAsia="zh-CN"/>
        </w:rPr>
        <w:t>12. 合同价格、计量与支付</w:t>
      </w:r>
    </w:p>
    <w:p w14:paraId="5EC677D5">
      <w:pPr>
        <w:spacing w:line="360" w:lineRule="auto"/>
        <w:rPr>
          <w:rFonts w:ascii="宋体" w:hAnsi="宋体"/>
          <w:bCs/>
          <w:lang w:eastAsia="zh-CN"/>
        </w:rPr>
      </w:pPr>
      <w:r>
        <w:rPr>
          <w:rFonts w:ascii="宋体" w:hAnsi="宋体" w:hint="eastAsia"/>
          <w:bCs/>
          <w:lang w:eastAsia="zh-CN"/>
        </w:rPr>
        <w:t>12.1 合同价格形式</w:t>
      </w:r>
    </w:p>
    <w:p w14:paraId="4DD7548C">
      <w:pPr>
        <w:spacing w:line="360" w:lineRule="auto"/>
        <w:rPr>
          <w:rFonts w:ascii="宋体" w:hAnsi="宋体"/>
          <w:lang w:eastAsia="zh-CN"/>
        </w:rPr>
      </w:pPr>
      <w:r>
        <w:rPr>
          <w:rFonts w:ascii="宋体" w:hAnsi="宋体" w:hint="eastAsia"/>
          <w:lang w:eastAsia="zh-CN"/>
        </w:rPr>
        <w:t xml:space="preserve">发包人和承包人应在合同协议书中选择下列一种合同价格形式： </w:t>
      </w:r>
    </w:p>
    <w:p w14:paraId="2FA83308">
      <w:pPr>
        <w:spacing w:line="360" w:lineRule="auto"/>
        <w:rPr>
          <w:rFonts w:ascii="宋体" w:hAnsi="宋体"/>
          <w:lang w:eastAsia="zh-CN"/>
        </w:rPr>
      </w:pPr>
      <w:r>
        <w:rPr>
          <w:rFonts w:ascii="宋体" w:hAnsi="宋体" w:hint="eastAsia"/>
          <w:lang w:eastAsia="zh-CN"/>
        </w:rPr>
        <w:t>1.单价合同</w:t>
      </w:r>
    </w:p>
    <w:p w14:paraId="66A3F741">
      <w:pPr>
        <w:spacing w:line="360" w:lineRule="auto"/>
        <w:rPr>
          <w:rFonts w:ascii="宋体" w:hAnsi="宋体"/>
          <w:lang w:eastAsia="zh-CN"/>
        </w:rPr>
      </w:pPr>
      <w:r>
        <w:rPr>
          <w:rFonts w:ascii="宋体" w:hAnsi="宋体" w:hint="eastAsia"/>
          <w:lang w:eastAsia="zh-CN"/>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6C5FFB75">
      <w:pPr>
        <w:spacing w:line="360" w:lineRule="auto"/>
        <w:rPr>
          <w:rFonts w:ascii="宋体" w:hAnsi="宋体"/>
          <w:lang w:eastAsia="zh-CN"/>
        </w:rPr>
      </w:pPr>
      <w:r>
        <w:rPr>
          <w:rFonts w:ascii="宋体" w:hAnsi="宋体" w:hint="eastAsia"/>
          <w:lang w:eastAsia="zh-CN"/>
        </w:rPr>
        <w:t>2.总价合同</w:t>
      </w:r>
    </w:p>
    <w:p w14:paraId="6B361057">
      <w:pPr>
        <w:spacing w:line="360" w:lineRule="auto"/>
        <w:rPr>
          <w:rFonts w:ascii="宋体" w:hAnsi="宋体"/>
          <w:lang w:eastAsia="zh-CN"/>
        </w:rPr>
      </w:pPr>
      <w:r>
        <w:rPr>
          <w:rFonts w:ascii="宋体" w:hAnsi="宋体" w:hint="eastAsia"/>
          <w:lang w:eastAsia="zh-CN"/>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1B287EE7">
      <w:pPr>
        <w:spacing w:line="360" w:lineRule="auto"/>
        <w:rPr>
          <w:rFonts w:ascii="宋体" w:hAnsi="宋体"/>
          <w:lang w:eastAsia="zh-CN"/>
        </w:rPr>
      </w:pPr>
      <w:r>
        <w:rPr>
          <w:rFonts w:ascii="宋体" w:hAnsi="宋体" w:hint="eastAsia"/>
          <w:lang w:eastAsia="zh-CN"/>
        </w:rPr>
        <w:t>3.其它价格形式</w:t>
      </w:r>
    </w:p>
    <w:p w14:paraId="3F2CBEF5">
      <w:pPr>
        <w:spacing w:line="360" w:lineRule="auto"/>
        <w:rPr>
          <w:rFonts w:ascii="宋体" w:hAnsi="宋体"/>
          <w:lang w:eastAsia="zh-CN"/>
        </w:rPr>
      </w:pPr>
      <w:r>
        <w:rPr>
          <w:rFonts w:ascii="宋体" w:hAnsi="宋体" w:hint="eastAsia"/>
          <w:lang w:eastAsia="zh-CN"/>
        </w:rPr>
        <w:t>合同当事人可在专用合同条款中约定其他合同价格形式。</w:t>
      </w:r>
    </w:p>
    <w:p w14:paraId="5B86A41F">
      <w:pPr>
        <w:spacing w:line="360" w:lineRule="auto"/>
        <w:rPr>
          <w:rFonts w:ascii="宋体" w:hAnsi="宋体"/>
          <w:bCs/>
          <w:lang w:eastAsia="zh-CN"/>
        </w:rPr>
      </w:pPr>
      <w:r>
        <w:rPr>
          <w:rFonts w:ascii="宋体" w:hAnsi="宋体" w:hint="eastAsia"/>
          <w:bCs/>
          <w:lang w:eastAsia="zh-CN"/>
        </w:rPr>
        <w:t>12.2预付款</w:t>
      </w:r>
    </w:p>
    <w:p w14:paraId="1EADBB17">
      <w:pPr>
        <w:spacing w:line="360" w:lineRule="auto"/>
        <w:rPr>
          <w:rFonts w:ascii="宋体" w:hAnsi="宋体"/>
          <w:lang w:eastAsia="zh-CN"/>
        </w:rPr>
      </w:pPr>
      <w:r>
        <w:rPr>
          <w:rFonts w:ascii="宋体" w:hAnsi="宋体" w:hint="eastAsia"/>
          <w:lang w:eastAsia="zh-CN"/>
        </w:rPr>
        <w:t>12.2.1预付款的支付</w:t>
      </w:r>
    </w:p>
    <w:p w14:paraId="751078EA">
      <w:pPr>
        <w:spacing w:line="360" w:lineRule="auto"/>
        <w:rPr>
          <w:rFonts w:ascii="宋体" w:hAnsi="宋体"/>
          <w:lang w:eastAsia="zh-CN"/>
        </w:rPr>
      </w:pPr>
      <w:r>
        <w:rPr>
          <w:rFonts w:ascii="宋体" w:hAnsi="宋体" w:hint="eastAsia"/>
          <w:lang w:eastAsia="zh-CN"/>
        </w:rPr>
        <w:t>预付款的支付按照专用合同条款约定执行，但至迟应在开工通知载明的开工日期7天前支付。预付款应当用于材料、工程设备、施工设备的采购及修建临时工程、组织施工队伍进场等。</w:t>
      </w:r>
    </w:p>
    <w:p w14:paraId="3453AF27">
      <w:pPr>
        <w:spacing w:line="360" w:lineRule="auto"/>
        <w:rPr>
          <w:rFonts w:ascii="宋体" w:hAnsi="宋体"/>
          <w:lang w:eastAsia="zh-CN"/>
        </w:rPr>
      </w:pPr>
      <w:r>
        <w:rPr>
          <w:rFonts w:ascii="宋体" w:hAnsi="宋体" w:hint="eastAsia"/>
          <w:lang w:eastAsia="zh-CN"/>
        </w:rPr>
        <w:t>除专用合同条款另有约定外，预付款在进度付款中同比例扣回。在颁发工程接收证书前，提前解除合同的，尚未扣完的预付款应与合同价款一并结算。</w:t>
      </w:r>
    </w:p>
    <w:p w14:paraId="7BD70CCC">
      <w:pPr>
        <w:spacing w:line="360" w:lineRule="auto"/>
        <w:rPr>
          <w:rFonts w:ascii="宋体" w:hAnsi="宋体"/>
          <w:lang w:eastAsia="zh-CN"/>
        </w:rPr>
      </w:pPr>
      <w:r>
        <w:rPr>
          <w:rFonts w:ascii="宋体" w:hAnsi="宋体" w:hint="eastAsia"/>
          <w:lang w:eastAsia="zh-CN"/>
        </w:rPr>
        <w:t>发包人逾期支付预付款超过7天的，承包人有权向发包人发出要求预付的催告通知，发包人收到通知后7天内仍未支付的，承包人有权暂停施工，并按第16.1.1项〔发包人违约的情形〕执行。</w:t>
      </w:r>
    </w:p>
    <w:p w14:paraId="012D982A">
      <w:pPr>
        <w:spacing w:line="360" w:lineRule="auto"/>
        <w:rPr>
          <w:rFonts w:ascii="宋体" w:hAnsi="宋体"/>
          <w:lang w:eastAsia="zh-CN"/>
        </w:rPr>
      </w:pPr>
      <w:r>
        <w:rPr>
          <w:rFonts w:ascii="宋体" w:hAnsi="宋体" w:hint="eastAsia"/>
          <w:lang w:eastAsia="zh-CN"/>
        </w:rPr>
        <w:t>12.2.2 预付款担保</w:t>
      </w:r>
    </w:p>
    <w:p w14:paraId="140ADD9F">
      <w:pPr>
        <w:spacing w:line="360" w:lineRule="auto"/>
        <w:rPr>
          <w:rFonts w:ascii="宋体" w:hAnsi="宋体"/>
          <w:lang w:eastAsia="zh-CN"/>
        </w:rPr>
      </w:pPr>
      <w:r>
        <w:rPr>
          <w:rFonts w:ascii="宋体" w:hAnsi="宋体" w:hint="eastAsia"/>
          <w:lang w:eastAsia="zh-CN"/>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391DEAE3">
      <w:pPr>
        <w:spacing w:line="360" w:lineRule="auto"/>
        <w:rPr>
          <w:rFonts w:ascii="宋体" w:hAnsi="宋体"/>
          <w:lang w:eastAsia="zh-CN"/>
        </w:rPr>
      </w:pPr>
      <w:r>
        <w:rPr>
          <w:rFonts w:ascii="宋体" w:hAnsi="宋体" w:hint="eastAsia"/>
          <w:lang w:eastAsia="zh-CN"/>
        </w:rPr>
        <w:t>发包人在工程款中逐期扣回预付款后，预付款担保额度应相应减少，但剩余的预付款担保金额不得低于未被扣回的预付款金额。</w:t>
      </w:r>
    </w:p>
    <w:p w14:paraId="3FDDD421">
      <w:pPr>
        <w:spacing w:line="360" w:lineRule="auto"/>
        <w:rPr>
          <w:rFonts w:ascii="宋体" w:hAnsi="宋体"/>
          <w:bCs/>
          <w:lang w:eastAsia="zh-CN"/>
        </w:rPr>
      </w:pPr>
      <w:r>
        <w:rPr>
          <w:rFonts w:ascii="宋体" w:hAnsi="宋体" w:hint="eastAsia"/>
          <w:bCs/>
          <w:lang w:eastAsia="zh-CN"/>
        </w:rPr>
        <w:t>12.3计量</w:t>
      </w:r>
    </w:p>
    <w:p w14:paraId="58E93378">
      <w:pPr>
        <w:spacing w:line="360" w:lineRule="auto"/>
        <w:rPr>
          <w:rFonts w:ascii="宋体" w:hAnsi="宋体"/>
          <w:lang w:eastAsia="zh-CN"/>
        </w:rPr>
      </w:pPr>
      <w:r>
        <w:rPr>
          <w:rFonts w:ascii="宋体" w:hAnsi="宋体" w:hint="eastAsia"/>
          <w:lang w:eastAsia="zh-CN"/>
        </w:rPr>
        <w:t>12.3.1 计量原则</w:t>
      </w:r>
    </w:p>
    <w:p w14:paraId="6EA38F69">
      <w:pPr>
        <w:spacing w:line="360" w:lineRule="auto"/>
        <w:rPr>
          <w:rFonts w:ascii="宋体" w:hAnsi="宋体"/>
          <w:lang w:eastAsia="zh-CN"/>
        </w:rPr>
      </w:pPr>
      <w:r>
        <w:rPr>
          <w:rFonts w:ascii="宋体" w:hAnsi="宋体" w:hint="eastAsia"/>
          <w:lang w:eastAsia="zh-CN"/>
        </w:rPr>
        <w:t>工程量计量按照合同约定的工程量计算规则、图纸及变更指示等进行计量。工程量计算规则应以相关的国家标准、行业标准等为依据，由合同当事人在专用合同条款中约定。</w:t>
      </w:r>
    </w:p>
    <w:p w14:paraId="6D0685A1">
      <w:pPr>
        <w:spacing w:line="360" w:lineRule="auto"/>
        <w:rPr>
          <w:rFonts w:ascii="宋体" w:hAnsi="宋体"/>
          <w:lang w:eastAsia="zh-CN"/>
        </w:rPr>
      </w:pPr>
      <w:r>
        <w:rPr>
          <w:rFonts w:ascii="宋体" w:hAnsi="宋体" w:hint="eastAsia"/>
          <w:lang w:eastAsia="zh-CN"/>
        </w:rPr>
        <w:t>12.3.2 计量周期</w:t>
      </w:r>
    </w:p>
    <w:p w14:paraId="6A8C5B7C">
      <w:pPr>
        <w:spacing w:line="360" w:lineRule="auto"/>
        <w:rPr>
          <w:rFonts w:ascii="宋体" w:hAnsi="宋体"/>
          <w:lang w:eastAsia="zh-CN"/>
        </w:rPr>
      </w:pPr>
      <w:r>
        <w:rPr>
          <w:rFonts w:ascii="宋体" w:hAnsi="宋体" w:hint="eastAsia"/>
          <w:lang w:eastAsia="zh-CN"/>
        </w:rPr>
        <w:t>除专用合同条款另有约定外，工程量的计量按月进行。</w:t>
      </w:r>
    </w:p>
    <w:p w14:paraId="22225737">
      <w:pPr>
        <w:spacing w:line="360" w:lineRule="auto"/>
        <w:rPr>
          <w:rFonts w:ascii="宋体" w:hAnsi="宋体"/>
          <w:lang w:eastAsia="zh-CN"/>
        </w:rPr>
      </w:pPr>
      <w:r>
        <w:rPr>
          <w:rFonts w:ascii="宋体" w:hAnsi="宋体" w:hint="eastAsia"/>
          <w:lang w:eastAsia="zh-CN"/>
        </w:rPr>
        <w:t>12.3.3 单价合同的计量</w:t>
      </w:r>
    </w:p>
    <w:p w14:paraId="5255F73F">
      <w:pPr>
        <w:spacing w:line="360" w:lineRule="auto"/>
        <w:rPr>
          <w:rFonts w:ascii="宋体" w:hAnsi="宋体"/>
          <w:lang w:eastAsia="zh-CN"/>
        </w:rPr>
      </w:pPr>
      <w:r>
        <w:rPr>
          <w:rFonts w:ascii="宋体" w:hAnsi="宋体" w:hint="eastAsia"/>
          <w:lang w:eastAsia="zh-CN"/>
        </w:rPr>
        <w:t>除专用合同条款另有约定外，单价合同的计量按照本项约定执行：</w:t>
      </w:r>
    </w:p>
    <w:p w14:paraId="36D2F12F">
      <w:pPr>
        <w:spacing w:line="360" w:lineRule="auto"/>
        <w:rPr>
          <w:rFonts w:ascii="宋体" w:hAnsi="宋体"/>
          <w:lang w:eastAsia="zh-CN"/>
        </w:rPr>
      </w:pPr>
      <w:r>
        <w:rPr>
          <w:rFonts w:ascii="宋体" w:hAnsi="宋体" w:hint="eastAsia"/>
          <w:lang w:eastAsia="zh-CN"/>
        </w:rPr>
        <w:t>（1）承包人应于每月25日向监理人报送上月20日至当月19日已完成的工程量报告，并附具进度付款申请单、已完成工程量报表和有关资料。</w:t>
      </w:r>
    </w:p>
    <w:p w14:paraId="2282EFAA">
      <w:pPr>
        <w:spacing w:line="360" w:lineRule="auto"/>
        <w:rPr>
          <w:rFonts w:ascii="宋体" w:hAnsi="宋体"/>
          <w:lang w:eastAsia="zh-CN"/>
        </w:rPr>
      </w:pPr>
      <w:r>
        <w:rPr>
          <w:rFonts w:ascii="宋体" w:hAnsi="宋体" w:hint="eastAsia"/>
          <w:lang w:eastAsia="zh-CN"/>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4C0429C6">
      <w:pPr>
        <w:spacing w:line="360" w:lineRule="auto"/>
        <w:rPr>
          <w:rFonts w:ascii="宋体" w:hAnsi="宋体"/>
          <w:lang w:eastAsia="zh-CN"/>
        </w:rPr>
      </w:pPr>
      <w:r>
        <w:rPr>
          <w:rFonts w:ascii="宋体" w:hAnsi="宋体" w:hint="eastAsia"/>
          <w:lang w:eastAsia="zh-CN"/>
        </w:rPr>
        <w:t>（3）监理人未在收到承包人提交的工程量报表后的7天内完成审核的，承包人报送的工程量报告中的工程量视为承包人实际完成的工程量，据此计算工程价款。</w:t>
      </w:r>
    </w:p>
    <w:p w14:paraId="1E036D9A">
      <w:pPr>
        <w:spacing w:line="360" w:lineRule="auto"/>
        <w:rPr>
          <w:rFonts w:ascii="宋体" w:hAnsi="宋体"/>
          <w:lang w:eastAsia="zh-CN"/>
        </w:rPr>
      </w:pPr>
      <w:r>
        <w:rPr>
          <w:rFonts w:ascii="宋体" w:hAnsi="宋体" w:hint="eastAsia"/>
          <w:lang w:eastAsia="zh-CN"/>
        </w:rPr>
        <w:t>12.3.4 总价合同的计量</w:t>
      </w:r>
    </w:p>
    <w:p w14:paraId="0B808DCB">
      <w:pPr>
        <w:spacing w:line="360" w:lineRule="auto"/>
        <w:rPr>
          <w:rFonts w:ascii="宋体" w:hAnsi="宋体"/>
          <w:lang w:eastAsia="zh-CN"/>
        </w:rPr>
      </w:pPr>
      <w:r>
        <w:rPr>
          <w:rFonts w:ascii="宋体" w:hAnsi="宋体" w:hint="eastAsia"/>
          <w:lang w:eastAsia="zh-CN"/>
        </w:rPr>
        <w:t>除专用合同条款另有约定外，按月计量支付的总价合同，按照本项约定执行：</w:t>
      </w:r>
    </w:p>
    <w:p w14:paraId="39AEE118">
      <w:pPr>
        <w:spacing w:line="360" w:lineRule="auto"/>
        <w:rPr>
          <w:rFonts w:ascii="宋体" w:hAnsi="宋体"/>
          <w:lang w:eastAsia="zh-CN"/>
        </w:rPr>
      </w:pPr>
      <w:r>
        <w:rPr>
          <w:rFonts w:ascii="宋体" w:hAnsi="宋体" w:hint="eastAsia"/>
          <w:lang w:eastAsia="zh-CN"/>
        </w:rPr>
        <w:t>（1）承包人应于每月25日向监理人报送上月20日至当月19日已完成的工程量报告，并附具进度付款申请单、已完成工程量报表和有关资料。</w:t>
      </w:r>
    </w:p>
    <w:p w14:paraId="09B58C37">
      <w:pPr>
        <w:spacing w:line="360" w:lineRule="auto"/>
        <w:rPr>
          <w:rFonts w:ascii="宋体" w:hAnsi="宋体"/>
          <w:lang w:eastAsia="zh-CN"/>
        </w:rPr>
      </w:pPr>
      <w:r>
        <w:rPr>
          <w:rFonts w:ascii="宋体" w:hAnsi="宋体" w:hint="eastAsia"/>
          <w:lang w:eastAsia="zh-CN"/>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67585D06">
      <w:pPr>
        <w:spacing w:line="360" w:lineRule="auto"/>
        <w:rPr>
          <w:rFonts w:ascii="宋体" w:hAnsi="宋体"/>
          <w:lang w:eastAsia="zh-CN"/>
        </w:rPr>
      </w:pPr>
      <w:r>
        <w:rPr>
          <w:rFonts w:ascii="宋体" w:hAnsi="宋体" w:hint="eastAsia"/>
          <w:lang w:eastAsia="zh-CN"/>
        </w:rPr>
        <w:t>（3）监理人未在收到承包人提交的工程量报表后的7天内完成复核的，承包人提交的工程量报告中的工程量视为承包人实际完成的工程量。</w:t>
      </w:r>
    </w:p>
    <w:p w14:paraId="529D8F70">
      <w:pPr>
        <w:spacing w:line="360" w:lineRule="auto"/>
        <w:rPr>
          <w:rFonts w:ascii="宋体" w:hAnsi="宋体"/>
          <w:lang w:eastAsia="zh-CN"/>
        </w:rPr>
      </w:pPr>
      <w:r>
        <w:rPr>
          <w:rFonts w:ascii="宋体" w:hAnsi="宋体" w:hint="eastAsia"/>
          <w:lang w:eastAsia="zh-CN"/>
        </w:rPr>
        <w:t>12.3.5 总价合同采用支付分解表计量支付的，可以按照第12.3.4项〔总价合同的计量〕约定进行计量，但合同价款按照支付分解表进行支付。</w:t>
      </w:r>
    </w:p>
    <w:p w14:paraId="6F35C971">
      <w:pPr>
        <w:spacing w:line="360" w:lineRule="auto"/>
        <w:rPr>
          <w:rFonts w:ascii="宋体" w:hAnsi="宋体"/>
          <w:lang w:eastAsia="zh-CN"/>
        </w:rPr>
      </w:pPr>
      <w:r>
        <w:rPr>
          <w:rFonts w:ascii="宋体" w:hAnsi="宋体" w:hint="eastAsia"/>
          <w:lang w:eastAsia="zh-CN"/>
        </w:rPr>
        <w:t>12.3.6 其他价格形式合同的计量</w:t>
      </w:r>
    </w:p>
    <w:p w14:paraId="2D0FFFC7">
      <w:pPr>
        <w:spacing w:line="360" w:lineRule="auto"/>
        <w:rPr>
          <w:rFonts w:ascii="宋体" w:hAnsi="宋体"/>
          <w:lang w:eastAsia="zh-CN"/>
        </w:rPr>
      </w:pPr>
      <w:r>
        <w:rPr>
          <w:rFonts w:ascii="宋体" w:hAnsi="宋体" w:hint="eastAsia"/>
          <w:lang w:eastAsia="zh-CN"/>
        </w:rPr>
        <w:t>合同当事人可在专用合同条款中约定其他价格形式合同的计量方式和程序。</w:t>
      </w:r>
    </w:p>
    <w:p w14:paraId="6FB1FEDF">
      <w:pPr>
        <w:spacing w:line="360" w:lineRule="auto"/>
        <w:rPr>
          <w:rFonts w:ascii="宋体" w:hAnsi="宋体"/>
          <w:bCs/>
          <w:lang w:eastAsia="zh-CN"/>
        </w:rPr>
      </w:pPr>
      <w:r>
        <w:rPr>
          <w:rFonts w:ascii="宋体" w:hAnsi="宋体" w:hint="eastAsia"/>
          <w:bCs/>
          <w:lang w:eastAsia="zh-CN"/>
        </w:rPr>
        <w:t>12.4工程进度款支付</w:t>
      </w:r>
    </w:p>
    <w:p w14:paraId="520C6861">
      <w:pPr>
        <w:spacing w:line="360" w:lineRule="auto"/>
        <w:rPr>
          <w:rFonts w:ascii="宋体" w:hAnsi="宋体"/>
          <w:lang w:eastAsia="zh-CN"/>
        </w:rPr>
      </w:pPr>
      <w:r>
        <w:rPr>
          <w:rFonts w:ascii="宋体" w:hAnsi="宋体" w:hint="eastAsia"/>
          <w:lang w:eastAsia="zh-CN"/>
        </w:rPr>
        <w:t>12.4.1 付款周期</w:t>
      </w:r>
    </w:p>
    <w:p w14:paraId="0E0994EC">
      <w:pPr>
        <w:spacing w:line="360" w:lineRule="auto"/>
        <w:rPr>
          <w:rFonts w:ascii="宋体" w:hAnsi="宋体"/>
          <w:lang w:eastAsia="zh-CN"/>
        </w:rPr>
      </w:pPr>
      <w:r>
        <w:rPr>
          <w:rFonts w:ascii="宋体" w:hAnsi="宋体" w:hint="eastAsia"/>
          <w:lang w:eastAsia="zh-CN"/>
        </w:rPr>
        <w:t>除专用合同条款另有约定外，付款周期应按照第12.3.2项〔计量周期〕的约定与计量周期保持一致。</w:t>
      </w:r>
    </w:p>
    <w:p w14:paraId="784377ED">
      <w:pPr>
        <w:spacing w:line="360" w:lineRule="auto"/>
        <w:rPr>
          <w:rFonts w:ascii="宋体" w:hAnsi="宋体"/>
          <w:lang w:eastAsia="zh-CN"/>
        </w:rPr>
      </w:pPr>
      <w:r>
        <w:rPr>
          <w:rFonts w:ascii="宋体" w:hAnsi="宋体" w:hint="eastAsia"/>
          <w:lang w:eastAsia="zh-CN"/>
        </w:rPr>
        <w:t>12.4.2 进度付款申请单的编制</w:t>
      </w:r>
    </w:p>
    <w:p w14:paraId="7028697D">
      <w:pPr>
        <w:spacing w:line="360" w:lineRule="auto"/>
        <w:rPr>
          <w:rFonts w:ascii="宋体" w:hAnsi="宋体"/>
          <w:lang w:eastAsia="zh-CN"/>
        </w:rPr>
      </w:pPr>
      <w:r>
        <w:rPr>
          <w:rFonts w:ascii="宋体" w:hAnsi="宋体" w:hint="eastAsia"/>
          <w:lang w:eastAsia="zh-CN"/>
        </w:rPr>
        <w:t>除专用合同条款另有约定外，进度付款申请单应包括下列内容：</w:t>
      </w:r>
    </w:p>
    <w:p w14:paraId="1AC4C910">
      <w:pPr>
        <w:spacing w:line="360" w:lineRule="auto"/>
        <w:rPr>
          <w:rFonts w:ascii="宋体" w:hAnsi="宋体"/>
          <w:lang w:eastAsia="zh-CN"/>
        </w:rPr>
      </w:pPr>
      <w:r>
        <w:rPr>
          <w:rFonts w:ascii="宋体" w:hAnsi="宋体" w:hint="eastAsia"/>
          <w:lang w:eastAsia="zh-CN"/>
        </w:rPr>
        <w:t>（1）截至本次付款周期已完成工作对应的金额；</w:t>
      </w:r>
    </w:p>
    <w:p w14:paraId="34B8B34B">
      <w:pPr>
        <w:spacing w:line="360" w:lineRule="auto"/>
        <w:rPr>
          <w:rFonts w:ascii="宋体" w:hAnsi="宋体"/>
          <w:lang w:eastAsia="zh-CN"/>
        </w:rPr>
      </w:pPr>
      <w:r>
        <w:rPr>
          <w:rFonts w:ascii="宋体" w:hAnsi="宋体" w:hint="eastAsia"/>
          <w:lang w:eastAsia="zh-CN"/>
        </w:rPr>
        <w:t>（2）根据第10条〔变更〕应增加和扣减的变更金额；</w:t>
      </w:r>
    </w:p>
    <w:p w14:paraId="2D4C160B">
      <w:pPr>
        <w:spacing w:line="360" w:lineRule="auto"/>
        <w:rPr>
          <w:rFonts w:ascii="宋体" w:hAnsi="宋体"/>
          <w:lang w:eastAsia="zh-CN"/>
        </w:rPr>
      </w:pPr>
      <w:r>
        <w:rPr>
          <w:rFonts w:ascii="宋体" w:hAnsi="宋体" w:hint="eastAsia"/>
          <w:lang w:eastAsia="zh-CN"/>
        </w:rPr>
        <w:t>（3）根据第12.2款〔预付款〕约定应支付的预付款和扣减的返还预付款；</w:t>
      </w:r>
    </w:p>
    <w:p w14:paraId="7BA9F730">
      <w:pPr>
        <w:spacing w:line="360" w:lineRule="auto"/>
        <w:rPr>
          <w:rFonts w:ascii="宋体" w:hAnsi="宋体"/>
          <w:lang w:eastAsia="zh-CN"/>
        </w:rPr>
      </w:pPr>
      <w:r>
        <w:rPr>
          <w:rFonts w:ascii="宋体" w:hAnsi="宋体" w:hint="eastAsia"/>
          <w:lang w:eastAsia="zh-CN"/>
        </w:rPr>
        <w:t>（4）根据第15.3款〔质量保证金〕约定应扣减的质量保证金；</w:t>
      </w:r>
    </w:p>
    <w:p w14:paraId="3A28B9D7">
      <w:pPr>
        <w:spacing w:line="360" w:lineRule="auto"/>
        <w:rPr>
          <w:rFonts w:ascii="宋体" w:hAnsi="宋体"/>
          <w:lang w:eastAsia="zh-CN"/>
        </w:rPr>
      </w:pPr>
      <w:r>
        <w:rPr>
          <w:rFonts w:ascii="宋体" w:hAnsi="宋体" w:hint="eastAsia"/>
          <w:lang w:eastAsia="zh-CN"/>
        </w:rPr>
        <w:t>（5）根据第19条〔索赔〕应增加和扣减的索赔金额；</w:t>
      </w:r>
    </w:p>
    <w:p w14:paraId="4356C12A">
      <w:pPr>
        <w:spacing w:line="360" w:lineRule="auto"/>
        <w:rPr>
          <w:rFonts w:ascii="宋体" w:hAnsi="宋体"/>
          <w:lang w:eastAsia="zh-CN"/>
        </w:rPr>
      </w:pPr>
      <w:r>
        <w:rPr>
          <w:rFonts w:ascii="宋体" w:hAnsi="宋体" w:hint="eastAsia"/>
          <w:lang w:eastAsia="zh-CN"/>
        </w:rPr>
        <w:t>（6）对已签发的进度款支付证书中出现错误的修正，应在本次进度付款中支付或扣除的金额；</w:t>
      </w:r>
    </w:p>
    <w:p w14:paraId="50FD1585">
      <w:pPr>
        <w:spacing w:line="360" w:lineRule="auto"/>
        <w:rPr>
          <w:rFonts w:ascii="宋体" w:hAnsi="宋体"/>
          <w:lang w:eastAsia="zh-CN"/>
        </w:rPr>
      </w:pPr>
      <w:r>
        <w:rPr>
          <w:rFonts w:ascii="宋体" w:hAnsi="宋体" w:hint="eastAsia"/>
          <w:lang w:eastAsia="zh-CN"/>
        </w:rPr>
        <w:t>（7）根据合同约定应增加和扣减的其他金额。</w:t>
      </w:r>
    </w:p>
    <w:p w14:paraId="7B081D69">
      <w:pPr>
        <w:spacing w:line="360" w:lineRule="auto"/>
        <w:rPr>
          <w:rFonts w:ascii="宋体" w:hAnsi="宋体"/>
          <w:lang w:eastAsia="zh-CN"/>
        </w:rPr>
      </w:pPr>
      <w:r>
        <w:rPr>
          <w:rFonts w:ascii="宋体" w:hAnsi="宋体" w:hint="eastAsia"/>
          <w:lang w:eastAsia="zh-CN"/>
        </w:rPr>
        <w:t>12.4.3 进度付款申请单的提交</w:t>
      </w:r>
    </w:p>
    <w:p w14:paraId="77CA78C4">
      <w:pPr>
        <w:spacing w:line="360" w:lineRule="auto"/>
        <w:rPr>
          <w:rFonts w:ascii="宋体" w:hAnsi="宋体"/>
          <w:lang w:eastAsia="zh-CN"/>
        </w:rPr>
      </w:pPr>
      <w:r>
        <w:rPr>
          <w:rFonts w:ascii="宋体" w:hAnsi="宋体" w:hint="eastAsia"/>
          <w:lang w:eastAsia="zh-CN"/>
        </w:rPr>
        <w:t>（1）单价合同进度付款申请单的提交</w:t>
      </w:r>
    </w:p>
    <w:p w14:paraId="46B1BEB2">
      <w:pPr>
        <w:spacing w:line="360" w:lineRule="auto"/>
        <w:rPr>
          <w:rFonts w:ascii="宋体" w:hAnsi="宋体"/>
          <w:lang w:eastAsia="zh-CN"/>
        </w:rPr>
      </w:pPr>
      <w:r>
        <w:rPr>
          <w:rFonts w:ascii="宋体" w:hAnsi="宋体" w:hint="eastAsia"/>
          <w:lang w:eastAsia="zh-CN"/>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1FC5C9D6">
      <w:pPr>
        <w:spacing w:line="360" w:lineRule="auto"/>
        <w:rPr>
          <w:rFonts w:ascii="宋体" w:hAnsi="宋体"/>
          <w:lang w:eastAsia="zh-CN"/>
        </w:rPr>
      </w:pPr>
      <w:r>
        <w:rPr>
          <w:rFonts w:ascii="宋体" w:hAnsi="宋体" w:hint="eastAsia"/>
          <w:lang w:eastAsia="zh-CN"/>
        </w:rPr>
        <w:t>（2）总价合同进度付款申请单的提交</w:t>
      </w:r>
    </w:p>
    <w:p w14:paraId="47C605F4">
      <w:pPr>
        <w:spacing w:line="360" w:lineRule="auto"/>
        <w:rPr>
          <w:rFonts w:ascii="宋体" w:hAnsi="宋体"/>
          <w:lang w:eastAsia="zh-CN"/>
        </w:rPr>
      </w:pPr>
      <w:r>
        <w:rPr>
          <w:rFonts w:ascii="宋体" w:hAnsi="宋体" w:hint="eastAsia"/>
          <w:lang w:eastAsia="zh-CN"/>
        </w:rPr>
        <w:t>总价合同按月计量支付的，承包人按照第12.3.4项〔总价合同的计量〕约定的时间按月向监理人提交进度付款申请单，并附上已完成工程量报表和有关资料。</w:t>
      </w:r>
    </w:p>
    <w:p w14:paraId="01DCA5BE">
      <w:pPr>
        <w:spacing w:line="360" w:lineRule="auto"/>
        <w:rPr>
          <w:rFonts w:ascii="宋体" w:hAnsi="宋体"/>
          <w:lang w:eastAsia="zh-CN"/>
        </w:rPr>
      </w:pPr>
      <w:r>
        <w:rPr>
          <w:rFonts w:ascii="宋体" w:hAnsi="宋体" w:hint="eastAsia"/>
          <w:lang w:eastAsia="zh-CN"/>
        </w:rPr>
        <w:t>总价合同按支付分解表支付的，承包人应按照第12.4.6项〔支付分解表〕及第12.4.2项〔进度付款申请单的编制〕的约定向监理人提交进度付款申请单。</w:t>
      </w:r>
    </w:p>
    <w:p w14:paraId="65DDF35D">
      <w:pPr>
        <w:spacing w:line="360" w:lineRule="auto"/>
        <w:rPr>
          <w:rFonts w:ascii="宋体" w:hAnsi="宋体"/>
          <w:lang w:eastAsia="zh-CN"/>
        </w:rPr>
      </w:pPr>
      <w:r>
        <w:rPr>
          <w:rFonts w:ascii="宋体" w:hAnsi="宋体" w:hint="eastAsia"/>
          <w:lang w:eastAsia="zh-CN"/>
        </w:rPr>
        <w:t>（3）其他价格形式合同的进度付款申请单的提交</w:t>
      </w:r>
    </w:p>
    <w:p w14:paraId="6F8C8324">
      <w:pPr>
        <w:spacing w:line="360" w:lineRule="auto"/>
        <w:rPr>
          <w:rFonts w:ascii="宋体" w:hAnsi="宋体"/>
          <w:lang w:eastAsia="zh-CN"/>
        </w:rPr>
      </w:pPr>
      <w:r>
        <w:rPr>
          <w:rFonts w:ascii="宋体" w:hAnsi="宋体" w:hint="eastAsia"/>
          <w:lang w:eastAsia="zh-CN"/>
        </w:rPr>
        <w:t>合同当事人可在专用合同条款中约定其他价格形式合同的进度付款申请单的编制和提交程序。</w:t>
      </w:r>
    </w:p>
    <w:p w14:paraId="1ECD5110">
      <w:pPr>
        <w:spacing w:line="360" w:lineRule="auto"/>
        <w:rPr>
          <w:rFonts w:ascii="宋体" w:hAnsi="宋体"/>
          <w:lang w:eastAsia="zh-CN"/>
        </w:rPr>
      </w:pPr>
      <w:r>
        <w:rPr>
          <w:rFonts w:ascii="宋体" w:hAnsi="宋体" w:hint="eastAsia"/>
          <w:lang w:eastAsia="zh-CN"/>
        </w:rPr>
        <w:t>12.4.4 进度款审核和支付</w:t>
      </w:r>
    </w:p>
    <w:p w14:paraId="4EAD6F9B">
      <w:pPr>
        <w:spacing w:line="360" w:lineRule="auto"/>
        <w:rPr>
          <w:rFonts w:ascii="宋体" w:hAnsi="宋体"/>
          <w:lang w:eastAsia="zh-CN"/>
        </w:rPr>
      </w:pPr>
      <w:r>
        <w:rPr>
          <w:rFonts w:ascii="宋体" w:hAnsi="宋体" w:hint="eastAsia"/>
          <w:lang w:eastAsia="zh-CN"/>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324040FF">
      <w:pPr>
        <w:spacing w:line="360" w:lineRule="auto"/>
        <w:rPr>
          <w:rFonts w:ascii="宋体" w:hAnsi="宋体"/>
          <w:lang w:eastAsia="zh-CN"/>
        </w:rPr>
      </w:pPr>
      <w:r>
        <w:rPr>
          <w:rFonts w:ascii="宋体" w:hAnsi="宋体" w:hint="eastAsia"/>
          <w:lang w:eastAsia="zh-CN"/>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5368B1B5">
      <w:pPr>
        <w:spacing w:line="360" w:lineRule="auto"/>
        <w:rPr>
          <w:rFonts w:ascii="宋体" w:hAnsi="宋体"/>
          <w:lang w:eastAsia="zh-CN"/>
        </w:rPr>
      </w:pPr>
      <w:r>
        <w:rPr>
          <w:rFonts w:ascii="宋体" w:hAnsi="宋体" w:hint="eastAsia"/>
          <w:lang w:eastAsia="zh-CN"/>
        </w:rPr>
        <w:t>（2）除专用合同条款另有约定外，发包人应在进度款支付证书或临时进度款支付证书签发后14天内完成支付，发包人逾期支付进度款的，应按照中国人民银行发布的同期同类贷款基准利率支付违约金。</w:t>
      </w:r>
    </w:p>
    <w:p w14:paraId="76832445">
      <w:pPr>
        <w:spacing w:line="360" w:lineRule="auto"/>
        <w:rPr>
          <w:rFonts w:ascii="宋体" w:hAnsi="宋体"/>
          <w:lang w:eastAsia="zh-CN"/>
        </w:rPr>
      </w:pPr>
      <w:r>
        <w:rPr>
          <w:rFonts w:ascii="宋体" w:hAnsi="宋体" w:hint="eastAsia"/>
          <w:lang w:eastAsia="zh-CN"/>
        </w:rPr>
        <w:t>（3）发包人签发进度款支付证书或临时进度款支付证书，不表明发包人已同意、批准或接受了承包人完成的相应部分的工作。</w:t>
      </w:r>
    </w:p>
    <w:p w14:paraId="752F2459">
      <w:pPr>
        <w:spacing w:line="360" w:lineRule="auto"/>
        <w:rPr>
          <w:rFonts w:ascii="宋体" w:hAnsi="宋体"/>
          <w:lang w:eastAsia="zh-CN"/>
        </w:rPr>
      </w:pPr>
      <w:r>
        <w:rPr>
          <w:rFonts w:ascii="宋体" w:hAnsi="宋体" w:hint="eastAsia"/>
          <w:lang w:eastAsia="zh-CN"/>
        </w:rPr>
        <w:t>12.4.5 进度付款的修正</w:t>
      </w:r>
    </w:p>
    <w:p w14:paraId="36AF4A7D">
      <w:pPr>
        <w:spacing w:line="360" w:lineRule="auto"/>
        <w:rPr>
          <w:rFonts w:ascii="宋体" w:hAnsi="宋体"/>
          <w:lang w:eastAsia="zh-CN"/>
        </w:rPr>
      </w:pPr>
      <w:r>
        <w:rPr>
          <w:rFonts w:ascii="宋体" w:hAnsi="宋体" w:hint="eastAsia"/>
          <w:lang w:eastAsia="zh-CN"/>
        </w:rPr>
        <w:t>在对已签发的进度款支付证书进行阶段汇总和复核中发现错误、遗漏或重复的，发包人和承包人均有权提出修正申请。经发包人和承包人同意的修正，应在下期进度付款中支付或扣除。</w:t>
      </w:r>
    </w:p>
    <w:p w14:paraId="1900AF6E">
      <w:pPr>
        <w:spacing w:line="360" w:lineRule="auto"/>
        <w:rPr>
          <w:rFonts w:ascii="宋体" w:hAnsi="宋体"/>
          <w:lang w:eastAsia="zh-CN"/>
        </w:rPr>
      </w:pPr>
      <w:r>
        <w:rPr>
          <w:rFonts w:ascii="宋体" w:hAnsi="宋体" w:hint="eastAsia"/>
          <w:lang w:eastAsia="zh-CN"/>
        </w:rPr>
        <w:t>12.4.6 支付分解表</w:t>
      </w:r>
    </w:p>
    <w:p w14:paraId="6068185F">
      <w:pPr>
        <w:spacing w:line="360" w:lineRule="auto"/>
        <w:rPr>
          <w:rFonts w:ascii="宋体" w:hAnsi="宋体"/>
          <w:lang w:eastAsia="zh-CN"/>
        </w:rPr>
      </w:pPr>
      <w:r>
        <w:rPr>
          <w:rFonts w:ascii="宋体" w:hAnsi="宋体" w:hint="eastAsia"/>
          <w:lang w:eastAsia="zh-CN"/>
        </w:rPr>
        <w:t>1.支付分解表的编制要求</w:t>
      </w:r>
    </w:p>
    <w:p w14:paraId="1919A333">
      <w:pPr>
        <w:spacing w:line="360" w:lineRule="auto"/>
        <w:rPr>
          <w:rFonts w:ascii="宋体" w:hAnsi="宋体"/>
          <w:lang w:eastAsia="zh-CN"/>
        </w:rPr>
      </w:pPr>
      <w:r>
        <w:rPr>
          <w:rFonts w:ascii="宋体" w:hAnsi="宋体" w:hint="eastAsia"/>
          <w:lang w:eastAsia="zh-CN"/>
        </w:rPr>
        <w:t>（1）支付分解表中所列的每期付款金额，应为第12.4.2项〔进度付款申请单的编制〕第（1）目的估算金额；</w:t>
      </w:r>
    </w:p>
    <w:p w14:paraId="3A2AE288">
      <w:pPr>
        <w:spacing w:line="360" w:lineRule="auto"/>
        <w:rPr>
          <w:rFonts w:ascii="宋体" w:hAnsi="宋体"/>
          <w:lang w:eastAsia="zh-CN"/>
        </w:rPr>
      </w:pPr>
      <w:r>
        <w:rPr>
          <w:rFonts w:ascii="宋体" w:hAnsi="宋体" w:hint="eastAsia"/>
          <w:lang w:eastAsia="zh-CN"/>
        </w:rPr>
        <w:t>（2）实际进度与施工进度计划不一致的，合同当事人可按照第4.4款〔商定或确定〕修改支付分解表；</w:t>
      </w:r>
    </w:p>
    <w:p w14:paraId="45E2C0A0">
      <w:pPr>
        <w:spacing w:line="360" w:lineRule="auto"/>
        <w:rPr>
          <w:rFonts w:ascii="宋体" w:hAnsi="宋体"/>
          <w:lang w:eastAsia="zh-CN"/>
        </w:rPr>
      </w:pPr>
      <w:r>
        <w:rPr>
          <w:rFonts w:ascii="宋体" w:hAnsi="宋体" w:hint="eastAsia"/>
          <w:lang w:eastAsia="zh-CN"/>
        </w:rPr>
        <w:t>（3）不采用支付分解表的，承包人应向发包人和监理人提交按季度编制的支付估算分解表，用于支付参考。</w:t>
      </w:r>
    </w:p>
    <w:p w14:paraId="566F0584">
      <w:pPr>
        <w:spacing w:line="360" w:lineRule="auto"/>
        <w:rPr>
          <w:rFonts w:ascii="宋体" w:hAnsi="宋体"/>
          <w:lang w:eastAsia="zh-CN"/>
        </w:rPr>
      </w:pPr>
      <w:r>
        <w:rPr>
          <w:rFonts w:ascii="宋体" w:hAnsi="宋体" w:hint="eastAsia"/>
          <w:lang w:eastAsia="zh-CN"/>
        </w:rPr>
        <w:t>2.总价合同支付分解表的编制与审批</w:t>
      </w:r>
    </w:p>
    <w:p w14:paraId="20C115E0">
      <w:pPr>
        <w:spacing w:line="360" w:lineRule="auto"/>
        <w:rPr>
          <w:rFonts w:ascii="宋体" w:hAnsi="宋体"/>
          <w:lang w:eastAsia="zh-CN"/>
        </w:rPr>
      </w:pPr>
      <w:r>
        <w:rPr>
          <w:rFonts w:ascii="宋体" w:hAnsi="宋体" w:hint="eastAsia"/>
          <w:lang w:eastAsia="zh-CN"/>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6F67CAFB">
      <w:pPr>
        <w:spacing w:line="360" w:lineRule="auto"/>
        <w:rPr>
          <w:rFonts w:ascii="宋体" w:hAnsi="宋体"/>
          <w:lang w:eastAsia="zh-CN"/>
        </w:rPr>
      </w:pPr>
      <w:r>
        <w:rPr>
          <w:rFonts w:ascii="宋体" w:hAnsi="宋体" w:hint="eastAsia"/>
          <w:lang w:eastAsia="zh-CN"/>
        </w:rPr>
        <w:t>（2）监理人应在收到支付分解表后7天内完成审核并报送发包人。发包人应在收到经监理人审核的支付分解表后7天内完成审批，经发包人批准的支付分解表为有约束力的支付分解表。</w:t>
      </w:r>
    </w:p>
    <w:p w14:paraId="06C3273C">
      <w:pPr>
        <w:spacing w:line="360" w:lineRule="auto"/>
        <w:rPr>
          <w:rFonts w:ascii="宋体" w:hAnsi="宋体"/>
          <w:lang w:eastAsia="zh-CN"/>
        </w:rPr>
      </w:pPr>
      <w:r>
        <w:rPr>
          <w:rFonts w:ascii="宋体" w:hAnsi="宋体" w:hint="eastAsia"/>
          <w:lang w:eastAsia="zh-CN"/>
        </w:rPr>
        <w:t xml:space="preserve">    （3）发包人逾期未完成支付分解表审批的，也未及时要求承包人进行修正和提供补充资料的，则承包人提交的支付分解表视为已经获得发包人批准。</w:t>
      </w:r>
    </w:p>
    <w:p w14:paraId="0A948285">
      <w:pPr>
        <w:spacing w:line="360" w:lineRule="auto"/>
        <w:rPr>
          <w:rFonts w:ascii="宋体" w:hAnsi="宋体"/>
          <w:lang w:eastAsia="zh-CN"/>
        </w:rPr>
      </w:pPr>
      <w:r>
        <w:rPr>
          <w:rFonts w:ascii="宋体" w:hAnsi="宋体" w:hint="eastAsia"/>
          <w:lang w:eastAsia="zh-CN"/>
        </w:rPr>
        <w:t>3.单价合同的总价项目支付分解表的编制与审批</w:t>
      </w:r>
    </w:p>
    <w:p w14:paraId="55EC04F1">
      <w:pPr>
        <w:spacing w:line="360" w:lineRule="auto"/>
        <w:rPr>
          <w:rFonts w:ascii="宋体" w:hAnsi="宋体"/>
          <w:lang w:eastAsia="zh-CN"/>
        </w:rPr>
      </w:pPr>
      <w:r>
        <w:rPr>
          <w:rFonts w:ascii="宋体" w:hAnsi="宋体" w:hint="eastAsia"/>
          <w:lang w:eastAsia="zh-CN"/>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4EBE6E41">
      <w:pPr>
        <w:spacing w:line="360" w:lineRule="auto"/>
        <w:rPr>
          <w:rFonts w:ascii="宋体" w:hAnsi="宋体"/>
          <w:bCs/>
          <w:lang w:eastAsia="zh-CN"/>
        </w:rPr>
      </w:pPr>
      <w:r>
        <w:rPr>
          <w:rFonts w:ascii="宋体" w:hAnsi="宋体" w:hint="eastAsia"/>
          <w:bCs/>
          <w:lang w:eastAsia="zh-CN"/>
        </w:rPr>
        <w:t>12.5支付账户</w:t>
      </w:r>
    </w:p>
    <w:p w14:paraId="3B23B9ED">
      <w:pPr>
        <w:spacing w:line="360" w:lineRule="auto"/>
        <w:rPr>
          <w:rFonts w:ascii="宋体" w:hAnsi="宋体"/>
          <w:lang w:eastAsia="zh-CN"/>
        </w:rPr>
      </w:pPr>
      <w:r>
        <w:rPr>
          <w:rFonts w:ascii="宋体" w:hAnsi="宋体" w:hint="eastAsia"/>
          <w:lang w:eastAsia="zh-CN"/>
        </w:rPr>
        <w:t>发包人应将合同价款支付至合同协议书中约定的承包人账户。</w:t>
      </w:r>
    </w:p>
    <w:p w14:paraId="7C586EF4">
      <w:pPr>
        <w:spacing w:line="360" w:lineRule="auto"/>
        <w:rPr>
          <w:rFonts w:ascii="宋体" w:hAnsi="宋体"/>
          <w:bCs/>
          <w:lang w:eastAsia="zh-CN"/>
        </w:rPr>
      </w:pPr>
      <w:r>
        <w:rPr>
          <w:rFonts w:ascii="宋体" w:hAnsi="宋体" w:hint="eastAsia"/>
          <w:bCs/>
          <w:lang w:eastAsia="zh-CN"/>
        </w:rPr>
        <w:t>13. 验收和工程试车</w:t>
      </w:r>
    </w:p>
    <w:p w14:paraId="716A39E7">
      <w:pPr>
        <w:spacing w:line="360" w:lineRule="auto"/>
        <w:rPr>
          <w:rFonts w:ascii="宋体" w:hAnsi="宋体"/>
          <w:bCs/>
          <w:lang w:eastAsia="zh-CN"/>
        </w:rPr>
      </w:pPr>
      <w:r>
        <w:rPr>
          <w:rFonts w:ascii="宋体" w:hAnsi="宋体" w:hint="eastAsia"/>
          <w:bCs/>
          <w:lang w:eastAsia="zh-CN"/>
        </w:rPr>
        <w:t>13.1分部分项工程验收</w:t>
      </w:r>
    </w:p>
    <w:p w14:paraId="3C5BFD4D">
      <w:pPr>
        <w:spacing w:line="360" w:lineRule="auto"/>
        <w:rPr>
          <w:rFonts w:ascii="宋体" w:hAnsi="宋体"/>
          <w:lang w:eastAsia="zh-CN"/>
        </w:rPr>
      </w:pPr>
      <w:r>
        <w:rPr>
          <w:rFonts w:ascii="宋体" w:hAnsi="宋体" w:hint="eastAsia"/>
          <w:lang w:eastAsia="zh-CN"/>
        </w:rPr>
        <w:t>13.1.1 分部分项工程质量应符合国家有关工程施工验收规范、标准及合同约定，承包人应按照施工组织设计的要求完成分部分项工程施工。</w:t>
      </w:r>
    </w:p>
    <w:p w14:paraId="5E0454E8">
      <w:pPr>
        <w:spacing w:line="360" w:lineRule="auto"/>
        <w:rPr>
          <w:rFonts w:ascii="宋体" w:hAnsi="宋体"/>
          <w:lang w:eastAsia="zh-CN"/>
        </w:rPr>
      </w:pPr>
      <w:r>
        <w:rPr>
          <w:rFonts w:ascii="宋体" w:hAnsi="宋体" w:hint="eastAsia"/>
          <w:lang w:eastAsia="zh-CN"/>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568381FE">
      <w:pPr>
        <w:spacing w:line="360" w:lineRule="auto"/>
        <w:rPr>
          <w:rFonts w:ascii="宋体" w:hAnsi="宋体"/>
          <w:lang w:eastAsia="zh-CN"/>
        </w:rPr>
      </w:pPr>
      <w:r>
        <w:rPr>
          <w:rFonts w:ascii="宋体" w:hAnsi="宋体" w:hint="eastAsia"/>
          <w:lang w:eastAsia="zh-CN"/>
        </w:rPr>
        <w:t>分部分项工程的验收资料应当作为竣工资料的组成部分。</w:t>
      </w:r>
    </w:p>
    <w:p w14:paraId="47D2BE91">
      <w:pPr>
        <w:spacing w:line="360" w:lineRule="auto"/>
        <w:rPr>
          <w:rFonts w:ascii="宋体" w:hAnsi="宋体"/>
          <w:bCs/>
          <w:lang w:eastAsia="zh-CN"/>
        </w:rPr>
      </w:pPr>
      <w:r>
        <w:rPr>
          <w:rFonts w:ascii="宋体" w:hAnsi="宋体" w:hint="eastAsia"/>
          <w:bCs/>
          <w:lang w:eastAsia="zh-CN"/>
        </w:rPr>
        <w:t>13.2竣工验收</w:t>
      </w:r>
    </w:p>
    <w:p w14:paraId="5C753A2D">
      <w:pPr>
        <w:spacing w:line="360" w:lineRule="auto"/>
        <w:rPr>
          <w:rFonts w:ascii="宋体" w:hAnsi="宋体"/>
          <w:lang w:eastAsia="zh-CN"/>
        </w:rPr>
      </w:pPr>
      <w:r>
        <w:rPr>
          <w:rFonts w:ascii="宋体" w:hAnsi="宋体" w:hint="eastAsia"/>
          <w:lang w:eastAsia="zh-CN"/>
        </w:rPr>
        <w:t>13.2.1竣工验收条件</w:t>
      </w:r>
    </w:p>
    <w:p w14:paraId="75F6268F">
      <w:pPr>
        <w:spacing w:line="360" w:lineRule="auto"/>
        <w:rPr>
          <w:rFonts w:ascii="宋体" w:hAnsi="宋体"/>
          <w:lang w:eastAsia="zh-CN"/>
        </w:rPr>
      </w:pPr>
      <w:r>
        <w:rPr>
          <w:rFonts w:ascii="宋体" w:hAnsi="宋体" w:hint="eastAsia"/>
          <w:lang w:eastAsia="zh-CN"/>
        </w:rPr>
        <w:t>工程具备以下条件的，承包人可以申请竣工验收：</w:t>
      </w:r>
    </w:p>
    <w:p w14:paraId="14660D5E">
      <w:pPr>
        <w:spacing w:line="360" w:lineRule="auto"/>
        <w:rPr>
          <w:rFonts w:ascii="宋体" w:hAnsi="宋体"/>
          <w:lang w:eastAsia="zh-CN"/>
        </w:rPr>
      </w:pPr>
      <w:r>
        <w:rPr>
          <w:rFonts w:ascii="宋体" w:hAnsi="宋体" w:hint="eastAsia"/>
          <w:lang w:eastAsia="zh-CN"/>
        </w:rPr>
        <w:t>（1）除发包人同意的甩项工作和缺陷修补工作外，合同范围内的全部工程以及有关工作，包括合同要求的试验、试运行以及检验均已完成，并符合合同要求；</w:t>
      </w:r>
    </w:p>
    <w:p w14:paraId="101E36CF">
      <w:pPr>
        <w:spacing w:line="360" w:lineRule="auto"/>
        <w:rPr>
          <w:rFonts w:ascii="宋体" w:hAnsi="宋体"/>
          <w:lang w:eastAsia="zh-CN"/>
        </w:rPr>
      </w:pPr>
      <w:r>
        <w:rPr>
          <w:rFonts w:ascii="宋体" w:hAnsi="宋体" w:hint="eastAsia"/>
          <w:lang w:eastAsia="zh-CN"/>
        </w:rPr>
        <w:t>（2）已按合同约定编制了甩项工作和缺陷修补工作清单以及相应的施工计划；</w:t>
      </w:r>
    </w:p>
    <w:p w14:paraId="7DE4A407">
      <w:pPr>
        <w:spacing w:line="360" w:lineRule="auto"/>
        <w:rPr>
          <w:rFonts w:ascii="宋体" w:hAnsi="宋体"/>
          <w:lang w:eastAsia="zh-CN"/>
        </w:rPr>
      </w:pPr>
      <w:r>
        <w:rPr>
          <w:rFonts w:ascii="宋体" w:hAnsi="宋体" w:hint="eastAsia"/>
          <w:lang w:eastAsia="zh-CN"/>
        </w:rPr>
        <w:t>（3）已按合同约定的内容和份数备齐竣工资料。</w:t>
      </w:r>
    </w:p>
    <w:p w14:paraId="0BF807ED">
      <w:pPr>
        <w:spacing w:line="360" w:lineRule="auto"/>
        <w:rPr>
          <w:rFonts w:ascii="宋体" w:hAnsi="宋体"/>
          <w:lang w:eastAsia="zh-CN"/>
        </w:rPr>
      </w:pPr>
      <w:r>
        <w:rPr>
          <w:rFonts w:ascii="宋体" w:hAnsi="宋体" w:hint="eastAsia"/>
          <w:lang w:eastAsia="zh-CN"/>
        </w:rPr>
        <w:t>13.2.2竣工验收程序</w:t>
      </w:r>
    </w:p>
    <w:p w14:paraId="18F05F01">
      <w:pPr>
        <w:spacing w:line="360" w:lineRule="auto"/>
        <w:rPr>
          <w:rFonts w:ascii="宋体" w:hAnsi="宋体"/>
          <w:lang w:eastAsia="zh-CN"/>
        </w:rPr>
      </w:pPr>
      <w:r>
        <w:rPr>
          <w:rFonts w:ascii="宋体" w:hAnsi="宋体" w:hint="eastAsia"/>
          <w:lang w:eastAsia="zh-CN"/>
        </w:rPr>
        <w:t>除专用合同条款另有约定外，承包人申请竣工验收的，应当按照以下程序进行：</w:t>
      </w:r>
    </w:p>
    <w:p w14:paraId="0577EDBD">
      <w:pPr>
        <w:spacing w:line="360" w:lineRule="auto"/>
        <w:rPr>
          <w:rFonts w:ascii="宋体" w:hAnsi="宋体"/>
          <w:lang w:eastAsia="zh-CN"/>
        </w:rPr>
      </w:pPr>
      <w:r>
        <w:rPr>
          <w:rFonts w:ascii="宋体" w:hAnsi="宋体" w:hint="eastAsia"/>
          <w:lang w:eastAsia="zh-CN"/>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10AD05A6">
      <w:pPr>
        <w:spacing w:line="360" w:lineRule="auto"/>
        <w:rPr>
          <w:rFonts w:ascii="宋体" w:hAnsi="宋体"/>
          <w:lang w:eastAsia="zh-CN"/>
        </w:rPr>
      </w:pPr>
      <w:r>
        <w:rPr>
          <w:rFonts w:ascii="宋体" w:hAnsi="宋体" w:hint="eastAsia"/>
          <w:lang w:eastAsia="zh-CN"/>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53411CA8">
      <w:pPr>
        <w:spacing w:line="360" w:lineRule="auto"/>
        <w:rPr>
          <w:rFonts w:ascii="宋体" w:hAnsi="宋体"/>
          <w:lang w:eastAsia="zh-CN"/>
        </w:rPr>
      </w:pPr>
      <w:r>
        <w:rPr>
          <w:rFonts w:ascii="宋体" w:hAnsi="宋体" w:hint="eastAsia"/>
          <w:lang w:eastAsia="zh-CN"/>
        </w:rPr>
        <w:t>（3）竣工验收合格的，发包人应在验收合格后14天内向承包人签发工程接收证书。发包人无正当理由逾期不颁发工程接收证书的，自验收合格后第15天起视为已颁发工程接收证书。</w:t>
      </w:r>
    </w:p>
    <w:p w14:paraId="2513EAAF">
      <w:pPr>
        <w:spacing w:line="360" w:lineRule="auto"/>
        <w:rPr>
          <w:rFonts w:ascii="宋体" w:hAnsi="宋体"/>
          <w:lang w:eastAsia="zh-CN"/>
        </w:rPr>
      </w:pPr>
      <w:r>
        <w:rPr>
          <w:rFonts w:ascii="宋体" w:hAnsi="宋体" w:hint="eastAsia"/>
          <w:lang w:eastAsia="zh-CN"/>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3B7183A2">
      <w:pPr>
        <w:spacing w:line="360" w:lineRule="auto"/>
        <w:rPr>
          <w:rFonts w:ascii="宋体" w:hAnsi="宋体"/>
          <w:lang w:eastAsia="zh-CN"/>
        </w:rPr>
      </w:pPr>
      <w:r>
        <w:rPr>
          <w:rFonts w:ascii="宋体" w:hAnsi="宋体" w:hint="eastAsia"/>
          <w:lang w:eastAsia="zh-CN"/>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3CD5BCB2">
      <w:pPr>
        <w:spacing w:line="360" w:lineRule="auto"/>
        <w:rPr>
          <w:rFonts w:ascii="宋体" w:hAnsi="宋体"/>
          <w:lang w:eastAsia="zh-CN"/>
        </w:rPr>
      </w:pPr>
      <w:r>
        <w:rPr>
          <w:rFonts w:ascii="宋体" w:hAnsi="宋体" w:hint="eastAsia"/>
          <w:lang w:eastAsia="zh-CN"/>
        </w:rPr>
        <w:t>除专用合同条款另有约定外，发包人不按照本项约定组织竣工验收、颁发工程接收证书的，每逾期一天，应以签约合同价为基数，按照中国人民银行发布的同期同类贷款基准利率支付违约金。</w:t>
      </w:r>
    </w:p>
    <w:p w14:paraId="3502A11D">
      <w:pPr>
        <w:spacing w:line="360" w:lineRule="auto"/>
        <w:rPr>
          <w:rFonts w:ascii="宋体" w:hAnsi="宋体"/>
          <w:lang w:eastAsia="zh-CN"/>
        </w:rPr>
      </w:pPr>
      <w:r>
        <w:rPr>
          <w:rFonts w:ascii="宋体" w:hAnsi="宋体" w:hint="eastAsia"/>
          <w:lang w:eastAsia="zh-CN"/>
        </w:rPr>
        <w:t>13.2.3竣工日期</w:t>
      </w:r>
    </w:p>
    <w:p w14:paraId="6BEC199F">
      <w:pPr>
        <w:spacing w:line="360" w:lineRule="auto"/>
        <w:rPr>
          <w:rFonts w:ascii="宋体" w:hAnsi="宋体"/>
          <w:lang w:eastAsia="zh-CN"/>
        </w:rPr>
      </w:pPr>
      <w:r>
        <w:rPr>
          <w:rFonts w:ascii="宋体" w:hAnsi="宋体" w:hint="eastAsia"/>
          <w:lang w:eastAsia="zh-CN"/>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14:paraId="685246F1">
      <w:pPr>
        <w:spacing w:line="360" w:lineRule="auto"/>
        <w:rPr>
          <w:rFonts w:ascii="宋体" w:hAnsi="宋体"/>
          <w:lang w:eastAsia="zh-CN"/>
        </w:rPr>
      </w:pPr>
      <w:r>
        <w:rPr>
          <w:rFonts w:ascii="宋体" w:hAnsi="宋体" w:hint="eastAsia"/>
          <w:lang w:eastAsia="zh-CN"/>
        </w:rPr>
        <w:t>13.2.4 拒绝接收全部或部分工程</w:t>
      </w:r>
    </w:p>
    <w:p w14:paraId="11CAC2AB">
      <w:pPr>
        <w:spacing w:line="360" w:lineRule="auto"/>
        <w:rPr>
          <w:rFonts w:ascii="宋体" w:hAnsi="宋体"/>
          <w:lang w:eastAsia="zh-CN"/>
        </w:rPr>
      </w:pPr>
      <w:r>
        <w:rPr>
          <w:rFonts w:ascii="宋体" w:hAnsi="宋体" w:hint="eastAsia"/>
          <w:lang w:eastAsia="zh-CN"/>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586CB9C0">
      <w:pPr>
        <w:spacing w:line="360" w:lineRule="auto"/>
        <w:rPr>
          <w:rFonts w:ascii="宋体" w:hAnsi="宋体"/>
        </w:rPr>
      </w:pPr>
      <w:r>
        <w:rPr>
          <w:rFonts w:ascii="宋体" w:hAnsi="宋体" w:hint="eastAsia"/>
        </w:rPr>
        <w:t>13.2.5 移交、接收全部与部分工程</w:t>
      </w:r>
    </w:p>
    <w:p w14:paraId="6842A0F5">
      <w:pPr>
        <w:spacing w:line="360" w:lineRule="auto"/>
        <w:rPr>
          <w:rFonts w:ascii="宋体" w:hAnsi="宋体"/>
          <w:lang w:eastAsia="zh-CN"/>
        </w:rPr>
      </w:pPr>
      <w:r>
        <w:rPr>
          <w:rFonts w:ascii="宋体" w:hAnsi="宋体" w:hint="eastAsia"/>
          <w:lang w:eastAsia="zh-CN"/>
        </w:rPr>
        <w:t>除专用合同条款另有约定外，合同当事人应当在颁发工程接收证书后7天内完成工程的移交。</w:t>
      </w:r>
    </w:p>
    <w:p w14:paraId="21C966E2">
      <w:pPr>
        <w:spacing w:line="360" w:lineRule="auto"/>
        <w:rPr>
          <w:rFonts w:ascii="宋体" w:hAnsi="宋体"/>
          <w:lang w:eastAsia="zh-CN"/>
        </w:rPr>
      </w:pPr>
      <w:r>
        <w:rPr>
          <w:rFonts w:ascii="宋体" w:hAnsi="宋体" w:hint="eastAsia"/>
          <w:lang w:eastAsia="zh-CN"/>
        </w:rPr>
        <w:t>发包人无正当理由不接收工程的，发包人自应当接收工程之日起，承担工程照管、成品保护、保管等与工程有关的各项费用，合同当事人可以在专用合同条款中另行约定发包人逾期接收工程的违约责任。</w:t>
      </w:r>
    </w:p>
    <w:p w14:paraId="1BAD2D68">
      <w:pPr>
        <w:spacing w:line="360" w:lineRule="auto"/>
        <w:rPr>
          <w:rFonts w:ascii="宋体" w:hAnsi="宋体"/>
          <w:lang w:eastAsia="zh-CN"/>
        </w:rPr>
      </w:pPr>
      <w:r>
        <w:rPr>
          <w:rFonts w:ascii="宋体" w:hAnsi="宋体" w:hint="eastAsia"/>
          <w:lang w:eastAsia="zh-CN"/>
        </w:rPr>
        <w:t>承包人无正当理由不移交工程的，承包人应承担工程照管、成品保护、保管等与工程有关的各项费用，合同当事人可以在专用合同条款中另行约定承包人无正当理由不移交工程的违约责任。</w:t>
      </w:r>
    </w:p>
    <w:p w14:paraId="7C49A64F">
      <w:pPr>
        <w:spacing w:line="360" w:lineRule="auto"/>
        <w:rPr>
          <w:rFonts w:ascii="宋体" w:hAnsi="宋体"/>
          <w:bCs/>
          <w:lang w:eastAsia="zh-CN"/>
        </w:rPr>
      </w:pPr>
      <w:r>
        <w:rPr>
          <w:rFonts w:ascii="宋体" w:hAnsi="宋体" w:hint="eastAsia"/>
          <w:bCs/>
          <w:lang w:eastAsia="zh-CN"/>
        </w:rPr>
        <w:t>13.3工程试车</w:t>
      </w:r>
    </w:p>
    <w:p w14:paraId="05638DE1">
      <w:pPr>
        <w:spacing w:line="360" w:lineRule="auto"/>
        <w:rPr>
          <w:rFonts w:ascii="宋体" w:hAnsi="宋体"/>
          <w:lang w:eastAsia="zh-CN"/>
        </w:rPr>
      </w:pPr>
      <w:r>
        <w:rPr>
          <w:rFonts w:ascii="宋体" w:hAnsi="宋体" w:hint="eastAsia"/>
          <w:lang w:eastAsia="zh-CN"/>
        </w:rPr>
        <w:t>13.3.1试车程序</w:t>
      </w:r>
    </w:p>
    <w:p w14:paraId="0EA6E1BF">
      <w:pPr>
        <w:spacing w:line="360" w:lineRule="auto"/>
        <w:rPr>
          <w:rFonts w:ascii="宋体" w:hAnsi="宋体"/>
          <w:lang w:eastAsia="zh-CN"/>
        </w:rPr>
      </w:pPr>
      <w:r>
        <w:rPr>
          <w:rFonts w:ascii="宋体" w:hAnsi="宋体" w:hint="eastAsia"/>
          <w:lang w:eastAsia="zh-CN"/>
        </w:rPr>
        <w:t>工程需要试车的，除专用合同条款另有约定外，试车内容应与承包人承包范围相一致，试车费用由承包人承担。工程试车应按如下程序进行：</w:t>
      </w:r>
    </w:p>
    <w:p w14:paraId="3F7A9BFA">
      <w:pPr>
        <w:spacing w:line="360" w:lineRule="auto"/>
        <w:rPr>
          <w:rFonts w:ascii="宋体" w:hAnsi="宋体"/>
          <w:lang w:eastAsia="zh-CN"/>
        </w:rPr>
      </w:pPr>
      <w:r>
        <w:rPr>
          <w:rFonts w:ascii="宋体" w:hAnsi="宋体" w:hint="eastAsia"/>
          <w:lang w:eastAsia="zh-CN"/>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76CF2CE8">
      <w:pPr>
        <w:spacing w:line="360" w:lineRule="auto"/>
        <w:rPr>
          <w:rFonts w:ascii="宋体" w:hAnsi="宋体"/>
          <w:lang w:eastAsia="zh-CN"/>
        </w:rPr>
      </w:pPr>
      <w:r>
        <w:rPr>
          <w:rFonts w:ascii="宋体" w:hAnsi="宋体" w:hint="eastAsia"/>
          <w:lang w:eastAsia="zh-CN"/>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1685DE84">
      <w:pPr>
        <w:spacing w:line="360" w:lineRule="auto"/>
        <w:rPr>
          <w:rFonts w:ascii="宋体" w:hAnsi="宋体"/>
          <w:lang w:eastAsia="zh-CN"/>
        </w:rPr>
      </w:pPr>
      <w:r>
        <w:rPr>
          <w:rFonts w:ascii="宋体" w:hAnsi="宋体" w:hint="eastAsia"/>
          <w:lang w:eastAsia="zh-CN"/>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060F927">
      <w:pPr>
        <w:spacing w:line="360" w:lineRule="auto"/>
        <w:rPr>
          <w:rFonts w:ascii="宋体" w:hAnsi="宋体"/>
          <w:lang w:eastAsia="zh-CN"/>
        </w:rPr>
      </w:pPr>
      <w:r>
        <w:rPr>
          <w:rFonts w:ascii="宋体" w:hAnsi="宋体" w:hint="eastAsia"/>
          <w:lang w:eastAsia="zh-CN"/>
        </w:rPr>
        <w:t>13.3.2 试车中的责任</w:t>
      </w:r>
    </w:p>
    <w:p w14:paraId="28E2B199">
      <w:pPr>
        <w:spacing w:line="360" w:lineRule="auto"/>
        <w:rPr>
          <w:rFonts w:ascii="宋体" w:hAnsi="宋体"/>
          <w:lang w:eastAsia="zh-CN"/>
        </w:rPr>
      </w:pPr>
      <w:r>
        <w:rPr>
          <w:rFonts w:ascii="宋体" w:hAnsi="宋体" w:hint="eastAsia"/>
          <w:lang w:eastAsia="zh-CN"/>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295B1AD">
      <w:pPr>
        <w:spacing w:line="360" w:lineRule="auto"/>
        <w:rPr>
          <w:rFonts w:ascii="宋体" w:hAnsi="宋体"/>
          <w:lang w:eastAsia="zh-CN"/>
        </w:rPr>
      </w:pPr>
      <w:r>
        <w:rPr>
          <w:rFonts w:ascii="宋体" w:hAnsi="宋体" w:hint="eastAsia"/>
          <w:lang w:eastAsia="zh-CN"/>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5C9B7AC3">
      <w:pPr>
        <w:spacing w:line="360" w:lineRule="auto"/>
        <w:rPr>
          <w:rFonts w:ascii="宋体" w:hAnsi="宋体"/>
          <w:lang w:eastAsia="zh-CN"/>
        </w:rPr>
      </w:pPr>
      <w:r>
        <w:rPr>
          <w:rFonts w:ascii="宋体" w:hAnsi="宋体" w:hint="eastAsia"/>
          <w:lang w:eastAsia="zh-CN"/>
        </w:rPr>
        <w:t>13.3.3 投料试车</w:t>
      </w:r>
    </w:p>
    <w:p w14:paraId="6A6B4758">
      <w:pPr>
        <w:spacing w:line="360" w:lineRule="auto"/>
        <w:rPr>
          <w:rFonts w:ascii="宋体" w:hAnsi="宋体"/>
          <w:lang w:eastAsia="zh-CN"/>
        </w:rPr>
      </w:pPr>
      <w:r>
        <w:rPr>
          <w:rFonts w:ascii="宋体" w:hAnsi="宋体" w:hint="eastAsia"/>
          <w:lang w:eastAsia="zh-CN"/>
        </w:rPr>
        <w:t>如需进行投料试车的，发包人应在工程竣工验收后组织投料试车。发包人要求在工程竣工验收前进行或需要承包人配合时，应征得承包人同意，并在专用合同条款中约定有关事项。</w:t>
      </w:r>
    </w:p>
    <w:p w14:paraId="4CEF27EE">
      <w:pPr>
        <w:spacing w:line="360" w:lineRule="auto"/>
        <w:rPr>
          <w:rFonts w:ascii="宋体" w:hAnsi="宋体"/>
          <w:lang w:eastAsia="zh-CN"/>
        </w:rPr>
      </w:pPr>
      <w:r>
        <w:rPr>
          <w:rFonts w:ascii="宋体" w:hAnsi="宋体" w:hint="eastAsia"/>
          <w:lang w:eastAsia="zh-CN"/>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4CF8FE4C">
      <w:pPr>
        <w:spacing w:line="360" w:lineRule="auto"/>
        <w:rPr>
          <w:rFonts w:ascii="宋体" w:hAnsi="宋体"/>
          <w:bCs/>
          <w:lang w:eastAsia="zh-CN"/>
        </w:rPr>
      </w:pPr>
      <w:r>
        <w:rPr>
          <w:rFonts w:ascii="宋体" w:hAnsi="宋体" w:hint="eastAsia"/>
          <w:bCs/>
          <w:lang w:eastAsia="zh-CN"/>
        </w:rPr>
        <w:t xml:space="preserve">    13.4提前交付单位工程的验收</w:t>
      </w:r>
    </w:p>
    <w:p w14:paraId="274C05C3">
      <w:pPr>
        <w:spacing w:line="360" w:lineRule="auto"/>
        <w:rPr>
          <w:rFonts w:ascii="宋体" w:hAnsi="宋体"/>
          <w:lang w:eastAsia="zh-CN"/>
        </w:rPr>
      </w:pPr>
      <w:r>
        <w:rPr>
          <w:rFonts w:ascii="宋体" w:hAnsi="宋体" w:hint="eastAsia"/>
          <w:lang w:eastAsia="zh-CN"/>
        </w:rPr>
        <w:t>13.4.1 发包人需要在工程竣工前使用单位工程的，或承包人提出提前交付已经竣工的单位工程且经发包人同意的，可进行单位工程验收，验收的程序按照第13.2款〔竣工验收〕的约定进行。</w:t>
      </w:r>
    </w:p>
    <w:p w14:paraId="5C410A4F">
      <w:pPr>
        <w:spacing w:line="360" w:lineRule="auto"/>
        <w:rPr>
          <w:rFonts w:ascii="宋体" w:hAnsi="宋体"/>
          <w:lang w:eastAsia="zh-CN"/>
        </w:rPr>
      </w:pPr>
      <w:r>
        <w:rPr>
          <w:rFonts w:ascii="宋体" w:hAnsi="宋体" w:hint="eastAsia"/>
          <w:lang w:eastAsia="zh-CN"/>
        </w:rPr>
        <w:t>验收合格后，由监理人向承包人出具经发包人签认的单位工程接收证书。已签发单位工程接收证书的单位工程由发包人负责照管。单位工程的验收成果和结论作为整体工程竣工验收申请报告的附件。</w:t>
      </w:r>
    </w:p>
    <w:p w14:paraId="6EEF0071">
      <w:pPr>
        <w:spacing w:line="360" w:lineRule="auto"/>
        <w:rPr>
          <w:rFonts w:ascii="宋体" w:hAnsi="宋体"/>
          <w:lang w:eastAsia="zh-CN"/>
        </w:rPr>
      </w:pPr>
      <w:r>
        <w:rPr>
          <w:rFonts w:ascii="宋体" w:hAnsi="宋体" w:hint="eastAsia"/>
          <w:lang w:eastAsia="zh-CN"/>
        </w:rPr>
        <w:t>13.4.2 发包人要求在工程竣工前交付单位工程，由此导致承包人费用增加和（或）工期延误的，由发包人承担由此增加的费用和（或）延误的工期，并支付承包人合理的利润。</w:t>
      </w:r>
    </w:p>
    <w:p w14:paraId="7066AD39">
      <w:pPr>
        <w:spacing w:line="360" w:lineRule="auto"/>
        <w:rPr>
          <w:rFonts w:ascii="宋体" w:hAnsi="宋体"/>
          <w:bCs/>
          <w:lang w:eastAsia="zh-CN"/>
        </w:rPr>
      </w:pPr>
      <w:r>
        <w:rPr>
          <w:rFonts w:ascii="宋体" w:hAnsi="宋体" w:hint="eastAsia"/>
          <w:bCs/>
          <w:lang w:eastAsia="zh-CN"/>
        </w:rPr>
        <w:t>13.5 施工期运行</w:t>
      </w:r>
    </w:p>
    <w:p w14:paraId="2B125057">
      <w:pPr>
        <w:spacing w:line="360" w:lineRule="auto"/>
        <w:rPr>
          <w:rFonts w:ascii="宋体" w:hAnsi="宋体"/>
          <w:lang w:eastAsia="zh-CN"/>
        </w:rPr>
      </w:pPr>
      <w:r>
        <w:rPr>
          <w:rFonts w:ascii="宋体" w:hAnsi="宋体" w:hint="eastAsia"/>
          <w:lang w:eastAsia="zh-CN"/>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121765F8">
      <w:pPr>
        <w:spacing w:line="360" w:lineRule="auto"/>
        <w:rPr>
          <w:rFonts w:ascii="宋体" w:hAnsi="宋体"/>
          <w:lang w:eastAsia="zh-CN"/>
        </w:rPr>
      </w:pPr>
      <w:r>
        <w:rPr>
          <w:rFonts w:ascii="宋体" w:hAnsi="宋体" w:hint="eastAsia"/>
          <w:lang w:eastAsia="zh-CN"/>
        </w:rPr>
        <w:t>13.5.2 在施工期运行中发现工程或工程设备损坏或存在缺陷的，由承包人按第15.2款〔缺陷责任期〕约定进行修复。</w:t>
      </w:r>
    </w:p>
    <w:p w14:paraId="6849704E">
      <w:pPr>
        <w:spacing w:line="360" w:lineRule="auto"/>
        <w:rPr>
          <w:rFonts w:ascii="宋体" w:hAnsi="宋体"/>
          <w:bCs/>
          <w:lang w:eastAsia="zh-CN"/>
        </w:rPr>
      </w:pPr>
      <w:r>
        <w:rPr>
          <w:rFonts w:ascii="宋体" w:hAnsi="宋体" w:hint="eastAsia"/>
          <w:bCs/>
          <w:lang w:eastAsia="zh-CN"/>
        </w:rPr>
        <w:t>13.6 竣工退场</w:t>
      </w:r>
    </w:p>
    <w:p w14:paraId="6D56108F">
      <w:pPr>
        <w:spacing w:line="360" w:lineRule="auto"/>
        <w:rPr>
          <w:rFonts w:ascii="宋体" w:hAnsi="宋体"/>
          <w:lang w:eastAsia="zh-CN"/>
        </w:rPr>
      </w:pPr>
      <w:r>
        <w:rPr>
          <w:rFonts w:ascii="宋体" w:hAnsi="宋体" w:hint="eastAsia"/>
          <w:lang w:eastAsia="zh-CN"/>
        </w:rPr>
        <w:t>13.6.1 竣工退场</w:t>
      </w:r>
    </w:p>
    <w:p w14:paraId="676740AA">
      <w:pPr>
        <w:spacing w:line="360" w:lineRule="auto"/>
        <w:rPr>
          <w:rFonts w:ascii="宋体" w:hAnsi="宋体"/>
          <w:lang w:eastAsia="zh-CN"/>
        </w:rPr>
      </w:pPr>
      <w:r>
        <w:rPr>
          <w:rFonts w:ascii="宋体" w:hAnsi="宋体" w:hint="eastAsia"/>
          <w:lang w:eastAsia="zh-CN"/>
        </w:rPr>
        <w:t>颁发工程接收证书后，承包人应按以下要求对施工现场进行清理：</w:t>
      </w:r>
    </w:p>
    <w:p w14:paraId="633DAAC2">
      <w:pPr>
        <w:spacing w:line="360" w:lineRule="auto"/>
        <w:rPr>
          <w:rFonts w:ascii="宋体" w:hAnsi="宋体"/>
          <w:lang w:eastAsia="zh-CN"/>
        </w:rPr>
      </w:pPr>
      <w:r>
        <w:rPr>
          <w:rFonts w:ascii="宋体" w:hAnsi="宋体" w:hint="eastAsia"/>
          <w:lang w:eastAsia="zh-CN"/>
        </w:rPr>
        <w:t>（1）施工现场内残留的垃圾已全部清除出场；</w:t>
      </w:r>
    </w:p>
    <w:p w14:paraId="5C2331D0">
      <w:pPr>
        <w:spacing w:line="360" w:lineRule="auto"/>
        <w:rPr>
          <w:rFonts w:ascii="宋体" w:hAnsi="宋体"/>
          <w:lang w:eastAsia="zh-CN"/>
        </w:rPr>
      </w:pPr>
      <w:r>
        <w:rPr>
          <w:rFonts w:ascii="宋体" w:hAnsi="宋体" w:hint="eastAsia"/>
          <w:lang w:eastAsia="zh-CN"/>
        </w:rPr>
        <w:t>（2）临时工程已拆除，场地已进行清理、平整或复原；</w:t>
      </w:r>
    </w:p>
    <w:p w14:paraId="5E06A116">
      <w:pPr>
        <w:spacing w:line="360" w:lineRule="auto"/>
        <w:rPr>
          <w:rFonts w:ascii="宋体" w:hAnsi="宋体"/>
          <w:lang w:eastAsia="zh-CN"/>
        </w:rPr>
      </w:pPr>
      <w:r>
        <w:rPr>
          <w:rFonts w:ascii="宋体" w:hAnsi="宋体" w:hint="eastAsia"/>
          <w:lang w:eastAsia="zh-CN"/>
        </w:rPr>
        <w:t>（3）按合同约定应撤离的人员、承包人施工设备和剩余的材料，包括废弃的施工设备和材料，已按计划撤离施工现场；</w:t>
      </w:r>
    </w:p>
    <w:p w14:paraId="3331807D">
      <w:pPr>
        <w:spacing w:line="360" w:lineRule="auto"/>
        <w:rPr>
          <w:rFonts w:ascii="宋体" w:hAnsi="宋体"/>
          <w:lang w:eastAsia="zh-CN"/>
        </w:rPr>
      </w:pPr>
      <w:r>
        <w:rPr>
          <w:rFonts w:ascii="宋体" w:hAnsi="宋体" w:hint="eastAsia"/>
          <w:lang w:eastAsia="zh-CN"/>
        </w:rPr>
        <w:t>（4）施工现场周边及其附近道路、河道的施工堆积物，已全部清理；</w:t>
      </w:r>
    </w:p>
    <w:p w14:paraId="7502C2DE">
      <w:pPr>
        <w:spacing w:line="360" w:lineRule="auto"/>
        <w:rPr>
          <w:rFonts w:ascii="宋体" w:hAnsi="宋体"/>
          <w:lang w:eastAsia="zh-CN"/>
        </w:rPr>
      </w:pPr>
      <w:r>
        <w:rPr>
          <w:rFonts w:ascii="宋体" w:hAnsi="宋体" w:hint="eastAsia"/>
          <w:lang w:eastAsia="zh-CN"/>
        </w:rPr>
        <w:t>（5）施工现场其他场地清理工作已全部完成。</w:t>
      </w:r>
    </w:p>
    <w:p w14:paraId="75C29FCC">
      <w:pPr>
        <w:spacing w:line="360" w:lineRule="auto"/>
        <w:rPr>
          <w:rFonts w:ascii="宋体" w:hAnsi="宋体"/>
          <w:lang w:eastAsia="zh-CN"/>
        </w:rPr>
      </w:pPr>
      <w:r>
        <w:rPr>
          <w:rFonts w:ascii="宋体" w:hAnsi="宋体" w:hint="eastAsia"/>
          <w:lang w:eastAsia="zh-CN"/>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2AD3F6FD">
      <w:pPr>
        <w:spacing w:line="360" w:lineRule="auto"/>
        <w:rPr>
          <w:rFonts w:ascii="宋体" w:hAnsi="宋体"/>
          <w:lang w:eastAsia="zh-CN"/>
        </w:rPr>
      </w:pPr>
      <w:r>
        <w:rPr>
          <w:rFonts w:ascii="宋体" w:hAnsi="宋体" w:hint="eastAsia"/>
          <w:lang w:eastAsia="zh-CN"/>
        </w:rPr>
        <w:t>13.6.2 地表还原</w:t>
      </w:r>
    </w:p>
    <w:p w14:paraId="5A76CDF3">
      <w:pPr>
        <w:spacing w:line="360" w:lineRule="auto"/>
        <w:rPr>
          <w:rFonts w:ascii="宋体" w:hAnsi="宋体"/>
          <w:lang w:eastAsia="zh-CN"/>
        </w:rPr>
      </w:pPr>
      <w:r>
        <w:rPr>
          <w:rFonts w:ascii="宋体" w:hAnsi="宋体" w:hint="eastAsia"/>
          <w:lang w:eastAsia="zh-CN"/>
        </w:rPr>
        <w:t>承包人应按发包人要求恢复临时占地及清理场地，承包人未按发包人的要求恢复临时占地，或者场地清理未达到合同约定要求的，发包人有权委托其他人恢复或清理，所发生的费用由承包人承担。</w:t>
      </w:r>
    </w:p>
    <w:p w14:paraId="5A7206BD">
      <w:pPr>
        <w:spacing w:line="360" w:lineRule="auto"/>
        <w:rPr>
          <w:rFonts w:ascii="宋体" w:hAnsi="宋体"/>
          <w:bCs/>
          <w:lang w:eastAsia="zh-CN"/>
        </w:rPr>
      </w:pPr>
      <w:r>
        <w:rPr>
          <w:rFonts w:ascii="宋体" w:hAnsi="宋体" w:hint="eastAsia"/>
          <w:bCs/>
          <w:lang w:eastAsia="zh-CN"/>
        </w:rPr>
        <w:t>14. 竣工结算</w:t>
      </w:r>
    </w:p>
    <w:p w14:paraId="3D784BAB">
      <w:pPr>
        <w:spacing w:line="360" w:lineRule="auto"/>
        <w:rPr>
          <w:rFonts w:ascii="宋体" w:hAnsi="宋体"/>
          <w:bCs/>
          <w:lang w:eastAsia="zh-CN"/>
        </w:rPr>
      </w:pPr>
      <w:r>
        <w:rPr>
          <w:rFonts w:ascii="宋体" w:hAnsi="宋体" w:hint="eastAsia"/>
          <w:bCs/>
          <w:lang w:eastAsia="zh-CN"/>
        </w:rPr>
        <w:t>14.1 竣工结算申请</w:t>
      </w:r>
    </w:p>
    <w:p w14:paraId="0EFFFEED">
      <w:pPr>
        <w:spacing w:line="360" w:lineRule="auto"/>
        <w:rPr>
          <w:rFonts w:ascii="宋体" w:hAnsi="宋体"/>
          <w:lang w:eastAsia="zh-CN"/>
        </w:rPr>
      </w:pPr>
      <w:r>
        <w:rPr>
          <w:rFonts w:ascii="宋体" w:hAnsi="宋体" w:hint="eastAsia"/>
          <w:lang w:eastAsia="zh-CN"/>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35A8A1F3">
      <w:pPr>
        <w:spacing w:line="360" w:lineRule="auto"/>
        <w:rPr>
          <w:rFonts w:ascii="宋体" w:hAnsi="宋体"/>
          <w:lang w:eastAsia="zh-CN"/>
        </w:rPr>
      </w:pPr>
      <w:r>
        <w:rPr>
          <w:rFonts w:ascii="宋体" w:hAnsi="宋体" w:hint="eastAsia"/>
          <w:lang w:eastAsia="zh-CN"/>
        </w:rPr>
        <w:t>除专用合同条款另有约定外，竣工结算申请单应包括以下内容：</w:t>
      </w:r>
    </w:p>
    <w:p w14:paraId="74B90A18">
      <w:pPr>
        <w:spacing w:line="360" w:lineRule="auto"/>
        <w:rPr>
          <w:rFonts w:ascii="宋体" w:hAnsi="宋体"/>
          <w:lang w:eastAsia="zh-CN"/>
        </w:rPr>
      </w:pPr>
      <w:r>
        <w:rPr>
          <w:rFonts w:ascii="宋体" w:hAnsi="宋体" w:hint="eastAsia"/>
          <w:lang w:eastAsia="zh-CN"/>
        </w:rPr>
        <w:t>（1）竣工结算合同价格；</w:t>
      </w:r>
    </w:p>
    <w:p w14:paraId="6809BEED">
      <w:pPr>
        <w:spacing w:line="360" w:lineRule="auto"/>
        <w:rPr>
          <w:rFonts w:ascii="宋体" w:hAnsi="宋体"/>
          <w:lang w:eastAsia="zh-CN"/>
        </w:rPr>
      </w:pPr>
      <w:r>
        <w:rPr>
          <w:rFonts w:ascii="宋体" w:hAnsi="宋体" w:hint="eastAsia"/>
          <w:lang w:eastAsia="zh-CN"/>
        </w:rPr>
        <w:t>（2）发包人已支付承包人的款项；</w:t>
      </w:r>
    </w:p>
    <w:p w14:paraId="060DFA0A">
      <w:pPr>
        <w:spacing w:line="360" w:lineRule="auto"/>
        <w:rPr>
          <w:rFonts w:ascii="宋体" w:hAnsi="宋体"/>
          <w:lang w:eastAsia="zh-CN"/>
        </w:rPr>
      </w:pPr>
      <w:r>
        <w:rPr>
          <w:rFonts w:ascii="宋体" w:hAnsi="宋体" w:hint="eastAsia"/>
          <w:lang w:eastAsia="zh-CN"/>
        </w:rPr>
        <w:t xml:space="preserve">（3）应扣留的质量保证金。已缴纳履约保证金的或提供其他工程质量担保方式的除外； </w:t>
      </w:r>
    </w:p>
    <w:p w14:paraId="1B963AEC">
      <w:pPr>
        <w:spacing w:line="360" w:lineRule="auto"/>
        <w:rPr>
          <w:rFonts w:ascii="宋体" w:hAnsi="宋体"/>
          <w:lang w:eastAsia="zh-CN"/>
        </w:rPr>
      </w:pPr>
      <w:r>
        <w:rPr>
          <w:rFonts w:ascii="宋体" w:hAnsi="宋体" w:hint="eastAsia"/>
          <w:lang w:eastAsia="zh-CN"/>
        </w:rPr>
        <w:t>（4）发包人应支付承包人的合同价款。</w:t>
      </w:r>
    </w:p>
    <w:p w14:paraId="4F1834D6">
      <w:pPr>
        <w:spacing w:line="360" w:lineRule="auto"/>
        <w:rPr>
          <w:rFonts w:ascii="宋体" w:hAnsi="宋体"/>
          <w:bCs/>
          <w:lang w:eastAsia="zh-CN"/>
        </w:rPr>
      </w:pPr>
      <w:r>
        <w:rPr>
          <w:rFonts w:ascii="宋体" w:hAnsi="宋体" w:hint="eastAsia"/>
          <w:bCs/>
          <w:lang w:eastAsia="zh-CN"/>
        </w:rPr>
        <w:t>14.2 竣工结算审核</w:t>
      </w:r>
    </w:p>
    <w:p w14:paraId="099E8FB9">
      <w:pPr>
        <w:spacing w:line="360" w:lineRule="auto"/>
        <w:rPr>
          <w:rFonts w:ascii="宋体" w:hAnsi="宋体"/>
          <w:lang w:eastAsia="zh-CN"/>
        </w:rPr>
      </w:pPr>
      <w:r>
        <w:rPr>
          <w:rFonts w:ascii="宋体" w:hAnsi="宋体" w:hint="eastAsia"/>
          <w:lang w:eastAsia="zh-CN"/>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64AFC6A8">
      <w:pPr>
        <w:spacing w:line="360" w:lineRule="auto"/>
        <w:rPr>
          <w:rFonts w:ascii="宋体" w:hAnsi="宋体"/>
          <w:lang w:eastAsia="zh-CN"/>
        </w:rPr>
      </w:pPr>
      <w:r>
        <w:rPr>
          <w:rFonts w:ascii="宋体" w:hAnsi="宋体" w:hint="eastAsia"/>
          <w:lang w:eastAsia="zh-CN"/>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226874C8">
      <w:pPr>
        <w:spacing w:line="360" w:lineRule="auto"/>
        <w:rPr>
          <w:rFonts w:ascii="宋体" w:hAnsi="宋体"/>
          <w:lang w:eastAsia="zh-CN"/>
        </w:rPr>
      </w:pPr>
      <w:r>
        <w:rPr>
          <w:rFonts w:ascii="宋体" w:hAnsi="宋体" w:hint="eastAsia"/>
          <w:lang w:eastAsia="zh-CN"/>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3ED40015">
      <w:pPr>
        <w:spacing w:line="360" w:lineRule="auto"/>
        <w:rPr>
          <w:rFonts w:ascii="宋体" w:hAnsi="宋体"/>
          <w:lang w:eastAsia="zh-CN"/>
        </w:rPr>
      </w:pPr>
      <w:r>
        <w:rPr>
          <w:rFonts w:ascii="宋体" w:hAnsi="宋体" w:hint="eastAsia"/>
          <w:lang w:eastAsia="zh-CN"/>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2D0AC471">
      <w:pPr>
        <w:spacing w:line="360" w:lineRule="auto"/>
        <w:rPr>
          <w:rFonts w:ascii="宋体" w:hAnsi="宋体"/>
          <w:bCs/>
          <w:lang w:eastAsia="zh-CN"/>
        </w:rPr>
      </w:pPr>
      <w:r>
        <w:rPr>
          <w:rFonts w:ascii="宋体" w:hAnsi="宋体" w:hint="eastAsia"/>
          <w:bCs/>
          <w:lang w:eastAsia="zh-CN"/>
        </w:rPr>
        <w:t>14.3 甩项竣工协议</w:t>
      </w:r>
    </w:p>
    <w:p w14:paraId="0FC9459A">
      <w:pPr>
        <w:spacing w:line="360" w:lineRule="auto"/>
        <w:rPr>
          <w:rFonts w:ascii="宋体" w:hAnsi="宋体"/>
          <w:lang w:eastAsia="zh-CN"/>
        </w:rPr>
      </w:pPr>
      <w:r>
        <w:rPr>
          <w:rFonts w:ascii="宋体" w:hAnsi="宋体" w:hint="eastAsia"/>
          <w:lang w:eastAsia="zh-CN"/>
        </w:rPr>
        <w:t>发包人要求甩项竣工的，合同当事人应签订甩项竣工协议。在甩项竣工协议中应明确，合同当事人按照第14.1款〔竣工结算申请〕及14.2款〔竣工结算审核〕的约定，对已完合格工程进行结算，并支付相应合同价款。</w:t>
      </w:r>
    </w:p>
    <w:p w14:paraId="7A3B57AE">
      <w:pPr>
        <w:spacing w:line="360" w:lineRule="auto"/>
        <w:rPr>
          <w:rFonts w:ascii="宋体" w:hAnsi="宋体"/>
          <w:bCs/>
          <w:lang w:eastAsia="zh-CN"/>
        </w:rPr>
      </w:pPr>
      <w:r>
        <w:rPr>
          <w:rFonts w:ascii="宋体" w:hAnsi="宋体" w:hint="eastAsia"/>
          <w:bCs/>
          <w:lang w:eastAsia="zh-CN"/>
        </w:rPr>
        <w:t>14.4 最终结清</w:t>
      </w:r>
    </w:p>
    <w:p w14:paraId="38E73E20">
      <w:pPr>
        <w:spacing w:line="360" w:lineRule="auto"/>
        <w:rPr>
          <w:rFonts w:ascii="宋体" w:hAnsi="宋体"/>
          <w:lang w:eastAsia="zh-CN"/>
        </w:rPr>
      </w:pPr>
      <w:r>
        <w:rPr>
          <w:rFonts w:ascii="宋体" w:hAnsi="宋体" w:hint="eastAsia"/>
          <w:lang w:eastAsia="zh-CN"/>
        </w:rPr>
        <w:t>14.4.1 最终结清申请单</w:t>
      </w:r>
    </w:p>
    <w:p w14:paraId="3E803B00">
      <w:pPr>
        <w:spacing w:line="360" w:lineRule="auto"/>
        <w:rPr>
          <w:rFonts w:ascii="宋体" w:hAnsi="宋体"/>
          <w:lang w:eastAsia="zh-CN"/>
        </w:rPr>
      </w:pPr>
      <w:r>
        <w:rPr>
          <w:rFonts w:ascii="宋体" w:hAnsi="宋体" w:hint="eastAsia"/>
          <w:lang w:eastAsia="zh-CN"/>
        </w:rPr>
        <w:t>（1）除专用合同条款另有约定外，承包人应在缺陷责任期终止证书颁发后7天内，按专用合同条款约定的份数向发包人提交最终结清申请单，并提供相关证明材料。</w:t>
      </w:r>
    </w:p>
    <w:p w14:paraId="4896645D">
      <w:pPr>
        <w:spacing w:line="360" w:lineRule="auto"/>
        <w:rPr>
          <w:rFonts w:ascii="宋体" w:hAnsi="宋体"/>
          <w:lang w:eastAsia="zh-CN"/>
        </w:rPr>
      </w:pPr>
      <w:r>
        <w:rPr>
          <w:rFonts w:ascii="宋体" w:hAnsi="宋体" w:hint="eastAsia"/>
          <w:lang w:eastAsia="zh-CN"/>
        </w:rPr>
        <w:t>除专用合同条款另有约定外，最终结清申请单应列明质量保证金、应扣除的质量保证金、缺陷责任期内发生的增减费用。</w:t>
      </w:r>
    </w:p>
    <w:p w14:paraId="5904B782">
      <w:pPr>
        <w:spacing w:line="360" w:lineRule="auto"/>
        <w:rPr>
          <w:rFonts w:ascii="宋体" w:hAnsi="宋体"/>
          <w:lang w:eastAsia="zh-CN"/>
        </w:rPr>
      </w:pPr>
      <w:r>
        <w:rPr>
          <w:rFonts w:ascii="宋体" w:hAnsi="宋体" w:hint="eastAsia"/>
          <w:lang w:eastAsia="zh-CN"/>
        </w:rPr>
        <w:t>（2）发包人对最终结清申请单内容有异议的，有权要求承包人进行修正和提供补充资料，承包人应向发包人提交修正后的最终结清申请单。</w:t>
      </w:r>
    </w:p>
    <w:p w14:paraId="6388CA5D">
      <w:pPr>
        <w:spacing w:line="360" w:lineRule="auto"/>
        <w:rPr>
          <w:rFonts w:ascii="宋体" w:hAnsi="宋体"/>
          <w:lang w:eastAsia="zh-CN"/>
        </w:rPr>
      </w:pPr>
      <w:r>
        <w:rPr>
          <w:rFonts w:ascii="宋体" w:hAnsi="宋体" w:hint="eastAsia"/>
          <w:lang w:eastAsia="zh-CN"/>
        </w:rPr>
        <w:t>14.4.2 最终结清证书和支付</w:t>
      </w:r>
    </w:p>
    <w:p w14:paraId="47B37FAB">
      <w:pPr>
        <w:spacing w:line="360" w:lineRule="auto"/>
        <w:rPr>
          <w:rFonts w:ascii="宋体" w:hAnsi="宋体"/>
          <w:lang w:eastAsia="zh-CN"/>
        </w:rPr>
      </w:pPr>
      <w:r>
        <w:rPr>
          <w:rFonts w:ascii="宋体" w:hAnsi="宋体" w:hint="eastAsia"/>
          <w:lang w:eastAsia="zh-CN"/>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3E27EF7C">
      <w:pPr>
        <w:spacing w:line="360" w:lineRule="auto"/>
        <w:rPr>
          <w:rFonts w:ascii="宋体" w:hAnsi="宋体"/>
          <w:lang w:eastAsia="zh-CN"/>
        </w:rPr>
      </w:pPr>
      <w:r>
        <w:rPr>
          <w:rFonts w:ascii="宋体" w:hAnsi="宋体" w:hint="eastAsia"/>
          <w:lang w:eastAsia="zh-CN"/>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3DAEA032">
      <w:pPr>
        <w:spacing w:line="360" w:lineRule="auto"/>
        <w:rPr>
          <w:rFonts w:ascii="宋体" w:hAnsi="宋体"/>
          <w:lang w:eastAsia="zh-CN"/>
        </w:rPr>
      </w:pPr>
      <w:r>
        <w:rPr>
          <w:rFonts w:ascii="宋体" w:hAnsi="宋体" w:hint="eastAsia"/>
          <w:lang w:eastAsia="zh-CN"/>
        </w:rPr>
        <w:t>（3）承包人对发包人颁发的最终结清证书有异议的，按第20条〔争议解决〕的约定办理。</w:t>
      </w:r>
    </w:p>
    <w:p w14:paraId="641CCE31">
      <w:pPr>
        <w:spacing w:line="360" w:lineRule="auto"/>
        <w:rPr>
          <w:rFonts w:ascii="宋体" w:hAnsi="宋体"/>
          <w:bCs/>
          <w:lang w:eastAsia="zh-CN"/>
        </w:rPr>
      </w:pPr>
      <w:r>
        <w:rPr>
          <w:rFonts w:ascii="宋体" w:hAnsi="宋体" w:hint="eastAsia"/>
          <w:bCs/>
          <w:lang w:eastAsia="zh-CN"/>
        </w:rPr>
        <w:t>15. 缺陷责任与保修</w:t>
      </w:r>
    </w:p>
    <w:p w14:paraId="2B11FB82">
      <w:pPr>
        <w:spacing w:line="360" w:lineRule="auto"/>
        <w:rPr>
          <w:rFonts w:ascii="宋体" w:hAnsi="宋体"/>
          <w:bCs/>
          <w:lang w:eastAsia="zh-CN"/>
        </w:rPr>
      </w:pPr>
      <w:r>
        <w:rPr>
          <w:rFonts w:ascii="宋体" w:hAnsi="宋体" w:hint="eastAsia"/>
          <w:bCs/>
          <w:lang w:eastAsia="zh-CN"/>
        </w:rPr>
        <w:t>15.1 工程保修的原则</w:t>
      </w:r>
    </w:p>
    <w:p w14:paraId="0F90BF2D">
      <w:pPr>
        <w:spacing w:line="360" w:lineRule="auto"/>
        <w:rPr>
          <w:rFonts w:ascii="宋体" w:hAnsi="宋体"/>
          <w:lang w:eastAsia="zh-CN"/>
        </w:rPr>
      </w:pPr>
      <w:r>
        <w:rPr>
          <w:rFonts w:ascii="宋体" w:hAnsi="宋体" w:hint="eastAsia"/>
          <w:lang w:eastAsia="zh-CN"/>
        </w:rPr>
        <w:t>在工程移交发包人后，因承包人原因产生的质量缺陷，承包人应承担质量缺陷责任和保修义务。缺陷责任期届满，承包人仍应按合同约定的工程各部位保修年限承担保修义务。</w:t>
      </w:r>
    </w:p>
    <w:p w14:paraId="2F211BD4">
      <w:pPr>
        <w:spacing w:line="360" w:lineRule="auto"/>
        <w:rPr>
          <w:rFonts w:ascii="宋体" w:hAnsi="宋体"/>
          <w:bCs/>
          <w:lang w:eastAsia="zh-CN"/>
        </w:rPr>
      </w:pPr>
      <w:r>
        <w:rPr>
          <w:rFonts w:ascii="宋体" w:hAnsi="宋体" w:hint="eastAsia"/>
          <w:bCs/>
          <w:lang w:eastAsia="zh-CN"/>
        </w:rPr>
        <w:t>15.2 缺陷责任期</w:t>
      </w:r>
    </w:p>
    <w:p w14:paraId="175DBC18">
      <w:pPr>
        <w:spacing w:line="360" w:lineRule="auto"/>
        <w:rPr>
          <w:rFonts w:ascii="宋体" w:hAnsi="宋体"/>
          <w:lang w:eastAsia="zh-CN"/>
        </w:rPr>
      </w:pPr>
      <w:r>
        <w:rPr>
          <w:rFonts w:ascii="宋体" w:hAnsi="宋体" w:hint="eastAsia"/>
          <w:lang w:eastAsia="zh-CN"/>
        </w:rPr>
        <w:t>15.2.1 缺陷责任期从工程通过竣工验收之日起计算，合同当事人应在专用合同条款约定缺陷责任期的具体期限，但该期限最长不超过24个月。</w:t>
      </w:r>
    </w:p>
    <w:p w14:paraId="18DFBBD4">
      <w:pPr>
        <w:spacing w:line="360" w:lineRule="auto"/>
        <w:rPr>
          <w:rFonts w:ascii="宋体" w:hAnsi="宋体"/>
          <w:lang w:eastAsia="zh-CN"/>
        </w:rPr>
      </w:pPr>
      <w:r>
        <w:rPr>
          <w:rFonts w:ascii="宋体" w:hAnsi="宋体" w:hint="eastAsia"/>
          <w:lang w:eastAsia="zh-CN"/>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214CE1B8">
      <w:pPr>
        <w:spacing w:line="360" w:lineRule="auto"/>
        <w:rPr>
          <w:rFonts w:ascii="宋体" w:hAnsi="宋体"/>
          <w:lang w:eastAsia="zh-CN"/>
        </w:rPr>
      </w:pPr>
      <w:r>
        <w:rPr>
          <w:rFonts w:ascii="宋体" w:hAnsi="宋体" w:hint="eastAsia"/>
          <w:lang w:eastAsia="zh-CN"/>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ascii="宋体" w:hAnsi="宋体" w:hint="eastAsia"/>
          <w:bCs/>
          <w:lang w:eastAsia="zh-CN"/>
        </w:rPr>
        <w:t>包人延长缺陷责任期，</w:t>
      </w:r>
      <w:r>
        <w:rPr>
          <w:rFonts w:ascii="宋体" w:hAnsi="宋体" w:hint="eastAsia"/>
          <w:lang w:eastAsia="zh-CN"/>
        </w:rPr>
        <w:t>并应在原缺陷责任期届满前发出延长通知。</w:t>
      </w:r>
      <w:r>
        <w:rPr>
          <w:rFonts w:ascii="宋体" w:hAnsi="宋体" w:hint="eastAsia"/>
          <w:bCs/>
          <w:lang w:eastAsia="zh-CN"/>
        </w:rPr>
        <w:t>但缺陷责任期（含延长部分）最长</w:t>
      </w:r>
      <w:r>
        <w:rPr>
          <w:rFonts w:ascii="宋体" w:hAnsi="宋体" w:hint="eastAsia"/>
          <w:lang w:eastAsia="zh-CN"/>
        </w:rPr>
        <w:t>不能超过24个月。</w:t>
      </w:r>
    </w:p>
    <w:p w14:paraId="22CFF26C">
      <w:pPr>
        <w:spacing w:line="360" w:lineRule="auto"/>
        <w:rPr>
          <w:rFonts w:ascii="宋体" w:hAnsi="宋体"/>
          <w:lang w:eastAsia="zh-CN"/>
        </w:rPr>
      </w:pPr>
      <w:r>
        <w:rPr>
          <w:rFonts w:ascii="宋体" w:hAnsi="宋体" w:hint="eastAsia"/>
          <w:lang w:eastAsia="zh-CN"/>
        </w:rPr>
        <w:t>由他人原因造成的缺陷，发包人负责组织维修，承包人不承担费用，且发包人不得从保证金中扣除费用。</w:t>
      </w:r>
    </w:p>
    <w:p w14:paraId="18EA365D">
      <w:pPr>
        <w:spacing w:line="360" w:lineRule="auto"/>
        <w:rPr>
          <w:rFonts w:ascii="宋体" w:hAnsi="宋体"/>
          <w:lang w:eastAsia="zh-CN"/>
        </w:rPr>
      </w:pPr>
      <w:r>
        <w:rPr>
          <w:rFonts w:ascii="宋体" w:hAnsi="宋体" w:hint="eastAsia"/>
          <w:lang w:eastAsia="zh-CN"/>
        </w:rPr>
        <w:t>15.2.3 任何一项缺陷或损坏修复后，经检查证明其影响了工程或工程设备的使用性能，承包人应重新进行合同约定的试验和试运行，试验和试运行的全部费用应由责任方承担。</w:t>
      </w:r>
    </w:p>
    <w:p w14:paraId="2686AB27">
      <w:pPr>
        <w:spacing w:line="360" w:lineRule="auto"/>
        <w:rPr>
          <w:rFonts w:ascii="宋体" w:hAnsi="宋体"/>
          <w:lang w:eastAsia="zh-CN"/>
        </w:rPr>
      </w:pPr>
      <w:r>
        <w:rPr>
          <w:rFonts w:ascii="宋体" w:hAnsi="宋体" w:hint="eastAsia"/>
          <w:lang w:eastAsia="zh-CN"/>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7F608CF7">
      <w:pPr>
        <w:spacing w:line="360" w:lineRule="auto"/>
        <w:rPr>
          <w:rFonts w:ascii="宋体" w:hAnsi="宋体"/>
          <w:bCs/>
          <w:lang w:eastAsia="zh-CN"/>
        </w:rPr>
      </w:pPr>
      <w:r>
        <w:rPr>
          <w:rFonts w:ascii="宋体" w:hAnsi="宋体" w:hint="eastAsia"/>
          <w:bCs/>
          <w:lang w:eastAsia="zh-CN"/>
        </w:rPr>
        <w:t>15.3 质量保证金</w:t>
      </w:r>
    </w:p>
    <w:p w14:paraId="11B4F1D3">
      <w:pPr>
        <w:spacing w:line="360" w:lineRule="auto"/>
        <w:rPr>
          <w:rFonts w:ascii="宋体" w:hAnsi="宋体"/>
          <w:lang w:eastAsia="zh-CN"/>
        </w:rPr>
      </w:pPr>
      <w:r>
        <w:rPr>
          <w:rFonts w:ascii="宋体" w:hAnsi="宋体" w:hint="eastAsia"/>
          <w:lang w:eastAsia="zh-CN"/>
        </w:rPr>
        <w:t>经合同当事人协商一致扣留质量保证金的，应在专用合同条款中予以明确。</w:t>
      </w:r>
    </w:p>
    <w:p w14:paraId="72EDFD47">
      <w:pPr>
        <w:spacing w:line="360" w:lineRule="auto"/>
        <w:rPr>
          <w:rFonts w:ascii="宋体" w:hAnsi="宋体"/>
          <w:lang w:eastAsia="zh-CN"/>
        </w:rPr>
      </w:pPr>
      <w:r>
        <w:rPr>
          <w:rFonts w:ascii="宋体" w:hAnsi="宋体" w:hint="eastAsia"/>
          <w:lang w:eastAsia="zh-CN"/>
        </w:rPr>
        <w:t>在工程项目竣工前，承包人已经提供履约担保的，发包人不得同时预留工程质量保证金。</w:t>
      </w:r>
    </w:p>
    <w:p w14:paraId="7A8E92EB">
      <w:pPr>
        <w:spacing w:line="360" w:lineRule="auto"/>
        <w:rPr>
          <w:rFonts w:ascii="宋体" w:hAnsi="宋体"/>
          <w:lang w:eastAsia="zh-CN"/>
        </w:rPr>
      </w:pPr>
    </w:p>
    <w:p w14:paraId="6EC8D757">
      <w:pPr>
        <w:spacing w:line="360" w:lineRule="auto"/>
        <w:rPr>
          <w:rFonts w:ascii="宋体" w:hAnsi="宋体"/>
          <w:lang w:eastAsia="zh-CN"/>
        </w:rPr>
      </w:pPr>
      <w:r>
        <w:rPr>
          <w:rFonts w:ascii="宋体" w:hAnsi="宋体" w:hint="eastAsia"/>
          <w:lang w:eastAsia="zh-CN"/>
        </w:rPr>
        <w:t>15.3.1 承包人提供质量保证金的方式</w:t>
      </w:r>
    </w:p>
    <w:p w14:paraId="36CA5C44">
      <w:pPr>
        <w:spacing w:line="360" w:lineRule="auto"/>
        <w:rPr>
          <w:rFonts w:ascii="宋体" w:hAnsi="宋体"/>
          <w:lang w:eastAsia="zh-CN"/>
        </w:rPr>
      </w:pPr>
      <w:r>
        <w:rPr>
          <w:rFonts w:ascii="宋体" w:hAnsi="宋体" w:hint="eastAsia"/>
          <w:lang w:eastAsia="zh-CN"/>
        </w:rPr>
        <w:t>承包人提供质量保证金有以下三种方式：</w:t>
      </w:r>
    </w:p>
    <w:p w14:paraId="4BD9A855">
      <w:pPr>
        <w:spacing w:line="360" w:lineRule="auto"/>
        <w:rPr>
          <w:rFonts w:ascii="宋体" w:hAnsi="宋体"/>
          <w:lang w:eastAsia="zh-CN"/>
        </w:rPr>
      </w:pPr>
      <w:r>
        <w:rPr>
          <w:rFonts w:ascii="宋体" w:hAnsi="宋体" w:hint="eastAsia"/>
          <w:lang w:eastAsia="zh-CN"/>
        </w:rPr>
        <w:t xml:space="preserve">（1）质量保证金保函； </w:t>
      </w:r>
    </w:p>
    <w:p w14:paraId="696BB933">
      <w:pPr>
        <w:spacing w:line="360" w:lineRule="auto"/>
        <w:rPr>
          <w:rFonts w:ascii="宋体" w:hAnsi="宋体"/>
          <w:lang w:eastAsia="zh-CN"/>
        </w:rPr>
      </w:pPr>
      <w:r>
        <w:rPr>
          <w:rFonts w:ascii="宋体" w:hAnsi="宋体" w:hint="eastAsia"/>
          <w:lang w:eastAsia="zh-CN"/>
        </w:rPr>
        <w:t>（2）相应比例的工程款；</w:t>
      </w:r>
    </w:p>
    <w:p w14:paraId="50A0A154">
      <w:pPr>
        <w:spacing w:line="360" w:lineRule="auto"/>
        <w:rPr>
          <w:rFonts w:ascii="宋体" w:hAnsi="宋体"/>
          <w:lang w:eastAsia="zh-CN"/>
        </w:rPr>
      </w:pPr>
      <w:r>
        <w:rPr>
          <w:rFonts w:ascii="宋体" w:hAnsi="宋体" w:hint="eastAsia"/>
          <w:lang w:eastAsia="zh-CN"/>
        </w:rPr>
        <w:t>（3）双方约定的其他方式。</w:t>
      </w:r>
    </w:p>
    <w:p w14:paraId="4977690B">
      <w:pPr>
        <w:spacing w:line="360" w:lineRule="auto"/>
        <w:rPr>
          <w:rFonts w:ascii="宋体" w:hAnsi="宋体"/>
          <w:lang w:eastAsia="zh-CN"/>
        </w:rPr>
      </w:pPr>
      <w:r>
        <w:rPr>
          <w:rFonts w:ascii="宋体" w:hAnsi="宋体" w:hint="eastAsia"/>
          <w:lang w:eastAsia="zh-CN"/>
        </w:rPr>
        <w:t>除专用合同条款另有约定外，质量保证金原则上采用上述第（1）种方式。</w:t>
      </w:r>
    </w:p>
    <w:p w14:paraId="572B6E1D">
      <w:pPr>
        <w:spacing w:line="360" w:lineRule="auto"/>
        <w:rPr>
          <w:rFonts w:ascii="宋体" w:hAnsi="宋体"/>
          <w:lang w:eastAsia="zh-CN"/>
        </w:rPr>
      </w:pPr>
      <w:r>
        <w:rPr>
          <w:rFonts w:ascii="宋体" w:hAnsi="宋体" w:hint="eastAsia"/>
          <w:lang w:eastAsia="zh-CN"/>
        </w:rPr>
        <w:t>15.3.2 质量保证金的扣留</w:t>
      </w:r>
    </w:p>
    <w:p w14:paraId="7044B9E5">
      <w:pPr>
        <w:spacing w:line="360" w:lineRule="auto"/>
        <w:rPr>
          <w:rFonts w:ascii="宋体" w:hAnsi="宋体"/>
          <w:lang w:eastAsia="zh-CN"/>
        </w:rPr>
      </w:pPr>
      <w:r>
        <w:rPr>
          <w:rFonts w:ascii="宋体" w:hAnsi="宋体" w:hint="eastAsia"/>
          <w:lang w:eastAsia="zh-CN"/>
        </w:rPr>
        <w:t>质量保证金的扣留有以下三种方式：</w:t>
      </w:r>
    </w:p>
    <w:p w14:paraId="43F66544">
      <w:pPr>
        <w:spacing w:line="360" w:lineRule="auto"/>
        <w:rPr>
          <w:rFonts w:ascii="宋体" w:hAnsi="宋体"/>
          <w:lang w:eastAsia="zh-CN"/>
        </w:rPr>
      </w:pPr>
      <w:r>
        <w:rPr>
          <w:rFonts w:ascii="宋体" w:hAnsi="宋体" w:hint="eastAsia"/>
          <w:lang w:eastAsia="zh-CN"/>
        </w:rPr>
        <w:t>（1）在支付工程进度款时逐次扣留，在此情形下，质量保证金的计算基数不包括预付款的支付、扣回以及价格调整的金额；</w:t>
      </w:r>
    </w:p>
    <w:p w14:paraId="2B5CC6CD">
      <w:pPr>
        <w:spacing w:line="360" w:lineRule="auto"/>
        <w:rPr>
          <w:rFonts w:ascii="宋体" w:hAnsi="宋体"/>
          <w:lang w:eastAsia="zh-CN"/>
        </w:rPr>
      </w:pPr>
      <w:r>
        <w:rPr>
          <w:rFonts w:ascii="宋体" w:hAnsi="宋体" w:hint="eastAsia"/>
          <w:lang w:eastAsia="zh-CN"/>
        </w:rPr>
        <w:t>（2）工程竣工结算时一次性扣留质量保证金；</w:t>
      </w:r>
    </w:p>
    <w:p w14:paraId="7997C039">
      <w:pPr>
        <w:spacing w:line="360" w:lineRule="auto"/>
        <w:rPr>
          <w:rFonts w:ascii="宋体" w:hAnsi="宋体"/>
          <w:lang w:eastAsia="zh-CN"/>
        </w:rPr>
      </w:pPr>
      <w:r>
        <w:rPr>
          <w:rFonts w:ascii="宋体" w:hAnsi="宋体" w:hint="eastAsia"/>
          <w:lang w:eastAsia="zh-CN"/>
        </w:rPr>
        <w:t>（3）双方约定的其他扣留方式。</w:t>
      </w:r>
    </w:p>
    <w:p w14:paraId="43451FD7">
      <w:pPr>
        <w:spacing w:line="360" w:lineRule="auto"/>
        <w:rPr>
          <w:rFonts w:ascii="宋体" w:hAnsi="宋体"/>
          <w:lang w:eastAsia="zh-CN"/>
        </w:rPr>
      </w:pPr>
      <w:r>
        <w:rPr>
          <w:rFonts w:ascii="宋体" w:hAnsi="宋体" w:hint="eastAsia"/>
          <w:lang w:eastAsia="zh-CN"/>
        </w:rPr>
        <w:t>除专用合同条款另有约定外，质量保证金的扣留原则上采用上述第（1）种方式。</w:t>
      </w:r>
    </w:p>
    <w:p w14:paraId="0CB43CA5">
      <w:pPr>
        <w:spacing w:line="360" w:lineRule="auto"/>
        <w:rPr>
          <w:rFonts w:ascii="宋体" w:hAnsi="宋体"/>
          <w:lang w:eastAsia="zh-CN"/>
        </w:rPr>
      </w:pPr>
      <w:r>
        <w:rPr>
          <w:rFonts w:ascii="宋体" w:hAnsi="宋体" w:hint="eastAsia"/>
          <w:lang w:eastAsia="zh-CN"/>
        </w:rPr>
        <w:t>发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0384117C">
      <w:pPr>
        <w:spacing w:line="360" w:lineRule="auto"/>
        <w:rPr>
          <w:rFonts w:ascii="宋体" w:hAnsi="宋体"/>
          <w:lang w:eastAsia="zh-CN"/>
        </w:rPr>
      </w:pPr>
      <w:r>
        <w:rPr>
          <w:rFonts w:ascii="宋体" w:hAnsi="宋体" w:hint="eastAsia"/>
          <w:lang w:eastAsia="zh-CN"/>
        </w:rPr>
        <w:t>发包人在退还质量保证金的同时按照中国人民银行发布的同期同类贷款基准利率支付利息。</w:t>
      </w:r>
    </w:p>
    <w:p w14:paraId="30C653A2">
      <w:pPr>
        <w:spacing w:line="360" w:lineRule="auto"/>
        <w:rPr>
          <w:rFonts w:ascii="宋体" w:hAnsi="宋体"/>
          <w:lang w:eastAsia="zh-CN"/>
        </w:rPr>
      </w:pPr>
      <w:r>
        <w:rPr>
          <w:rFonts w:ascii="宋体" w:hAnsi="宋体" w:hint="eastAsia"/>
          <w:lang w:eastAsia="zh-CN"/>
        </w:rPr>
        <w:t>15.3.3 质量保证金的退还</w:t>
      </w:r>
    </w:p>
    <w:p w14:paraId="6354ACA4">
      <w:pPr>
        <w:spacing w:line="360" w:lineRule="auto"/>
        <w:rPr>
          <w:rFonts w:ascii="宋体" w:hAnsi="宋体"/>
          <w:lang w:eastAsia="zh-CN"/>
        </w:rPr>
      </w:pPr>
      <w:r>
        <w:rPr>
          <w:rFonts w:ascii="宋体" w:hAnsi="宋体" w:hint="eastAsia"/>
          <w:lang w:eastAsia="zh-CN"/>
        </w:rPr>
        <w:t>缺陷责任期内，承包人认真履行合同约定的责任，到期后，承包人可向发包人申请返还保证金。</w:t>
      </w:r>
    </w:p>
    <w:p w14:paraId="6D22F6D5">
      <w:pPr>
        <w:spacing w:line="360" w:lineRule="auto"/>
        <w:rPr>
          <w:rFonts w:ascii="宋体" w:hAnsi="宋体"/>
          <w:lang w:eastAsia="zh-CN"/>
        </w:rPr>
      </w:pPr>
      <w:r>
        <w:rPr>
          <w:rFonts w:ascii="宋体" w:hAnsi="宋体" w:hint="eastAsia"/>
          <w:lang w:eastAsia="zh-CN"/>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40E2E82A">
      <w:pPr>
        <w:spacing w:line="360" w:lineRule="auto"/>
        <w:rPr>
          <w:rFonts w:ascii="宋体" w:hAnsi="宋体"/>
          <w:lang w:eastAsia="zh-CN"/>
        </w:rPr>
      </w:pPr>
      <w:r>
        <w:rPr>
          <w:rFonts w:ascii="宋体" w:hAnsi="宋体" w:hint="eastAsia"/>
          <w:lang w:eastAsia="zh-CN"/>
        </w:rPr>
        <w:t>发包人和承包人对保证金预留、返还以及工程维修质量、费用有争议的，按本合同第20条约定的争议和纠纷解决程序处理。</w:t>
      </w:r>
    </w:p>
    <w:p w14:paraId="03DE727A">
      <w:pPr>
        <w:spacing w:line="360" w:lineRule="auto"/>
        <w:rPr>
          <w:rFonts w:ascii="宋体" w:hAnsi="宋体"/>
          <w:bCs/>
          <w:lang w:eastAsia="zh-CN"/>
        </w:rPr>
      </w:pPr>
      <w:r>
        <w:rPr>
          <w:rFonts w:ascii="宋体" w:hAnsi="宋体" w:hint="eastAsia"/>
          <w:bCs/>
          <w:lang w:eastAsia="zh-CN"/>
        </w:rPr>
        <w:t>15.4 保修</w:t>
      </w:r>
    </w:p>
    <w:p w14:paraId="2AF44CEF">
      <w:pPr>
        <w:spacing w:line="360" w:lineRule="auto"/>
        <w:rPr>
          <w:rFonts w:ascii="宋体" w:hAnsi="宋体"/>
          <w:lang w:eastAsia="zh-CN"/>
        </w:rPr>
      </w:pPr>
      <w:r>
        <w:rPr>
          <w:rFonts w:ascii="宋体" w:hAnsi="宋体" w:hint="eastAsia"/>
          <w:lang w:eastAsia="zh-CN"/>
        </w:rPr>
        <w:t>15.4.1保修责任</w:t>
      </w:r>
    </w:p>
    <w:p w14:paraId="23266DC6">
      <w:pPr>
        <w:spacing w:line="360" w:lineRule="auto"/>
        <w:rPr>
          <w:rFonts w:ascii="宋体" w:hAnsi="宋体"/>
          <w:lang w:eastAsia="zh-CN"/>
        </w:rPr>
      </w:pPr>
      <w:r>
        <w:rPr>
          <w:rFonts w:ascii="宋体" w:hAnsi="宋体" w:hint="eastAsia"/>
          <w:lang w:eastAsia="zh-CN"/>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5DB74CB9">
      <w:pPr>
        <w:spacing w:line="360" w:lineRule="auto"/>
        <w:rPr>
          <w:rFonts w:ascii="宋体" w:hAnsi="宋体"/>
          <w:lang w:eastAsia="zh-CN"/>
        </w:rPr>
      </w:pPr>
      <w:r>
        <w:rPr>
          <w:rFonts w:ascii="宋体" w:hAnsi="宋体" w:hint="eastAsia"/>
          <w:lang w:eastAsia="zh-CN"/>
        </w:rPr>
        <w:t>发包人未经竣工验收擅自使用工程的，保修期自转移占有之日起算。</w:t>
      </w:r>
    </w:p>
    <w:p w14:paraId="3E2543D8">
      <w:pPr>
        <w:spacing w:line="360" w:lineRule="auto"/>
        <w:rPr>
          <w:rFonts w:ascii="宋体" w:hAnsi="宋体"/>
          <w:lang w:eastAsia="zh-CN"/>
        </w:rPr>
      </w:pPr>
      <w:r>
        <w:rPr>
          <w:rFonts w:ascii="宋体" w:hAnsi="宋体" w:hint="eastAsia"/>
          <w:lang w:eastAsia="zh-CN"/>
        </w:rPr>
        <w:t>15.4.2 修复费用</w:t>
      </w:r>
    </w:p>
    <w:p w14:paraId="38864A61">
      <w:pPr>
        <w:spacing w:line="360" w:lineRule="auto"/>
        <w:rPr>
          <w:rFonts w:ascii="宋体" w:hAnsi="宋体"/>
          <w:lang w:eastAsia="zh-CN"/>
        </w:rPr>
      </w:pPr>
      <w:r>
        <w:rPr>
          <w:rFonts w:ascii="宋体" w:hAnsi="宋体" w:hint="eastAsia"/>
          <w:lang w:eastAsia="zh-CN"/>
        </w:rPr>
        <w:t>保修期内，修复的费用按照以下约定处理：</w:t>
      </w:r>
    </w:p>
    <w:p w14:paraId="7C0F29FC">
      <w:pPr>
        <w:spacing w:line="360" w:lineRule="auto"/>
        <w:rPr>
          <w:rFonts w:ascii="宋体" w:hAnsi="宋体"/>
          <w:lang w:eastAsia="zh-CN"/>
        </w:rPr>
      </w:pPr>
      <w:r>
        <w:rPr>
          <w:rFonts w:ascii="宋体" w:hAnsi="宋体" w:hint="eastAsia"/>
          <w:lang w:eastAsia="zh-CN"/>
        </w:rPr>
        <w:t>（1）保修期内，因承包人原因造成工程的缺陷、损坏，承包人应负责修复，并承担修复的费用以及因工程的缺陷、损坏造成的人身伤害和财产损失；</w:t>
      </w:r>
    </w:p>
    <w:p w14:paraId="57812084">
      <w:pPr>
        <w:spacing w:line="360" w:lineRule="auto"/>
        <w:rPr>
          <w:rFonts w:ascii="宋体" w:hAnsi="宋体"/>
          <w:lang w:eastAsia="zh-CN"/>
        </w:rPr>
      </w:pPr>
      <w:r>
        <w:rPr>
          <w:rFonts w:ascii="宋体" w:hAnsi="宋体" w:hint="eastAsia"/>
          <w:lang w:eastAsia="zh-CN"/>
        </w:rPr>
        <w:t>（2）保修期内，因发包人使用不当造成工程的缺陷、损坏，可以委托承包人修复，但发包人应承担修复的费用，并支付承包人合理利润；</w:t>
      </w:r>
    </w:p>
    <w:p w14:paraId="0C995522">
      <w:pPr>
        <w:spacing w:line="360" w:lineRule="auto"/>
        <w:rPr>
          <w:rFonts w:ascii="宋体" w:hAnsi="宋体"/>
          <w:lang w:eastAsia="zh-CN"/>
        </w:rPr>
      </w:pPr>
      <w:r>
        <w:rPr>
          <w:rFonts w:ascii="宋体" w:hAnsi="宋体" w:hint="eastAsia"/>
          <w:lang w:eastAsia="zh-CN"/>
        </w:rPr>
        <w:t>（3）因其他原因造成工程的缺陷、损坏，可以委托承包人修复，发包人应承担修复的费用，并支付承包人合理的利润，因工程的缺陷、损坏造成的人身伤害和财产损失由责任方承担。</w:t>
      </w:r>
    </w:p>
    <w:p w14:paraId="674E9E9D">
      <w:pPr>
        <w:spacing w:line="360" w:lineRule="auto"/>
        <w:rPr>
          <w:rFonts w:ascii="宋体" w:hAnsi="宋体"/>
          <w:lang w:eastAsia="zh-CN"/>
        </w:rPr>
      </w:pPr>
      <w:r>
        <w:rPr>
          <w:rFonts w:ascii="宋体" w:hAnsi="宋体" w:hint="eastAsia"/>
          <w:lang w:eastAsia="zh-CN"/>
        </w:rPr>
        <w:t>15.4.3 修复通知</w:t>
      </w:r>
    </w:p>
    <w:p w14:paraId="26429C60">
      <w:pPr>
        <w:spacing w:line="360" w:lineRule="auto"/>
        <w:rPr>
          <w:rFonts w:ascii="宋体" w:hAnsi="宋体"/>
          <w:lang w:eastAsia="zh-CN"/>
        </w:rPr>
      </w:pPr>
      <w:r>
        <w:rPr>
          <w:rFonts w:ascii="宋体" w:hAnsi="宋体" w:hint="eastAsia"/>
          <w:lang w:eastAsia="zh-CN"/>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731AF63A">
      <w:pPr>
        <w:spacing w:line="360" w:lineRule="auto"/>
        <w:rPr>
          <w:rFonts w:ascii="宋体" w:hAnsi="宋体"/>
          <w:lang w:eastAsia="zh-CN"/>
        </w:rPr>
      </w:pPr>
      <w:r>
        <w:rPr>
          <w:rFonts w:ascii="宋体" w:hAnsi="宋体" w:hint="eastAsia"/>
          <w:lang w:eastAsia="zh-CN"/>
        </w:rPr>
        <w:t>15.4.4 未能修复</w:t>
      </w:r>
    </w:p>
    <w:p w14:paraId="0E985B9B">
      <w:pPr>
        <w:spacing w:line="360" w:lineRule="auto"/>
        <w:rPr>
          <w:rFonts w:ascii="宋体" w:hAnsi="宋体"/>
          <w:lang w:eastAsia="zh-CN"/>
        </w:rPr>
      </w:pPr>
      <w:r>
        <w:rPr>
          <w:rFonts w:ascii="宋体" w:hAnsi="宋体" w:hint="eastAsia"/>
          <w:lang w:eastAsia="zh-CN"/>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166A8ED0">
      <w:pPr>
        <w:spacing w:line="360" w:lineRule="auto"/>
        <w:rPr>
          <w:rFonts w:ascii="宋体" w:hAnsi="宋体"/>
          <w:lang w:eastAsia="zh-CN"/>
        </w:rPr>
      </w:pPr>
      <w:r>
        <w:rPr>
          <w:rFonts w:ascii="宋体" w:hAnsi="宋体" w:hint="eastAsia"/>
          <w:lang w:eastAsia="zh-CN"/>
        </w:rPr>
        <w:t>15.4.5 承包人出入权</w:t>
      </w:r>
    </w:p>
    <w:p w14:paraId="5A6C9D48">
      <w:pPr>
        <w:spacing w:line="360" w:lineRule="auto"/>
        <w:rPr>
          <w:rFonts w:ascii="宋体" w:hAnsi="宋体"/>
          <w:lang w:eastAsia="zh-CN"/>
        </w:rPr>
      </w:pPr>
      <w:r>
        <w:rPr>
          <w:rFonts w:ascii="宋体" w:hAnsi="宋体" w:hint="eastAsia"/>
          <w:lang w:eastAsia="zh-CN"/>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6CC39C97">
      <w:pPr>
        <w:spacing w:line="360" w:lineRule="auto"/>
        <w:rPr>
          <w:rFonts w:ascii="宋体" w:hAnsi="宋体"/>
          <w:bCs/>
          <w:lang w:eastAsia="zh-CN"/>
        </w:rPr>
      </w:pPr>
      <w:r>
        <w:rPr>
          <w:rFonts w:ascii="宋体" w:hAnsi="宋体" w:hint="eastAsia"/>
          <w:bCs/>
          <w:lang w:eastAsia="zh-CN"/>
        </w:rPr>
        <w:t>16. 违约</w:t>
      </w:r>
    </w:p>
    <w:p w14:paraId="78D8C198">
      <w:pPr>
        <w:spacing w:line="360" w:lineRule="auto"/>
        <w:rPr>
          <w:rFonts w:ascii="宋体" w:hAnsi="宋体"/>
          <w:bCs/>
          <w:lang w:eastAsia="zh-CN"/>
        </w:rPr>
      </w:pPr>
      <w:r>
        <w:rPr>
          <w:rFonts w:ascii="宋体" w:hAnsi="宋体" w:hint="eastAsia"/>
          <w:bCs/>
          <w:lang w:eastAsia="zh-CN"/>
        </w:rPr>
        <w:t>16.1 发包人违约</w:t>
      </w:r>
    </w:p>
    <w:p w14:paraId="4A7D2235">
      <w:pPr>
        <w:spacing w:line="360" w:lineRule="auto"/>
        <w:rPr>
          <w:rFonts w:ascii="宋体" w:hAnsi="宋体"/>
          <w:lang w:eastAsia="zh-CN"/>
        </w:rPr>
      </w:pPr>
      <w:r>
        <w:rPr>
          <w:rFonts w:ascii="宋体" w:hAnsi="宋体" w:hint="eastAsia"/>
          <w:lang w:eastAsia="zh-CN"/>
        </w:rPr>
        <w:t>16.1.1 发包人违约的情形</w:t>
      </w:r>
    </w:p>
    <w:p w14:paraId="244E38C3">
      <w:pPr>
        <w:spacing w:line="360" w:lineRule="auto"/>
        <w:rPr>
          <w:rFonts w:ascii="宋体" w:hAnsi="宋体"/>
          <w:lang w:eastAsia="zh-CN"/>
        </w:rPr>
      </w:pPr>
      <w:r>
        <w:rPr>
          <w:rFonts w:ascii="宋体" w:hAnsi="宋体" w:hint="eastAsia"/>
          <w:lang w:eastAsia="zh-CN"/>
        </w:rPr>
        <w:t>在合同履行过程中发生的下列情形，属于发包人违约：</w:t>
      </w:r>
    </w:p>
    <w:p w14:paraId="4803360D">
      <w:pPr>
        <w:spacing w:line="360" w:lineRule="auto"/>
        <w:rPr>
          <w:rFonts w:ascii="宋体" w:hAnsi="宋体"/>
          <w:lang w:eastAsia="zh-CN"/>
        </w:rPr>
      </w:pPr>
      <w:r>
        <w:rPr>
          <w:rFonts w:ascii="宋体" w:hAnsi="宋体" w:hint="eastAsia"/>
          <w:lang w:eastAsia="zh-CN"/>
        </w:rPr>
        <w:t>（1）因发包人原因未能在计划开工日期前7天内下达开工通知的；</w:t>
      </w:r>
    </w:p>
    <w:p w14:paraId="574BDF19">
      <w:pPr>
        <w:spacing w:line="360" w:lineRule="auto"/>
        <w:rPr>
          <w:rFonts w:ascii="宋体" w:hAnsi="宋体"/>
          <w:lang w:eastAsia="zh-CN"/>
        </w:rPr>
      </w:pPr>
      <w:r>
        <w:rPr>
          <w:rFonts w:ascii="宋体" w:hAnsi="宋体" w:hint="eastAsia"/>
          <w:lang w:eastAsia="zh-CN"/>
        </w:rPr>
        <w:t>（2）因发包人原因未能按合同约定支付合同价款的；</w:t>
      </w:r>
    </w:p>
    <w:p w14:paraId="0967FB37">
      <w:pPr>
        <w:spacing w:line="360" w:lineRule="auto"/>
        <w:rPr>
          <w:rFonts w:ascii="宋体" w:hAnsi="宋体"/>
          <w:lang w:eastAsia="zh-CN"/>
        </w:rPr>
      </w:pPr>
      <w:r>
        <w:rPr>
          <w:rFonts w:ascii="宋体" w:hAnsi="宋体" w:hint="eastAsia"/>
          <w:lang w:eastAsia="zh-CN"/>
        </w:rPr>
        <w:t>（3）发包人违反第10.1款〔变更的范围〕第（2）项约定，自行实施被取消的工作或转由他人实施的；</w:t>
      </w:r>
    </w:p>
    <w:p w14:paraId="2D823780">
      <w:pPr>
        <w:spacing w:line="360" w:lineRule="auto"/>
        <w:rPr>
          <w:rFonts w:ascii="宋体" w:hAnsi="宋体"/>
          <w:lang w:eastAsia="zh-CN"/>
        </w:rPr>
      </w:pPr>
      <w:r>
        <w:rPr>
          <w:rFonts w:ascii="宋体" w:hAnsi="宋体" w:hint="eastAsia"/>
          <w:lang w:eastAsia="zh-CN"/>
        </w:rPr>
        <w:t>（4）发包人提供的材料、工程设备的规格、数量或质量不符合合同约定，或因发包人原因导致交货日期延误或交货地点变更等情况的；</w:t>
      </w:r>
    </w:p>
    <w:p w14:paraId="397F42AB">
      <w:pPr>
        <w:spacing w:line="360" w:lineRule="auto"/>
        <w:rPr>
          <w:rFonts w:ascii="宋体" w:hAnsi="宋体"/>
          <w:lang w:eastAsia="zh-CN"/>
        </w:rPr>
      </w:pPr>
      <w:r>
        <w:rPr>
          <w:rFonts w:ascii="宋体" w:hAnsi="宋体" w:hint="eastAsia"/>
          <w:lang w:eastAsia="zh-CN"/>
        </w:rPr>
        <w:t>（5）因发包人违反合同约定造成暂停施工的；</w:t>
      </w:r>
    </w:p>
    <w:p w14:paraId="13BF32CD">
      <w:pPr>
        <w:spacing w:line="360" w:lineRule="auto"/>
        <w:rPr>
          <w:rFonts w:ascii="宋体" w:hAnsi="宋体"/>
          <w:lang w:eastAsia="zh-CN"/>
        </w:rPr>
      </w:pPr>
      <w:r>
        <w:rPr>
          <w:rFonts w:ascii="宋体" w:hAnsi="宋体" w:hint="eastAsia"/>
          <w:lang w:eastAsia="zh-CN"/>
        </w:rPr>
        <w:t>（6）发包人无正当理由没有在约定期限内发出复工指示，导致承包人无法复工的；</w:t>
      </w:r>
    </w:p>
    <w:p w14:paraId="33CC851F">
      <w:pPr>
        <w:spacing w:line="360" w:lineRule="auto"/>
        <w:rPr>
          <w:rFonts w:ascii="宋体" w:hAnsi="宋体"/>
          <w:lang w:eastAsia="zh-CN"/>
        </w:rPr>
      </w:pPr>
      <w:r>
        <w:rPr>
          <w:rFonts w:ascii="宋体" w:hAnsi="宋体" w:hint="eastAsia"/>
          <w:lang w:eastAsia="zh-CN"/>
        </w:rPr>
        <w:t>（7）发包人明确表示或者以其行为表明不履行合同主要义务的；</w:t>
      </w:r>
    </w:p>
    <w:p w14:paraId="0A7733AA">
      <w:pPr>
        <w:spacing w:line="360" w:lineRule="auto"/>
        <w:rPr>
          <w:rFonts w:ascii="宋体" w:hAnsi="宋体"/>
          <w:lang w:eastAsia="zh-CN"/>
        </w:rPr>
      </w:pPr>
      <w:r>
        <w:rPr>
          <w:rFonts w:ascii="宋体" w:hAnsi="宋体" w:hint="eastAsia"/>
          <w:lang w:eastAsia="zh-CN"/>
        </w:rPr>
        <w:t>（8）发包人未能按照合同约定履行其他义务的。</w:t>
      </w:r>
    </w:p>
    <w:p w14:paraId="526171D8">
      <w:pPr>
        <w:spacing w:line="360" w:lineRule="auto"/>
        <w:rPr>
          <w:rFonts w:ascii="宋体" w:hAnsi="宋体"/>
          <w:lang w:eastAsia="zh-CN"/>
        </w:rPr>
      </w:pPr>
      <w:r>
        <w:rPr>
          <w:rFonts w:ascii="宋体" w:hAnsi="宋体" w:hint="eastAsia"/>
          <w:lang w:eastAsia="zh-CN"/>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76262B7A">
      <w:pPr>
        <w:spacing w:line="360" w:lineRule="auto"/>
        <w:rPr>
          <w:rFonts w:ascii="宋体" w:hAnsi="宋体"/>
          <w:lang w:eastAsia="zh-CN"/>
        </w:rPr>
      </w:pPr>
      <w:r>
        <w:rPr>
          <w:rFonts w:ascii="宋体" w:hAnsi="宋体" w:hint="eastAsia"/>
          <w:lang w:eastAsia="zh-CN"/>
        </w:rPr>
        <w:t>16.1.2 发包人违约的责任</w:t>
      </w:r>
    </w:p>
    <w:p w14:paraId="31111447">
      <w:pPr>
        <w:spacing w:line="360" w:lineRule="auto"/>
        <w:rPr>
          <w:rFonts w:ascii="宋体" w:hAnsi="宋体"/>
          <w:lang w:eastAsia="zh-CN"/>
        </w:rPr>
      </w:pPr>
      <w:r>
        <w:rPr>
          <w:rFonts w:ascii="宋体" w:hAnsi="宋体" w:hint="eastAsia"/>
          <w:lang w:eastAsia="zh-CN"/>
        </w:rPr>
        <w:t>发包人应承担因其违约给承包人增加的费用和（或）延误的工期，并支付承包人合理的利润。此外，合同当事人可在专用合同条款中另行约定发包人违约责任的承担方式和计算方法。</w:t>
      </w:r>
    </w:p>
    <w:p w14:paraId="5A5106E6">
      <w:pPr>
        <w:spacing w:line="360" w:lineRule="auto"/>
        <w:rPr>
          <w:rFonts w:ascii="宋体" w:hAnsi="宋体"/>
          <w:lang w:eastAsia="zh-CN"/>
        </w:rPr>
      </w:pPr>
      <w:r>
        <w:rPr>
          <w:rFonts w:ascii="宋体" w:hAnsi="宋体" w:hint="eastAsia"/>
          <w:lang w:eastAsia="zh-CN"/>
        </w:rPr>
        <w:t>16.1.3 因发包人违约解除合同</w:t>
      </w:r>
    </w:p>
    <w:p w14:paraId="3284F864">
      <w:pPr>
        <w:spacing w:line="360" w:lineRule="auto"/>
        <w:rPr>
          <w:rFonts w:ascii="宋体" w:hAnsi="宋体"/>
          <w:lang w:eastAsia="zh-CN"/>
        </w:rPr>
      </w:pPr>
      <w:r>
        <w:rPr>
          <w:rFonts w:ascii="宋体" w:hAnsi="宋体" w:hint="eastAsia"/>
          <w:lang w:eastAsia="zh-CN"/>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7582280B">
      <w:pPr>
        <w:spacing w:line="360" w:lineRule="auto"/>
        <w:rPr>
          <w:rFonts w:ascii="宋体" w:hAnsi="宋体"/>
          <w:lang w:eastAsia="zh-CN"/>
        </w:rPr>
      </w:pPr>
      <w:r>
        <w:rPr>
          <w:rFonts w:ascii="宋体" w:hAnsi="宋体" w:hint="eastAsia"/>
          <w:lang w:eastAsia="zh-CN"/>
        </w:rPr>
        <w:t>16.1.4 因发包人违约解除合同后的付款</w:t>
      </w:r>
    </w:p>
    <w:p w14:paraId="66A1CCCE">
      <w:pPr>
        <w:spacing w:line="360" w:lineRule="auto"/>
        <w:rPr>
          <w:rFonts w:ascii="宋体" w:hAnsi="宋体"/>
          <w:lang w:eastAsia="zh-CN"/>
        </w:rPr>
      </w:pPr>
      <w:r>
        <w:rPr>
          <w:rFonts w:ascii="宋体" w:hAnsi="宋体" w:hint="eastAsia"/>
          <w:lang w:eastAsia="zh-CN"/>
        </w:rPr>
        <w:t>承包人按照本款约定解除合同的，发包人应在解除合同后28天内支付下列款项，并解除履约担保：</w:t>
      </w:r>
    </w:p>
    <w:p w14:paraId="3F39AC33">
      <w:pPr>
        <w:spacing w:line="360" w:lineRule="auto"/>
        <w:rPr>
          <w:rFonts w:ascii="宋体" w:hAnsi="宋体"/>
        </w:rPr>
      </w:pPr>
      <w:r>
        <w:rPr>
          <w:rFonts w:ascii="宋体" w:hAnsi="宋体" w:hint="eastAsia"/>
        </w:rPr>
        <w:t>（1）合同解除前所完成工作的价款；</w:t>
      </w:r>
    </w:p>
    <w:p w14:paraId="1D907E84">
      <w:pPr>
        <w:spacing w:line="360" w:lineRule="auto"/>
        <w:rPr>
          <w:rFonts w:ascii="宋体" w:hAnsi="宋体"/>
          <w:lang w:eastAsia="zh-CN"/>
        </w:rPr>
      </w:pPr>
      <w:r>
        <w:rPr>
          <w:rFonts w:ascii="宋体" w:hAnsi="宋体" w:hint="eastAsia"/>
          <w:lang w:eastAsia="zh-CN"/>
        </w:rPr>
        <w:t>（2）承包人为工程施工订购并已付款的材料、工程设备和其他物品的价款；</w:t>
      </w:r>
    </w:p>
    <w:p w14:paraId="0862F8E8">
      <w:pPr>
        <w:spacing w:line="360" w:lineRule="auto"/>
        <w:rPr>
          <w:rFonts w:ascii="宋体" w:hAnsi="宋体"/>
          <w:lang w:eastAsia="zh-CN"/>
        </w:rPr>
      </w:pPr>
      <w:r>
        <w:rPr>
          <w:rFonts w:ascii="宋体" w:hAnsi="宋体" w:hint="eastAsia"/>
          <w:lang w:eastAsia="zh-CN"/>
        </w:rPr>
        <w:t>（3）承包人撤离施工现场以及遣散承包人人员的款项；</w:t>
      </w:r>
    </w:p>
    <w:p w14:paraId="529FC444">
      <w:pPr>
        <w:spacing w:line="360" w:lineRule="auto"/>
        <w:rPr>
          <w:rFonts w:ascii="宋体" w:hAnsi="宋体"/>
          <w:lang w:eastAsia="zh-CN"/>
        </w:rPr>
      </w:pPr>
      <w:r>
        <w:rPr>
          <w:rFonts w:ascii="宋体" w:hAnsi="宋体" w:hint="eastAsia"/>
          <w:lang w:eastAsia="zh-CN"/>
        </w:rPr>
        <w:t>（4）按照合同约定在合同解除前应支付的违约金；</w:t>
      </w:r>
    </w:p>
    <w:p w14:paraId="063757CD">
      <w:pPr>
        <w:spacing w:line="360" w:lineRule="auto"/>
        <w:rPr>
          <w:rFonts w:ascii="宋体" w:hAnsi="宋体"/>
          <w:lang w:eastAsia="zh-CN"/>
        </w:rPr>
      </w:pPr>
      <w:r>
        <w:rPr>
          <w:rFonts w:ascii="宋体" w:hAnsi="宋体" w:hint="eastAsia"/>
          <w:lang w:eastAsia="zh-CN"/>
        </w:rPr>
        <w:t>（5）按照合同约定应当支付给承包人的其他款项；</w:t>
      </w:r>
    </w:p>
    <w:p w14:paraId="65CB6A91">
      <w:pPr>
        <w:spacing w:line="360" w:lineRule="auto"/>
        <w:rPr>
          <w:rFonts w:ascii="宋体" w:hAnsi="宋体"/>
          <w:lang w:eastAsia="zh-CN"/>
        </w:rPr>
      </w:pPr>
      <w:r>
        <w:rPr>
          <w:rFonts w:ascii="宋体" w:hAnsi="宋体" w:hint="eastAsia"/>
          <w:lang w:eastAsia="zh-CN"/>
        </w:rPr>
        <w:t>（6）按照合同约定应退还的质量保证金；</w:t>
      </w:r>
    </w:p>
    <w:p w14:paraId="77159849">
      <w:pPr>
        <w:spacing w:line="360" w:lineRule="auto"/>
        <w:rPr>
          <w:rFonts w:ascii="宋体" w:hAnsi="宋体"/>
          <w:lang w:eastAsia="zh-CN"/>
        </w:rPr>
      </w:pPr>
      <w:r>
        <w:rPr>
          <w:rFonts w:ascii="宋体" w:hAnsi="宋体" w:hint="eastAsia"/>
          <w:lang w:eastAsia="zh-CN"/>
        </w:rPr>
        <w:t>（7）因解除合同给承包人造成的损失。</w:t>
      </w:r>
    </w:p>
    <w:p w14:paraId="74A779C6">
      <w:pPr>
        <w:spacing w:line="360" w:lineRule="auto"/>
        <w:rPr>
          <w:rFonts w:ascii="宋体" w:hAnsi="宋体"/>
          <w:lang w:eastAsia="zh-CN"/>
        </w:rPr>
      </w:pPr>
      <w:r>
        <w:rPr>
          <w:rFonts w:ascii="宋体" w:hAnsi="宋体" w:hint="eastAsia"/>
          <w:lang w:eastAsia="zh-CN"/>
        </w:rPr>
        <w:t>合同当事人未能就解除合同后的结清达成一致的，按照第20条〔争议解决〕的约定处理。</w:t>
      </w:r>
    </w:p>
    <w:p w14:paraId="7D53161D">
      <w:pPr>
        <w:spacing w:line="360" w:lineRule="auto"/>
        <w:rPr>
          <w:rFonts w:ascii="宋体" w:hAnsi="宋体"/>
          <w:lang w:eastAsia="zh-CN"/>
        </w:rPr>
      </w:pPr>
      <w:r>
        <w:rPr>
          <w:rFonts w:ascii="宋体" w:hAnsi="宋体" w:hint="eastAsia"/>
          <w:lang w:eastAsia="zh-CN"/>
        </w:rPr>
        <w:t>承包人应妥善做好已完工程和与工程有关的已购材料、工程设备的保护和移交工作，并将施工设备和人员撤出施工现场，发包人应为承包人撤出提供必要条件。</w:t>
      </w:r>
    </w:p>
    <w:p w14:paraId="3686FD3E">
      <w:pPr>
        <w:spacing w:line="360" w:lineRule="auto"/>
        <w:rPr>
          <w:rFonts w:ascii="宋体" w:hAnsi="宋体"/>
          <w:bCs/>
          <w:lang w:eastAsia="zh-CN"/>
        </w:rPr>
      </w:pPr>
      <w:r>
        <w:rPr>
          <w:rFonts w:ascii="宋体" w:hAnsi="宋体" w:hint="eastAsia"/>
          <w:bCs/>
          <w:lang w:eastAsia="zh-CN"/>
        </w:rPr>
        <w:t>16.2 承包人违约</w:t>
      </w:r>
    </w:p>
    <w:p w14:paraId="61A62646">
      <w:pPr>
        <w:spacing w:line="360" w:lineRule="auto"/>
        <w:rPr>
          <w:rFonts w:ascii="宋体" w:hAnsi="宋体"/>
          <w:lang w:eastAsia="zh-CN"/>
        </w:rPr>
      </w:pPr>
      <w:r>
        <w:rPr>
          <w:rFonts w:ascii="宋体" w:hAnsi="宋体" w:hint="eastAsia"/>
          <w:lang w:eastAsia="zh-CN"/>
        </w:rPr>
        <w:t>16.2.1 承包人违约的情形</w:t>
      </w:r>
    </w:p>
    <w:p w14:paraId="65C7FC6E">
      <w:pPr>
        <w:spacing w:line="360" w:lineRule="auto"/>
        <w:rPr>
          <w:rFonts w:ascii="宋体" w:hAnsi="宋体"/>
          <w:lang w:eastAsia="zh-CN"/>
        </w:rPr>
      </w:pPr>
      <w:r>
        <w:rPr>
          <w:rFonts w:ascii="宋体" w:hAnsi="宋体" w:hint="eastAsia"/>
          <w:lang w:eastAsia="zh-CN"/>
        </w:rPr>
        <w:t>在合同履行过程中发生的下列情形，属于承包人违约：</w:t>
      </w:r>
    </w:p>
    <w:p w14:paraId="3DC4E745">
      <w:pPr>
        <w:spacing w:line="360" w:lineRule="auto"/>
        <w:rPr>
          <w:rFonts w:ascii="宋体" w:hAnsi="宋体"/>
          <w:lang w:eastAsia="zh-CN"/>
        </w:rPr>
      </w:pPr>
      <w:r>
        <w:rPr>
          <w:rFonts w:ascii="宋体" w:hAnsi="宋体" w:hint="eastAsia"/>
          <w:lang w:eastAsia="zh-CN"/>
        </w:rPr>
        <w:t>（1）承包人违反合同约定进行转包或违法分包的；</w:t>
      </w:r>
    </w:p>
    <w:p w14:paraId="29DDD1B3">
      <w:pPr>
        <w:spacing w:line="360" w:lineRule="auto"/>
        <w:rPr>
          <w:rFonts w:ascii="宋体" w:hAnsi="宋体"/>
          <w:lang w:eastAsia="zh-CN"/>
        </w:rPr>
      </w:pPr>
      <w:r>
        <w:rPr>
          <w:rFonts w:ascii="宋体" w:hAnsi="宋体" w:hint="eastAsia"/>
          <w:lang w:eastAsia="zh-CN"/>
        </w:rPr>
        <w:t>（2）承包人违反合同约定采购和使用不合格的材料和工程设备的；</w:t>
      </w:r>
    </w:p>
    <w:p w14:paraId="03E5904A">
      <w:pPr>
        <w:spacing w:line="360" w:lineRule="auto"/>
        <w:rPr>
          <w:rFonts w:ascii="宋体" w:hAnsi="宋体"/>
          <w:lang w:eastAsia="zh-CN"/>
        </w:rPr>
      </w:pPr>
      <w:r>
        <w:rPr>
          <w:rFonts w:ascii="宋体" w:hAnsi="宋体" w:hint="eastAsia"/>
          <w:lang w:eastAsia="zh-CN"/>
        </w:rPr>
        <w:t xml:space="preserve">（3）因承包人原因导致工程质量不符合合同要求的； </w:t>
      </w:r>
    </w:p>
    <w:p w14:paraId="32DC1E9A">
      <w:pPr>
        <w:spacing w:line="360" w:lineRule="auto"/>
        <w:rPr>
          <w:rFonts w:ascii="宋体" w:hAnsi="宋体"/>
          <w:lang w:eastAsia="zh-CN"/>
        </w:rPr>
      </w:pPr>
      <w:r>
        <w:rPr>
          <w:rFonts w:ascii="宋体" w:hAnsi="宋体" w:hint="eastAsia"/>
          <w:lang w:eastAsia="zh-CN"/>
        </w:rPr>
        <w:t>（4）承包人违反第8.9款〔材料与设备专用要求〕的约定，未经批准，私自将已按照合同约定进入施工现场的材料或设备撤离施工现场的；</w:t>
      </w:r>
    </w:p>
    <w:p w14:paraId="71F4EC29">
      <w:pPr>
        <w:spacing w:line="360" w:lineRule="auto"/>
        <w:rPr>
          <w:rFonts w:ascii="宋体" w:hAnsi="宋体"/>
          <w:lang w:eastAsia="zh-CN"/>
        </w:rPr>
      </w:pPr>
      <w:r>
        <w:rPr>
          <w:rFonts w:ascii="宋体" w:hAnsi="宋体" w:hint="eastAsia"/>
          <w:lang w:eastAsia="zh-CN"/>
        </w:rPr>
        <w:t>（5）承包人未能按施工进度计划及时完成合同约定的工作，造成工期延误的；</w:t>
      </w:r>
    </w:p>
    <w:p w14:paraId="1F238D8B">
      <w:pPr>
        <w:spacing w:line="360" w:lineRule="auto"/>
        <w:rPr>
          <w:rFonts w:ascii="宋体" w:hAnsi="宋体"/>
          <w:lang w:eastAsia="zh-CN"/>
        </w:rPr>
      </w:pPr>
      <w:r>
        <w:rPr>
          <w:rFonts w:ascii="宋体" w:hAnsi="宋体" w:hint="eastAsia"/>
          <w:lang w:eastAsia="zh-CN"/>
        </w:rPr>
        <w:t>（6）承包人在缺陷责任期及保修期内，未能在合理期限对工程缺陷进行修复，或拒绝按发包人要求进行修复的；</w:t>
      </w:r>
    </w:p>
    <w:p w14:paraId="294334DD">
      <w:pPr>
        <w:spacing w:line="360" w:lineRule="auto"/>
        <w:rPr>
          <w:rFonts w:ascii="宋体" w:hAnsi="宋体"/>
          <w:lang w:eastAsia="zh-CN"/>
        </w:rPr>
      </w:pPr>
      <w:r>
        <w:rPr>
          <w:rFonts w:ascii="宋体" w:hAnsi="宋体" w:hint="eastAsia"/>
          <w:lang w:eastAsia="zh-CN"/>
        </w:rPr>
        <w:t>（7）承包人明确表示或者以其行为表明不履行合同主要义务的；</w:t>
      </w:r>
    </w:p>
    <w:p w14:paraId="58369A64">
      <w:pPr>
        <w:spacing w:line="360" w:lineRule="auto"/>
        <w:rPr>
          <w:rFonts w:ascii="宋体" w:hAnsi="宋体"/>
          <w:lang w:eastAsia="zh-CN"/>
        </w:rPr>
      </w:pPr>
      <w:r>
        <w:rPr>
          <w:rFonts w:ascii="宋体" w:hAnsi="宋体" w:hint="eastAsia"/>
          <w:lang w:eastAsia="zh-CN"/>
        </w:rPr>
        <w:t>（8）承包人未能按照合同约定履行其他义务的。</w:t>
      </w:r>
    </w:p>
    <w:p w14:paraId="4399C566">
      <w:pPr>
        <w:spacing w:line="360" w:lineRule="auto"/>
        <w:rPr>
          <w:rFonts w:ascii="宋体" w:hAnsi="宋体"/>
          <w:lang w:eastAsia="zh-CN"/>
        </w:rPr>
      </w:pPr>
      <w:r>
        <w:rPr>
          <w:rFonts w:ascii="宋体" w:hAnsi="宋体" w:hint="eastAsia"/>
          <w:lang w:eastAsia="zh-CN"/>
        </w:rPr>
        <w:t>承包人发生除本项第（7）目约定以外的其他违约情况时，监理人可向承包人发出整改通知，要求其在指定的期限内改正。</w:t>
      </w:r>
    </w:p>
    <w:p w14:paraId="342A41DF">
      <w:pPr>
        <w:spacing w:line="360" w:lineRule="auto"/>
        <w:rPr>
          <w:rFonts w:ascii="宋体" w:hAnsi="宋体"/>
          <w:lang w:eastAsia="zh-CN"/>
        </w:rPr>
      </w:pPr>
      <w:r>
        <w:rPr>
          <w:rFonts w:ascii="宋体" w:hAnsi="宋体" w:hint="eastAsia"/>
          <w:lang w:eastAsia="zh-CN"/>
        </w:rPr>
        <w:t>16.2.2 承包人违约的责任</w:t>
      </w:r>
    </w:p>
    <w:p w14:paraId="7332216C">
      <w:pPr>
        <w:spacing w:line="360" w:lineRule="auto"/>
        <w:rPr>
          <w:rFonts w:ascii="宋体" w:hAnsi="宋体"/>
          <w:lang w:eastAsia="zh-CN"/>
        </w:rPr>
      </w:pPr>
      <w:r>
        <w:rPr>
          <w:rFonts w:ascii="宋体" w:hAnsi="宋体" w:hint="eastAsia"/>
          <w:lang w:eastAsia="zh-CN"/>
        </w:rPr>
        <w:t>承包人应承担因其违约行为而增加的费用和（或）延误的工期。此外，合同当事人可在专用合同条款中另行约定承包人违约责任的承担方式和计算方法。</w:t>
      </w:r>
    </w:p>
    <w:p w14:paraId="12F703FF">
      <w:pPr>
        <w:spacing w:line="360" w:lineRule="auto"/>
        <w:rPr>
          <w:rFonts w:ascii="宋体" w:hAnsi="宋体"/>
          <w:lang w:eastAsia="zh-CN"/>
        </w:rPr>
      </w:pPr>
      <w:r>
        <w:rPr>
          <w:rFonts w:ascii="宋体" w:hAnsi="宋体" w:hint="eastAsia"/>
          <w:lang w:eastAsia="zh-CN"/>
        </w:rPr>
        <w:t>16.2.3 因承包人违约解除合同</w:t>
      </w:r>
    </w:p>
    <w:p w14:paraId="1148D990">
      <w:pPr>
        <w:spacing w:line="360" w:lineRule="auto"/>
        <w:rPr>
          <w:rFonts w:ascii="宋体" w:hAnsi="宋体"/>
          <w:lang w:eastAsia="zh-CN"/>
        </w:rPr>
      </w:pPr>
      <w:r>
        <w:rPr>
          <w:rFonts w:ascii="宋体" w:hAnsi="宋体" w:hint="eastAsia"/>
          <w:lang w:eastAsia="zh-CN"/>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3AFD66A2">
      <w:pPr>
        <w:spacing w:line="360" w:lineRule="auto"/>
        <w:rPr>
          <w:rFonts w:ascii="宋体" w:hAnsi="宋体"/>
          <w:lang w:eastAsia="zh-CN"/>
        </w:rPr>
      </w:pPr>
      <w:r>
        <w:rPr>
          <w:rFonts w:ascii="宋体" w:hAnsi="宋体" w:hint="eastAsia"/>
          <w:lang w:eastAsia="zh-CN"/>
        </w:rPr>
        <w:t>16.2.4因承包人违约解除合同后的处理</w:t>
      </w:r>
    </w:p>
    <w:p w14:paraId="35ECA1EC">
      <w:pPr>
        <w:spacing w:line="360" w:lineRule="auto"/>
        <w:rPr>
          <w:rFonts w:ascii="宋体" w:hAnsi="宋体"/>
          <w:lang w:eastAsia="zh-CN"/>
        </w:rPr>
      </w:pPr>
      <w:r>
        <w:rPr>
          <w:rFonts w:ascii="宋体" w:hAnsi="宋体" w:hint="eastAsia"/>
          <w:lang w:eastAsia="zh-CN"/>
        </w:rPr>
        <w:t>因承包人原因导致合同解除的，则合同当事人应在合同解除后28天内完成估价、付款和清算，并按以下约定执行：</w:t>
      </w:r>
    </w:p>
    <w:p w14:paraId="0701C0FD">
      <w:pPr>
        <w:spacing w:line="360" w:lineRule="auto"/>
        <w:rPr>
          <w:rFonts w:ascii="宋体" w:hAnsi="宋体"/>
          <w:lang w:eastAsia="zh-CN"/>
        </w:rPr>
      </w:pPr>
      <w:r>
        <w:rPr>
          <w:rFonts w:ascii="宋体" w:hAnsi="宋体" w:hint="eastAsia"/>
          <w:lang w:eastAsia="zh-CN"/>
        </w:rPr>
        <w:t>（1）合同解除后，按第4.4款〔商定或确定〕商定或确定承包人实际完成工作对应的合同价款，以及承包人已提供的材料、工程设备、施工设备和临时工程等的价值；</w:t>
      </w:r>
    </w:p>
    <w:p w14:paraId="4E79F6B9">
      <w:pPr>
        <w:spacing w:line="360" w:lineRule="auto"/>
        <w:rPr>
          <w:rFonts w:ascii="宋体" w:hAnsi="宋体"/>
          <w:lang w:eastAsia="zh-CN"/>
        </w:rPr>
      </w:pPr>
      <w:r>
        <w:rPr>
          <w:rFonts w:ascii="宋体" w:hAnsi="宋体" w:hint="eastAsia"/>
          <w:lang w:eastAsia="zh-CN"/>
        </w:rPr>
        <w:t>（2）合同解除后，承包人应支付的违约金；</w:t>
      </w:r>
    </w:p>
    <w:p w14:paraId="7767F5DD">
      <w:pPr>
        <w:spacing w:line="360" w:lineRule="auto"/>
        <w:rPr>
          <w:rFonts w:ascii="宋体" w:hAnsi="宋体"/>
          <w:lang w:eastAsia="zh-CN"/>
        </w:rPr>
      </w:pPr>
      <w:r>
        <w:rPr>
          <w:rFonts w:ascii="宋体" w:hAnsi="宋体" w:hint="eastAsia"/>
          <w:lang w:eastAsia="zh-CN"/>
        </w:rPr>
        <w:t>（3）合同解除后，因解除合同给发包人造成的损失；</w:t>
      </w:r>
    </w:p>
    <w:p w14:paraId="2487ED70">
      <w:pPr>
        <w:spacing w:line="360" w:lineRule="auto"/>
        <w:rPr>
          <w:rFonts w:ascii="宋体" w:hAnsi="宋体"/>
          <w:lang w:eastAsia="zh-CN"/>
        </w:rPr>
      </w:pPr>
      <w:r>
        <w:rPr>
          <w:rFonts w:ascii="宋体" w:hAnsi="宋体" w:hint="eastAsia"/>
          <w:lang w:eastAsia="zh-CN"/>
        </w:rPr>
        <w:t>（4）合同解除后，承包人应按照发包人要求和监理人的指示完成现场的清理和撤离；</w:t>
      </w:r>
    </w:p>
    <w:p w14:paraId="558D0659">
      <w:pPr>
        <w:spacing w:line="360" w:lineRule="auto"/>
        <w:rPr>
          <w:rFonts w:ascii="宋体" w:hAnsi="宋体"/>
          <w:lang w:eastAsia="zh-CN"/>
        </w:rPr>
      </w:pPr>
      <w:r>
        <w:rPr>
          <w:rFonts w:ascii="宋体" w:hAnsi="宋体" w:hint="eastAsia"/>
          <w:lang w:eastAsia="zh-CN"/>
        </w:rPr>
        <w:t>（5）发包人和承包人应在合同解除后进行清算，出具最终结清付款证书，结清全部款项。</w:t>
      </w:r>
    </w:p>
    <w:p w14:paraId="13AE5F93">
      <w:pPr>
        <w:spacing w:line="360" w:lineRule="auto"/>
        <w:rPr>
          <w:rFonts w:ascii="宋体" w:hAnsi="宋体"/>
          <w:lang w:eastAsia="zh-CN"/>
        </w:rPr>
      </w:pPr>
      <w:r>
        <w:rPr>
          <w:rFonts w:ascii="宋体" w:hAnsi="宋体" w:hint="eastAsia"/>
          <w:lang w:eastAsia="zh-CN"/>
        </w:rPr>
        <w:t>因承包人违约解除合同的，发包人有权暂停对承包人的付款，查清各项付款和已扣款项。发包人和承包人未能就合同解除后的清算和款项支付达成一致的，按照第20条〔争议解决〕的约定处理。</w:t>
      </w:r>
    </w:p>
    <w:p w14:paraId="6D78CA71">
      <w:pPr>
        <w:spacing w:line="360" w:lineRule="auto"/>
        <w:rPr>
          <w:rFonts w:ascii="宋体" w:hAnsi="宋体"/>
          <w:lang w:eastAsia="zh-CN"/>
        </w:rPr>
      </w:pPr>
      <w:r>
        <w:rPr>
          <w:rFonts w:ascii="宋体" w:hAnsi="宋体" w:hint="eastAsia"/>
          <w:lang w:eastAsia="zh-CN"/>
        </w:rPr>
        <w:t>16.2.5采购合同权益转让</w:t>
      </w:r>
    </w:p>
    <w:p w14:paraId="0E1A0206">
      <w:pPr>
        <w:spacing w:line="360" w:lineRule="auto"/>
        <w:rPr>
          <w:rFonts w:ascii="宋体" w:hAnsi="宋体"/>
          <w:lang w:eastAsia="zh-CN"/>
        </w:rPr>
      </w:pPr>
      <w:r>
        <w:rPr>
          <w:rFonts w:ascii="宋体" w:hAnsi="宋体" w:hint="eastAsia"/>
          <w:lang w:eastAsia="zh-CN"/>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408756AF">
      <w:pPr>
        <w:spacing w:line="360" w:lineRule="auto"/>
        <w:rPr>
          <w:rFonts w:ascii="宋体" w:hAnsi="宋体"/>
          <w:bCs/>
          <w:lang w:eastAsia="zh-CN"/>
        </w:rPr>
      </w:pPr>
      <w:r>
        <w:rPr>
          <w:rFonts w:ascii="宋体" w:hAnsi="宋体" w:hint="eastAsia"/>
          <w:bCs/>
          <w:lang w:eastAsia="zh-CN"/>
        </w:rPr>
        <w:t>16.3 第三人造成的违约</w:t>
      </w:r>
    </w:p>
    <w:p w14:paraId="26542029">
      <w:pPr>
        <w:spacing w:line="360" w:lineRule="auto"/>
        <w:rPr>
          <w:rFonts w:ascii="宋体" w:hAnsi="宋体"/>
          <w:lang w:eastAsia="zh-CN"/>
        </w:rPr>
      </w:pPr>
      <w:r>
        <w:rPr>
          <w:rFonts w:ascii="宋体" w:hAnsi="宋体" w:hint="eastAsia"/>
          <w:lang w:eastAsia="zh-CN"/>
        </w:rPr>
        <w:t>在履行合同过程中，一方当事人因第三人的原因造成违约的，应当向对方当事人承担违约责任。一方当事人和第三人之间的纠纷，依照法律规定或者按照约定解决。</w:t>
      </w:r>
    </w:p>
    <w:p w14:paraId="7120B28E">
      <w:pPr>
        <w:spacing w:line="360" w:lineRule="auto"/>
        <w:rPr>
          <w:rFonts w:ascii="宋体" w:hAnsi="宋体"/>
          <w:bCs/>
          <w:lang w:eastAsia="zh-CN"/>
        </w:rPr>
      </w:pPr>
      <w:r>
        <w:rPr>
          <w:rFonts w:ascii="宋体" w:hAnsi="宋体" w:hint="eastAsia"/>
          <w:bCs/>
          <w:lang w:eastAsia="zh-CN"/>
        </w:rPr>
        <w:t xml:space="preserve">17. 不可抗力 </w:t>
      </w:r>
    </w:p>
    <w:p w14:paraId="536F5E5C">
      <w:pPr>
        <w:spacing w:line="360" w:lineRule="auto"/>
        <w:rPr>
          <w:rFonts w:ascii="宋体" w:hAnsi="宋体"/>
          <w:bCs/>
          <w:lang w:eastAsia="zh-CN"/>
        </w:rPr>
      </w:pPr>
      <w:r>
        <w:rPr>
          <w:rFonts w:ascii="宋体" w:hAnsi="宋体" w:hint="eastAsia"/>
          <w:bCs/>
          <w:lang w:eastAsia="zh-CN"/>
        </w:rPr>
        <w:t>17.1 不可抗力的确认</w:t>
      </w:r>
    </w:p>
    <w:p w14:paraId="1BC11B11">
      <w:pPr>
        <w:spacing w:line="360" w:lineRule="auto"/>
        <w:rPr>
          <w:rFonts w:ascii="宋体" w:hAnsi="宋体"/>
          <w:lang w:eastAsia="zh-CN"/>
        </w:rPr>
      </w:pPr>
      <w:r>
        <w:rPr>
          <w:rFonts w:ascii="宋体" w:hAnsi="宋体" w:hint="eastAsia"/>
          <w:lang w:eastAsia="zh-CN"/>
        </w:rPr>
        <w:t>不可抗力是指合同当事人在签订合同时不可预见，在合同履行过程中不可避免且不能克服的自然灾害和社会性突发事件，如地震、海啸、瘟疫、骚乱、戒严、暴动、战争和专用合同条款中约定的其他情形。</w:t>
      </w:r>
    </w:p>
    <w:p w14:paraId="7298DF8C">
      <w:pPr>
        <w:spacing w:line="360" w:lineRule="auto"/>
        <w:rPr>
          <w:rFonts w:ascii="宋体" w:hAnsi="宋体"/>
          <w:lang w:eastAsia="zh-CN"/>
        </w:rPr>
      </w:pPr>
      <w:r>
        <w:rPr>
          <w:rFonts w:ascii="宋体" w:hAnsi="宋体" w:hint="eastAsia"/>
          <w:lang w:eastAsia="zh-CN"/>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2BC9E892">
      <w:pPr>
        <w:spacing w:line="360" w:lineRule="auto"/>
        <w:rPr>
          <w:rFonts w:ascii="宋体" w:hAnsi="宋体"/>
          <w:bCs/>
          <w:lang w:eastAsia="zh-CN"/>
        </w:rPr>
      </w:pPr>
      <w:r>
        <w:rPr>
          <w:rFonts w:ascii="宋体" w:hAnsi="宋体" w:hint="eastAsia"/>
          <w:bCs/>
          <w:lang w:eastAsia="zh-CN"/>
        </w:rPr>
        <w:t>17.2 不可抗力的通知</w:t>
      </w:r>
    </w:p>
    <w:p w14:paraId="2D5E1353">
      <w:pPr>
        <w:spacing w:line="360" w:lineRule="auto"/>
        <w:rPr>
          <w:rFonts w:ascii="宋体" w:hAnsi="宋体"/>
          <w:lang w:eastAsia="zh-CN"/>
        </w:rPr>
      </w:pPr>
      <w:r>
        <w:rPr>
          <w:rFonts w:ascii="宋体" w:hAnsi="宋体" w:hint="eastAsia"/>
          <w:lang w:eastAsia="zh-CN"/>
        </w:rPr>
        <w:t>合同一方当事人遇到不可抗力事件，使其履行合同义务受到阻碍时，应立即通知合同另一方当事人和监理人，书面说明不可抗力和受阻碍的详细情况，并提供必要的证明。</w:t>
      </w:r>
    </w:p>
    <w:p w14:paraId="34C68878">
      <w:pPr>
        <w:spacing w:line="360" w:lineRule="auto"/>
        <w:rPr>
          <w:rFonts w:ascii="宋体" w:hAnsi="宋体"/>
          <w:lang w:eastAsia="zh-CN"/>
        </w:rPr>
      </w:pPr>
      <w:r>
        <w:rPr>
          <w:rFonts w:ascii="宋体" w:hAnsi="宋体" w:hint="eastAsia"/>
          <w:lang w:eastAsia="zh-CN"/>
        </w:rPr>
        <w:t>不可抗力持续发生的，合同一方当事人应及时向合同另一方当事人和监理人提交中间报告，说明不可抗力和履行合同受阻的情况，并于不可抗力事件结束后28天内提交最终报告及有关资料。</w:t>
      </w:r>
    </w:p>
    <w:p w14:paraId="423A96F7">
      <w:pPr>
        <w:spacing w:line="360" w:lineRule="auto"/>
        <w:rPr>
          <w:rFonts w:ascii="宋体" w:hAnsi="宋体"/>
          <w:bCs/>
          <w:lang w:eastAsia="zh-CN"/>
        </w:rPr>
      </w:pPr>
      <w:r>
        <w:rPr>
          <w:rFonts w:ascii="宋体" w:hAnsi="宋体" w:hint="eastAsia"/>
          <w:bCs/>
          <w:lang w:eastAsia="zh-CN"/>
        </w:rPr>
        <w:t>17.3 不可抗力后果的承担</w:t>
      </w:r>
    </w:p>
    <w:p w14:paraId="7A3A56D9">
      <w:pPr>
        <w:spacing w:line="360" w:lineRule="auto"/>
        <w:rPr>
          <w:rFonts w:ascii="宋体" w:hAnsi="宋体"/>
          <w:lang w:eastAsia="zh-CN"/>
        </w:rPr>
      </w:pPr>
      <w:r>
        <w:rPr>
          <w:rFonts w:ascii="宋体" w:hAnsi="宋体" w:hint="eastAsia"/>
          <w:lang w:eastAsia="zh-CN"/>
        </w:rPr>
        <w:t>17.3.1 不可抗力引起的后果及造成的损失由合同当事人按照法律规定及合同约定各自承担。不可抗力发生前已完成的工程应当按照合同约定进行计量支付。</w:t>
      </w:r>
    </w:p>
    <w:p w14:paraId="6B297A8C">
      <w:pPr>
        <w:spacing w:line="360" w:lineRule="auto"/>
        <w:rPr>
          <w:rFonts w:ascii="宋体" w:hAnsi="宋体"/>
          <w:lang w:eastAsia="zh-CN"/>
        </w:rPr>
      </w:pPr>
      <w:r>
        <w:rPr>
          <w:rFonts w:ascii="宋体" w:hAnsi="宋体" w:hint="eastAsia"/>
          <w:lang w:eastAsia="zh-CN"/>
        </w:rPr>
        <w:t>17.3.2 不可抗力导致的人员伤亡、财产损失、费用增加和（或）工期延误等后果，由合同当事人按以下原则承担：</w:t>
      </w:r>
    </w:p>
    <w:p w14:paraId="2F70FADD">
      <w:pPr>
        <w:spacing w:line="360" w:lineRule="auto"/>
        <w:rPr>
          <w:rFonts w:ascii="宋体" w:hAnsi="宋体"/>
          <w:lang w:eastAsia="zh-CN"/>
        </w:rPr>
      </w:pPr>
      <w:r>
        <w:rPr>
          <w:rFonts w:ascii="宋体" w:hAnsi="宋体" w:hint="eastAsia"/>
          <w:lang w:eastAsia="zh-CN"/>
        </w:rPr>
        <w:t>（1）永久工程、已运至施工现场的材料和工程设备的损坏，以及因工程损坏造成的第三人人员伤亡和财产损失由发包人承担；</w:t>
      </w:r>
    </w:p>
    <w:p w14:paraId="5D045385">
      <w:pPr>
        <w:spacing w:line="360" w:lineRule="auto"/>
        <w:rPr>
          <w:rFonts w:ascii="宋体" w:hAnsi="宋体"/>
          <w:lang w:eastAsia="zh-CN"/>
        </w:rPr>
      </w:pPr>
      <w:r>
        <w:rPr>
          <w:rFonts w:ascii="宋体" w:hAnsi="宋体" w:hint="eastAsia"/>
          <w:lang w:eastAsia="zh-CN"/>
        </w:rPr>
        <w:t>（2）承包人施工设备的损坏由承包人承担；</w:t>
      </w:r>
    </w:p>
    <w:p w14:paraId="39343174">
      <w:pPr>
        <w:spacing w:line="360" w:lineRule="auto"/>
        <w:rPr>
          <w:rFonts w:ascii="宋体" w:hAnsi="宋体"/>
          <w:lang w:eastAsia="zh-CN"/>
        </w:rPr>
      </w:pPr>
      <w:r>
        <w:rPr>
          <w:rFonts w:ascii="宋体" w:hAnsi="宋体" w:hint="eastAsia"/>
          <w:lang w:eastAsia="zh-CN"/>
        </w:rPr>
        <w:t>（3）发包人和承包人承担各自人员伤亡和财产的损失；</w:t>
      </w:r>
    </w:p>
    <w:p w14:paraId="4262B462">
      <w:pPr>
        <w:spacing w:line="360" w:lineRule="auto"/>
        <w:rPr>
          <w:rFonts w:ascii="宋体" w:hAnsi="宋体"/>
          <w:lang w:eastAsia="zh-CN"/>
        </w:rPr>
      </w:pPr>
      <w:r>
        <w:rPr>
          <w:rFonts w:ascii="宋体" w:hAnsi="宋体" w:hint="eastAsia"/>
          <w:lang w:eastAsia="zh-CN"/>
        </w:rPr>
        <w:t>（4）因不可抗力影响承包人履行合同约定的义务，已经引起或将引起工期延误的，应当顺延工期，由此导致承包人停工的费用损失由发包人和承包人合理分担，停工期间必须支付的工人工资由发包人承担；</w:t>
      </w:r>
    </w:p>
    <w:p w14:paraId="3D2DDCBC">
      <w:pPr>
        <w:spacing w:line="360" w:lineRule="auto"/>
        <w:rPr>
          <w:rFonts w:ascii="宋体" w:hAnsi="宋体"/>
          <w:lang w:eastAsia="zh-CN"/>
        </w:rPr>
      </w:pPr>
      <w:r>
        <w:rPr>
          <w:rFonts w:ascii="宋体" w:hAnsi="宋体" w:hint="eastAsia"/>
          <w:lang w:eastAsia="zh-CN"/>
        </w:rPr>
        <w:t>（5）因不可抗力引起或将引起工期延误，发包人要求赶工的，由此增加的赶工费用由发包人承担；</w:t>
      </w:r>
    </w:p>
    <w:p w14:paraId="6417F2D3">
      <w:pPr>
        <w:spacing w:line="360" w:lineRule="auto"/>
        <w:rPr>
          <w:rFonts w:ascii="宋体" w:hAnsi="宋体"/>
          <w:lang w:eastAsia="zh-CN"/>
        </w:rPr>
      </w:pPr>
      <w:r>
        <w:rPr>
          <w:rFonts w:ascii="宋体" w:hAnsi="宋体" w:hint="eastAsia"/>
          <w:lang w:eastAsia="zh-CN"/>
        </w:rPr>
        <w:t>（6）承包人在停工期间按照发包人要求照管、清理和修复工程的费用由发包人承担。</w:t>
      </w:r>
    </w:p>
    <w:p w14:paraId="2414C543">
      <w:pPr>
        <w:spacing w:line="360" w:lineRule="auto"/>
        <w:rPr>
          <w:rFonts w:ascii="宋体" w:hAnsi="宋体"/>
          <w:lang w:eastAsia="zh-CN"/>
        </w:rPr>
      </w:pPr>
      <w:r>
        <w:rPr>
          <w:rFonts w:ascii="宋体" w:hAnsi="宋体" w:hint="eastAsia"/>
          <w:lang w:eastAsia="zh-CN"/>
        </w:rPr>
        <w:t>不可抗力发生后，合同当事人均应采取措施尽量避免和减少损失的扩大，任何一方当事人没有采取有效措施导致损失扩大的，应对扩大的损失承担责任。</w:t>
      </w:r>
    </w:p>
    <w:p w14:paraId="29A4C3DC">
      <w:pPr>
        <w:spacing w:line="360" w:lineRule="auto"/>
        <w:rPr>
          <w:rFonts w:ascii="宋体" w:hAnsi="宋体"/>
          <w:lang w:eastAsia="zh-CN"/>
        </w:rPr>
      </w:pPr>
      <w:r>
        <w:rPr>
          <w:rFonts w:ascii="宋体" w:hAnsi="宋体" w:hint="eastAsia"/>
          <w:lang w:eastAsia="zh-CN"/>
        </w:rPr>
        <w:t>因合同一方迟延履行合同义务，在迟延履行期间遭遇不可抗力的，不免除其违约责任。</w:t>
      </w:r>
    </w:p>
    <w:p w14:paraId="69A37A10">
      <w:pPr>
        <w:spacing w:line="360" w:lineRule="auto"/>
        <w:rPr>
          <w:rFonts w:ascii="宋体" w:hAnsi="宋体"/>
          <w:bCs/>
          <w:lang w:eastAsia="zh-CN"/>
        </w:rPr>
      </w:pPr>
      <w:r>
        <w:rPr>
          <w:rFonts w:ascii="宋体" w:hAnsi="宋体" w:hint="eastAsia"/>
          <w:bCs/>
          <w:lang w:eastAsia="zh-CN"/>
        </w:rPr>
        <w:t>17.4 因不可抗力解除合同</w:t>
      </w:r>
    </w:p>
    <w:p w14:paraId="3A6DFD71">
      <w:pPr>
        <w:spacing w:line="360" w:lineRule="auto"/>
        <w:rPr>
          <w:rFonts w:ascii="宋体" w:hAnsi="宋体"/>
          <w:lang w:eastAsia="zh-CN"/>
        </w:rPr>
      </w:pPr>
      <w:r>
        <w:rPr>
          <w:rFonts w:ascii="宋体" w:hAnsi="宋体" w:hint="eastAsia"/>
          <w:lang w:eastAsia="zh-CN"/>
        </w:rPr>
        <w:t>因不可抗力导致合同无法履行连续超过84天或累计超过140天的，发包人和承包人均有权解除合同。合同解除后，由双方当事人按照第4.4款〔商定或确定〕商定或确定发包人应支付的款项，该款项包括：</w:t>
      </w:r>
    </w:p>
    <w:p w14:paraId="27190150">
      <w:pPr>
        <w:spacing w:line="360" w:lineRule="auto"/>
        <w:rPr>
          <w:rFonts w:ascii="宋体" w:hAnsi="宋体"/>
        </w:rPr>
      </w:pPr>
      <w:r>
        <w:rPr>
          <w:rFonts w:ascii="宋体" w:hAnsi="宋体" w:hint="eastAsia"/>
        </w:rPr>
        <w:t>（1）合同解除前承包人已完成工作的价款；</w:t>
      </w:r>
    </w:p>
    <w:p w14:paraId="7A78EA01">
      <w:pPr>
        <w:spacing w:line="360" w:lineRule="auto"/>
        <w:rPr>
          <w:rFonts w:ascii="宋体" w:hAnsi="宋体"/>
          <w:lang w:eastAsia="zh-CN"/>
        </w:rPr>
      </w:pPr>
      <w:r>
        <w:rPr>
          <w:rFonts w:ascii="宋体" w:hAnsi="宋体" w:hint="eastAsia"/>
          <w:lang w:eastAsia="zh-CN"/>
        </w:rPr>
        <w:t>（2）承包人为工程订购的并已交付给承包人，或承包人有责任接受交付的材料、工程设备和其他物品的价款；</w:t>
      </w:r>
    </w:p>
    <w:p w14:paraId="3051324F">
      <w:pPr>
        <w:spacing w:line="360" w:lineRule="auto"/>
        <w:rPr>
          <w:rFonts w:ascii="宋体" w:hAnsi="宋体"/>
          <w:lang w:eastAsia="zh-CN"/>
        </w:rPr>
      </w:pPr>
      <w:r>
        <w:rPr>
          <w:rFonts w:ascii="宋体" w:hAnsi="宋体" w:hint="eastAsia"/>
          <w:lang w:eastAsia="zh-CN"/>
        </w:rPr>
        <w:t>（3）发包人要求承包人退货或解除订货合同而产生的费用，或因不能退货或解除合同而产生的损失；</w:t>
      </w:r>
    </w:p>
    <w:p w14:paraId="3E5EDA4F">
      <w:pPr>
        <w:spacing w:line="360" w:lineRule="auto"/>
        <w:rPr>
          <w:rFonts w:ascii="宋体" w:hAnsi="宋体"/>
          <w:lang w:eastAsia="zh-CN"/>
        </w:rPr>
      </w:pPr>
      <w:r>
        <w:rPr>
          <w:rFonts w:ascii="宋体" w:hAnsi="宋体" w:hint="eastAsia"/>
          <w:lang w:eastAsia="zh-CN"/>
        </w:rPr>
        <w:t>（4）承包人撤离施工现场以及遣散承包人人员的费用；</w:t>
      </w:r>
    </w:p>
    <w:p w14:paraId="094B2776">
      <w:pPr>
        <w:spacing w:line="360" w:lineRule="auto"/>
        <w:rPr>
          <w:rFonts w:ascii="宋体" w:hAnsi="宋体"/>
          <w:lang w:eastAsia="zh-CN"/>
        </w:rPr>
      </w:pPr>
      <w:r>
        <w:rPr>
          <w:rFonts w:ascii="宋体" w:hAnsi="宋体" w:hint="eastAsia"/>
          <w:lang w:eastAsia="zh-CN"/>
        </w:rPr>
        <w:t>（5）按照合同约定在合同解除前应支付给承包人的其他款项；</w:t>
      </w:r>
    </w:p>
    <w:p w14:paraId="57E7A245">
      <w:pPr>
        <w:spacing w:line="360" w:lineRule="auto"/>
        <w:rPr>
          <w:rFonts w:ascii="宋体" w:hAnsi="宋体"/>
          <w:lang w:eastAsia="zh-CN"/>
        </w:rPr>
      </w:pPr>
      <w:r>
        <w:rPr>
          <w:rFonts w:ascii="宋体" w:hAnsi="宋体" w:hint="eastAsia"/>
          <w:lang w:eastAsia="zh-CN"/>
        </w:rPr>
        <w:t>（6）扣减承包人按照合同约定应向发包人支付的款项；</w:t>
      </w:r>
    </w:p>
    <w:p w14:paraId="756BF052">
      <w:pPr>
        <w:spacing w:line="360" w:lineRule="auto"/>
        <w:rPr>
          <w:rFonts w:ascii="宋体" w:hAnsi="宋体"/>
          <w:lang w:eastAsia="zh-CN"/>
        </w:rPr>
      </w:pPr>
      <w:r>
        <w:rPr>
          <w:rFonts w:ascii="宋体" w:hAnsi="宋体" w:hint="eastAsia"/>
          <w:lang w:eastAsia="zh-CN"/>
        </w:rPr>
        <w:t>（7）双方商定或确定的其他款项。</w:t>
      </w:r>
    </w:p>
    <w:p w14:paraId="5A488FED">
      <w:pPr>
        <w:spacing w:line="360" w:lineRule="auto"/>
        <w:rPr>
          <w:rFonts w:ascii="宋体" w:hAnsi="宋体"/>
          <w:lang w:eastAsia="zh-CN"/>
        </w:rPr>
      </w:pPr>
      <w:r>
        <w:rPr>
          <w:rFonts w:ascii="宋体" w:hAnsi="宋体" w:hint="eastAsia"/>
          <w:lang w:eastAsia="zh-CN"/>
        </w:rPr>
        <w:t>除专用合同条款另有约定外，合同解除后，发包人应在商定或确定上述款项后28天内完成上述款项的支付。</w:t>
      </w:r>
    </w:p>
    <w:p w14:paraId="0DA47BC6">
      <w:pPr>
        <w:spacing w:line="360" w:lineRule="auto"/>
        <w:rPr>
          <w:rFonts w:ascii="宋体" w:hAnsi="宋体"/>
          <w:bCs/>
          <w:lang w:eastAsia="zh-CN"/>
        </w:rPr>
      </w:pPr>
      <w:r>
        <w:rPr>
          <w:rFonts w:ascii="宋体" w:hAnsi="宋体" w:hint="eastAsia"/>
          <w:bCs/>
          <w:lang w:eastAsia="zh-CN"/>
        </w:rPr>
        <w:t>18. 保险</w:t>
      </w:r>
    </w:p>
    <w:p w14:paraId="4110D6BD">
      <w:pPr>
        <w:spacing w:line="360" w:lineRule="auto"/>
        <w:rPr>
          <w:rFonts w:ascii="宋体" w:hAnsi="宋体"/>
          <w:bCs/>
          <w:lang w:eastAsia="zh-CN"/>
        </w:rPr>
      </w:pPr>
      <w:r>
        <w:rPr>
          <w:rFonts w:ascii="宋体" w:hAnsi="宋体" w:hint="eastAsia"/>
          <w:bCs/>
          <w:lang w:eastAsia="zh-CN"/>
        </w:rPr>
        <w:t>18.1 工程保险</w:t>
      </w:r>
    </w:p>
    <w:p w14:paraId="3A856F4B">
      <w:pPr>
        <w:spacing w:line="360" w:lineRule="auto"/>
        <w:rPr>
          <w:rFonts w:ascii="宋体" w:hAnsi="宋体"/>
          <w:lang w:eastAsia="zh-CN"/>
        </w:rPr>
      </w:pPr>
      <w:r>
        <w:rPr>
          <w:rFonts w:ascii="宋体" w:hAnsi="宋体" w:hint="eastAsia"/>
          <w:lang w:eastAsia="zh-CN"/>
        </w:rPr>
        <w:t>除专用合同条款另有约定外，发包人应投保建筑工程一切险或安装工程一切险；发包人委托承包人投保的，因投保产生的保险费和其他相关费用由发包人承担。</w:t>
      </w:r>
    </w:p>
    <w:p w14:paraId="0A0C9571">
      <w:pPr>
        <w:spacing w:line="360" w:lineRule="auto"/>
        <w:rPr>
          <w:rFonts w:ascii="宋体" w:hAnsi="宋体"/>
          <w:bCs/>
          <w:lang w:eastAsia="zh-CN"/>
        </w:rPr>
      </w:pPr>
      <w:r>
        <w:rPr>
          <w:rFonts w:ascii="宋体" w:hAnsi="宋体" w:hint="eastAsia"/>
          <w:bCs/>
          <w:lang w:eastAsia="zh-CN"/>
        </w:rPr>
        <w:t>18.2 工伤保险</w:t>
      </w:r>
    </w:p>
    <w:p w14:paraId="22834017">
      <w:pPr>
        <w:spacing w:line="360" w:lineRule="auto"/>
        <w:rPr>
          <w:rFonts w:ascii="宋体" w:hAnsi="宋体"/>
          <w:lang w:eastAsia="zh-CN"/>
        </w:rPr>
      </w:pPr>
      <w:r>
        <w:rPr>
          <w:rFonts w:ascii="宋体" w:hAnsi="宋体" w:hint="eastAsia"/>
          <w:lang w:eastAsia="zh-CN"/>
        </w:rPr>
        <w:t>18.2.1 发包人应依照法律规定参加工伤保险，并为在施工现场的全部员工办理工伤保险，缴纳工伤保险费，并要求监理人及由发包人为履行合同聘请的第三方依法参加工伤保险。</w:t>
      </w:r>
    </w:p>
    <w:p w14:paraId="07E84DE8">
      <w:pPr>
        <w:spacing w:line="360" w:lineRule="auto"/>
        <w:rPr>
          <w:rFonts w:ascii="宋体" w:hAnsi="宋体"/>
          <w:lang w:eastAsia="zh-CN"/>
        </w:rPr>
      </w:pPr>
      <w:r>
        <w:rPr>
          <w:rFonts w:ascii="宋体" w:hAnsi="宋体" w:hint="eastAsia"/>
          <w:lang w:eastAsia="zh-CN"/>
        </w:rPr>
        <w:t>18.2.2 承包人应依照法律规定参加工伤保险，并为其履行合同的全部员工办理工伤保险，缴纳工伤保险费，并要求分包人及由承包人为履行合同聘请的第三方依法参加工伤保险。</w:t>
      </w:r>
    </w:p>
    <w:p w14:paraId="31738E4F">
      <w:pPr>
        <w:spacing w:line="360" w:lineRule="auto"/>
        <w:rPr>
          <w:rFonts w:ascii="宋体" w:hAnsi="宋体"/>
          <w:bCs/>
          <w:lang w:eastAsia="zh-CN"/>
        </w:rPr>
      </w:pPr>
      <w:r>
        <w:rPr>
          <w:rFonts w:ascii="宋体" w:hAnsi="宋体" w:hint="eastAsia"/>
          <w:bCs/>
          <w:lang w:eastAsia="zh-CN"/>
        </w:rPr>
        <w:t>18.3其他保险</w:t>
      </w:r>
    </w:p>
    <w:p w14:paraId="3E49D8C7">
      <w:pPr>
        <w:spacing w:line="360" w:lineRule="auto"/>
        <w:rPr>
          <w:rFonts w:ascii="宋体" w:hAnsi="宋体"/>
          <w:lang w:eastAsia="zh-CN"/>
        </w:rPr>
      </w:pPr>
      <w:r>
        <w:rPr>
          <w:rFonts w:ascii="宋体" w:hAnsi="宋体" w:hint="eastAsia"/>
          <w:lang w:eastAsia="zh-CN"/>
        </w:rPr>
        <w:t>发包人和承包人可以为其施工现场的全部人员办理意外伤害保险并支付保险费，包括其员工及为履行合同聘请的第三方的人员，具体事项由合同当事人在专用合同条款约定。</w:t>
      </w:r>
    </w:p>
    <w:p w14:paraId="3A169183">
      <w:pPr>
        <w:spacing w:line="360" w:lineRule="auto"/>
        <w:rPr>
          <w:rFonts w:ascii="宋体" w:hAnsi="宋体"/>
          <w:lang w:eastAsia="zh-CN"/>
        </w:rPr>
      </w:pPr>
      <w:r>
        <w:rPr>
          <w:rFonts w:ascii="宋体" w:hAnsi="宋体" w:hint="eastAsia"/>
          <w:lang w:eastAsia="zh-CN"/>
        </w:rPr>
        <w:t>除专用合同条款另有约定外，承包人应为其施工设备等办理财产保险。</w:t>
      </w:r>
    </w:p>
    <w:p w14:paraId="7B3A4430">
      <w:pPr>
        <w:spacing w:line="360" w:lineRule="auto"/>
        <w:rPr>
          <w:rFonts w:ascii="宋体" w:hAnsi="宋体"/>
          <w:bCs/>
          <w:lang w:eastAsia="zh-CN"/>
        </w:rPr>
      </w:pPr>
      <w:r>
        <w:rPr>
          <w:rFonts w:ascii="宋体" w:hAnsi="宋体" w:hint="eastAsia"/>
          <w:bCs/>
          <w:lang w:eastAsia="zh-CN"/>
        </w:rPr>
        <w:t>18.4持续保险</w:t>
      </w:r>
    </w:p>
    <w:p w14:paraId="00471F34">
      <w:pPr>
        <w:spacing w:line="360" w:lineRule="auto"/>
        <w:rPr>
          <w:rFonts w:ascii="宋体" w:hAnsi="宋体"/>
          <w:lang w:eastAsia="zh-CN"/>
        </w:rPr>
      </w:pPr>
      <w:r>
        <w:rPr>
          <w:rFonts w:ascii="宋体" w:hAnsi="宋体" w:hint="eastAsia"/>
          <w:lang w:eastAsia="zh-CN"/>
        </w:rPr>
        <w:t>合同当事人应与保险人保持联系，使保险人能够随时了解工程实施中的变动，并确保按保险合同条款要求持续保险。</w:t>
      </w:r>
    </w:p>
    <w:p w14:paraId="3AEE8D67">
      <w:pPr>
        <w:spacing w:line="360" w:lineRule="auto"/>
        <w:rPr>
          <w:rFonts w:ascii="宋体" w:hAnsi="宋体"/>
          <w:bCs/>
          <w:lang w:eastAsia="zh-CN"/>
        </w:rPr>
      </w:pPr>
      <w:r>
        <w:rPr>
          <w:rFonts w:ascii="宋体" w:hAnsi="宋体" w:hint="eastAsia"/>
          <w:bCs/>
          <w:lang w:eastAsia="zh-CN"/>
        </w:rPr>
        <w:t>18.5 保险凭证</w:t>
      </w:r>
    </w:p>
    <w:p w14:paraId="2802D638">
      <w:pPr>
        <w:spacing w:line="360" w:lineRule="auto"/>
        <w:rPr>
          <w:rFonts w:ascii="宋体" w:hAnsi="宋体"/>
          <w:lang w:eastAsia="zh-CN"/>
        </w:rPr>
      </w:pPr>
      <w:r>
        <w:rPr>
          <w:rFonts w:ascii="宋体" w:hAnsi="宋体" w:hint="eastAsia"/>
          <w:lang w:eastAsia="zh-CN"/>
        </w:rPr>
        <w:t>合同当事人应及时向另一方当事人提交其已投保的各项保险的凭证和保险单复印件。</w:t>
      </w:r>
    </w:p>
    <w:p w14:paraId="74BAB6A2">
      <w:pPr>
        <w:spacing w:line="360" w:lineRule="auto"/>
        <w:rPr>
          <w:rFonts w:ascii="宋体" w:hAnsi="宋体"/>
          <w:bCs/>
          <w:lang w:eastAsia="zh-CN"/>
        </w:rPr>
      </w:pPr>
      <w:r>
        <w:rPr>
          <w:rFonts w:ascii="宋体" w:hAnsi="宋体" w:hint="eastAsia"/>
          <w:bCs/>
          <w:lang w:eastAsia="zh-CN"/>
        </w:rPr>
        <w:t>18.6 未按约定投保的补救</w:t>
      </w:r>
    </w:p>
    <w:p w14:paraId="0817B885">
      <w:pPr>
        <w:spacing w:line="360" w:lineRule="auto"/>
        <w:rPr>
          <w:rFonts w:ascii="宋体" w:hAnsi="宋体"/>
          <w:lang w:eastAsia="zh-CN"/>
        </w:rPr>
      </w:pPr>
      <w:r>
        <w:rPr>
          <w:rFonts w:ascii="宋体" w:hAnsi="宋体" w:hint="eastAsia"/>
          <w:lang w:eastAsia="zh-CN"/>
        </w:rPr>
        <w:t>18.6.1发包人未按合同约定办理保险，或未能使保险持续有效的，则承包人可代为办理，所需费用由发包人承担。发包人未按合同约定办理保险，导致未能得到足额赔偿的，由发包人负责补足。</w:t>
      </w:r>
    </w:p>
    <w:p w14:paraId="05E877D1">
      <w:pPr>
        <w:spacing w:line="360" w:lineRule="auto"/>
        <w:rPr>
          <w:rFonts w:ascii="宋体" w:hAnsi="宋体"/>
          <w:lang w:eastAsia="zh-CN"/>
        </w:rPr>
      </w:pPr>
      <w:r>
        <w:rPr>
          <w:rFonts w:ascii="宋体" w:hAnsi="宋体" w:hint="eastAsia"/>
          <w:lang w:eastAsia="zh-CN"/>
        </w:rPr>
        <w:t>18.6.2承包人未按合同约定办理保险，或未能使保险持续有效的，则发包人可代为办理，所需费用由承包人承担。承包人未按合同约定办理保险，导致未能得到足额赔偿的，由承包人负责补足。</w:t>
      </w:r>
    </w:p>
    <w:p w14:paraId="4FAFD926">
      <w:pPr>
        <w:spacing w:line="360" w:lineRule="auto"/>
        <w:rPr>
          <w:rFonts w:ascii="宋体" w:hAnsi="宋体"/>
          <w:bCs/>
          <w:lang w:eastAsia="zh-CN"/>
        </w:rPr>
      </w:pPr>
      <w:r>
        <w:rPr>
          <w:rFonts w:ascii="宋体" w:hAnsi="宋体" w:hint="eastAsia"/>
          <w:bCs/>
          <w:lang w:eastAsia="zh-CN"/>
        </w:rPr>
        <w:t>18.7 通知义务</w:t>
      </w:r>
    </w:p>
    <w:p w14:paraId="2EBA7595">
      <w:pPr>
        <w:spacing w:line="360" w:lineRule="auto"/>
        <w:rPr>
          <w:rFonts w:ascii="宋体" w:hAnsi="宋体"/>
          <w:lang w:eastAsia="zh-CN"/>
        </w:rPr>
      </w:pPr>
      <w:r>
        <w:rPr>
          <w:rFonts w:ascii="宋体" w:hAnsi="宋体" w:hint="eastAsia"/>
          <w:lang w:eastAsia="zh-CN"/>
        </w:rPr>
        <w:t>除专用合同条款另有约定外，发包人变更除工伤保险之外的保险合同时，应事先征得承包人同意，并通知监理人；承包人变更除工伤保险之外的保险合同时，应事先征得发包人同意，并通知监理人。</w:t>
      </w:r>
    </w:p>
    <w:p w14:paraId="160F31C8">
      <w:pPr>
        <w:spacing w:line="360" w:lineRule="auto"/>
        <w:rPr>
          <w:rFonts w:ascii="宋体" w:hAnsi="宋体"/>
          <w:lang w:eastAsia="zh-CN"/>
        </w:rPr>
      </w:pPr>
      <w:r>
        <w:rPr>
          <w:rFonts w:ascii="宋体" w:hAnsi="宋体" w:hint="eastAsia"/>
          <w:lang w:eastAsia="zh-CN"/>
        </w:rPr>
        <w:t>保险事故发生时，投保人应按照保险合同规定的条件和期限及时向保险人报告。发包人和承包人应当在知道保险事故发生后及时通知对方。</w:t>
      </w:r>
    </w:p>
    <w:p w14:paraId="682CDA00">
      <w:pPr>
        <w:spacing w:line="360" w:lineRule="auto"/>
        <w:rPr>
          <w:rFonts w:ascii="宋体" w:hAnsi="宋体"/>
          <w:bCs/>
          <w:lang w:eastAsia="zh-CN"/>
        </w:rPr>
      </w:pPr>
      <w:r>
        <w:rPr>
          <w:rFonts w:ascii="宋体" w:hAnsi="宋体" w:hint="eastAsia"/>
          <w:bCs/>
          <w:lang w:eastAsia="zh-CN"/>
        </w:rPr>
        <w:t>19. 索赔</w:t>
      </w:r>
    </w:p>
    <w:p w14:paraId="5B034EB2">
      <w:pPr>
        <w:spacing w:line="360" w:lineRule="auto"/>
        <w:rPr>
          <w:rFonts w:ascii="宋体" w:hAnsi="宋体"/>
          <w:bCs/>
          <w:lang w:eastAsia="zh-CN"/>
        </w:rPr>
      </w:pPr>
      <w:r>
        <w:rPr>
          <w:rFonts w:ascii="宋体" w:hAnsi="宋体" w:hint="eastAsia"/>
          <w:bCs/>
          <w:lang w:eastAsia="zh-CN"/>
        </w:rPr>
        <w:t>19.1承包人的索赔</w:t>
      </w:r>
    </w:p>
    <w:p w14:paraId="6F4DA53A">
      <w:pPr>
        <w:spacing w:line="360" w:lineRule="auto"/>
        <w:rPr>
          <w:rFonts w:ascii="宋体" w:hAnsi="宋体"/>
          <w:lang w:eastAsia="zh-CN"/>
        </w:rPr>
      </w:pPr>
      <w:r>
        <w:rPr>
          <w:rFonts w:ascii="宋体" w:hAnsi="宋体" w:hint="eastAsia"/>
          <w:lang w:eastAsia="zh-CN"/>
        </w:rPr>
        <w:t>根据合同约定，承包人认为有权得到追加付款和（或）延长工期的，应按以下程序向发包人提出索赔：</w:t>
      </w:r>
    </w:p>
    <w:p w14:paraId="28AD3D59">
      <w:pPr>
        <w:spacing w:line="360" w:lineRule="auto"/>
        <w:rPr>
          <w:rFonts w:ascii="宋体" w:hAnsi="宋体"/>
          <w:lang w:eastAsia="zh-CN"/>
        </w:rPr>
      </w:pPr>
      <w:r>
        <w:rPr>
          <w:rFonts w:ascii="宋体" w:hAnsi="宋体" w:hint="eastAsia"/>
          <w:lang w:eastAsia="zh-CN"/>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254F2E7C">
      <w:pPr>
        <w:spacing w:line="360" w:lineRule="auto"/>
        <w:rPr>
          <w:rFonts w:ascii="宋体" w:hAnsi="宋体"/>
          <w:lang w:eastAsia="zh-CN"/>
        </w:rPr>
      </w:pPr>
      <w:r>
        <w:rPr>
          <w:rFonts w:ascii="宋体" w:hAnsi="宋体" w:hint="eastAsia"/>
          <w:lang w:eastAsia="zh-CN"/>
        </w:rPr>
        <w:t>（2）承包人应在发出索赔意向通知书后28天内，向监理人正式递交索赔报告；索赔报告应详细说明索赔理由以及要求追加的付款金额和（或）延长的工期，并附必要的记录和证明材料；</w:t>
      </w:r>
    </w:p>
    <w:p w14:paraId="7A18D3A9">
      <w:pPr>
        <w:spacing w:line="360" w:lineRule="auto"/>
        <w:rPr>
          <w:rFonts w:ascii="宋体" w:hAnsi="宋体"/>
          <w:lang w:eastAsia="zh-CN"/>
        </w:rPr>
      </w:pPr>
      <w:r>
        <w:rPr>
          <w:rFonts w:ascii="宋体" w:hAnsi="宋体" w:hint="eastAsia"/>
          <w:lang w:eastAsia="zh-CN"/>
        </w:rPr>
        <w:t>（3）索赔事件具有持续影响的，承包人应按合理时间间隔继续递交延续索赔通知，说明持续影响的实际情况和记录，列出累计的追加付款金额和（或）工期延长天数；</w:t>
      </w:r>
    </w:p>
    <w:p w14:paraId="03EE3DF5">
      <w:pPr>
        <w:spacing w:line="360" w:lineRule="auto"/>
        <w:rPr>
          <w:rFonts w:ascii="宋体" w:hAnsi="宋体"/>
          <w:lang w:eastAsia="zh-CN"/>
        </w:rPr>
      </w:pPr>
      <w:r>
        <w:rPr>
          <w:rFonts w:ascii="宋体" w:hAnsi="宋体" w:hint="eastAsia"/>
          <w:lang w:eastAsia="zh-CN"/>
        </w:rPr>
        <w:t>（4）在索赔事件影响结束后28天内，承包人应向监理人递交最终索赔报告，说明最终要求索赔的追加付款金额和（或）延长的工期，并附必要的记录和证明材料。</w:t>
      </w:r>
    </w:p>
    <w:p w14:paraId="36EFA162">
      <w:pPr>
        <w:spacing w:line="360" w:lineRule="auto"/>
        <w:rPr>
          <w:rFonts w:ascii="宋体" w:hAnsi="宋体"/>
          <w:bCs/>
          <w:lang w:eastAsia="zh-CN"/>
        </w:rPr>
      </w:pPr>
      <w:r>
        <w:rPr>
          <w:rFonts w:ascii="宋体" w:hAnsi="宋体" w:hint="eastAsia"/>
          <w:bCs/>
          <w:lang w:eastAsia="zh-CN"/>
        </w:rPr>
        <w:t>19.2 对承包人索赔的处理</w:t>
      </w:r>
    </w:p>
    <w:p w14:paraId="07DEDCF3">
      <w:pPr>
        <w:spacing w:line="360" w:lineRule="auto"/>
        <w:rPr>
          <w:rFonts w:ascii="宋体" w:hAnsi="宋体"/>
          <w:lang w:eastAsia="zh-CN"/>
        </w:rPr>
      </w:pPr>
      <w:r>
        <w:rPr>
          <w:rFonts w:ascii="宋体" w:hAnsi="宋体" w:hint="eastAsia"/>
          <w:lang w:eastAsia="zh-CN"/>
        </w:rPr>
        <w:t>对承包人索赔的处理如下：</w:t>
      </w:r>
    </w:p>
    <w:p w14:paraId="771F3F2A">
      <w:pPr>
        <w:spacing w:line="360" w:lineRule="auto"/>
        <w:rPr>
          <w:rFonts w:ascii="宋体" w:hAnsi="宋体"/>
          <w:lang w:eastAsia="zh-CN"/>
        </w:rPr>
      </w:pPr>
      <w:r>
        <w:rPr>
          <w:rFonts w:ascii="宋体" w:hAnsi="宋体" w:hint="eastAsia"/>
          <w:lang w:eastAsia="zh-CN"/>
        </w:rPr>
        <w:t>（1）监理人应在收到索赔报告后14天内完成审查并报送发包人。监理人对索赔报告存在异议的，有权要求承包人提交全部原始记录副本；</w:t>
      </w:r>
    </w:p>
    <w:p w14:paraId="25838F2E">
      <w:pPr>
        <w:spacing w:line="360" w:lineRule="auto"/>
        <w:rPr>
          <w:rFonts w:ascii="宋体" w:hAnsi="宋体"/>
          <w:lang w:eastAsia="zh-CN"/>
        </w:rPr>
      </w:pPr>
      <w:r>
        <w:rPr>
          <w:rFonts w:ascii="宋体" w:hAnsi="宋体" w:hint="eastAsia"/>
          <w:lang w:eastAsia="zh-CN"/>
        </w:rPr>
        <w:t>（2）发包人应在监理人收到索赔报告或有关索赔的进一步证明材料后的28天内，由监理人向承包人出具经发包人签认的索赔处理结果。发包人逾期答复的，则视为认可承包人的索赔要求；</w:t>
      </w:r>
    </w:p>
    <w:p w14:paraId="434242B7">
      <w:pPr>
        <w:spacing w:line="360" w:lineRule="auto"/>
        <w:rPr>
          <w:rFonts w:ascii="宋体" w:hAnsi="宋体"/>
          <w:lang w:eastAsia="zh-CN"/>
        </w:rPr>
      </w:pPr>
      <w:r>
        <w:rPr>
          <w:rFonts w:ascii="宋体" w:hAnsi="宋体" w:hint="eastAsia"/>
          <w:lang w:eastAsia="zh-CN"/>
        </w:rPr>
        <w:t>（3）承包人接受索赔处理结果的，索赔款项在当期进度款中进行支付；承包人不接受索赔处理结果的，按照第20条〔争议解决〕约定处理。</w:t>
      </w:r>
    </w:p>
    <w:p w14:paraId="6DA82746">
      <w:pPr>
        <w:spacing w:line="360" w:lineRule="auto"/>
        <w:rPr>
          <w:rFonts w:ascii="宋体" w:hAnsi="宋体"/>
          <w:bCs/>
          <w:lang w:eastAsia="zh-CN"/>
        </w:rPr>
      </w:pPr>
      <w:r>
        <w:rPr>
          <w:rFonts w:ascii="宋体" w:hAnsi="宋体" w:hint="eastAsia"/>
          <w:bCs/>
          <w:lang w:eastAsia="zh-CN"/>
        </w:rPr>
        <w:t>19.3发包人的索赔</w:t>
      </w:r>
    </w:p>
    <w:p w14:paraId="126B54C8">
      <w:pPr>
        <w:spacing w:line="360" w:lineRule="auto"/>
        <w:rPr>
          <w:rFonts w:ascii="宋体" w:hAnsi="宋体"/>
          <w:lang w:eastAsia="zh-CN"/>
        </w:rPr>
      </w:pPr>
      <w:r>
        <w:rPr>
          <w:rFonts w:ascii="宋体" w:hAnsi="宋体" w:hint="eastAsia"/>
          <w:lang w:eastAsia="zh-CN"/>
        </w:rPr>
        <w:t>根据合同约定，发包人认为有权得到赔付金额和（或）延长缺陷责任期的，监理人应向承包人发出通知并附有详细的证明。</w:t>
      </w:r>
    </w:p>
    <w:p w14:paraId="1FDB6B5C">
      <w:pPr>
        <w:spacing w:line="360" w:lineRule="auto"/>
        <w:rPr>
          <w:rFonts w:ascii="宋体" w:hAnsi="宋体"/>
          <w:lang w:eastAsia="zh-CN"/>
        </w:rPr>
      </w:pPr>
      <w:r>
        <w:rPr>
          <w:rFonts w:ascii="宋体" w:hAnsi="宋体" w:hint="eastAsia"/>
          <w:lang w:eastAsia="zh-CN"/>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4EEDA821">
      <w:pPr>
        <w:spacing w:line="360" w:lineRule="auto"/>
        <w:rPr>
          <w:rFonts w:ascii="宋体" w:hAnsi="宋体"/>
          <w:bCs/>
          <w:lang w:eastAsia="zh-CN"/>
        </w:rPr>
      </w:pPr>
      <w:r>
        <w:rPr>
          <w:rFonts w:ascii="宋体" w:hAnsi="宋体" w:hint="eastAsia"/>
          <w:bCs/>
          <w:lang w:eastAsia="zh-CN"/>
        </w:rPr>
        <w:t>19.4 对发包人索赔的处理</w:t>
      </w:r>
    </w:p>
    <w:p w14:paraId="4A4E804B">
      <w:pPr>
        <w:spacing w:line="360" w:lineRule="auto"/>
        <w:rPr>
          <w:rFonts w:ascii="宋体" w:hAnsi="宋体"/>
          <w:lang w:eastAsia="zh-CN"/>
        </w:rPr>
      </w:pPr>
      <w:r>
        <w:rPr>
          <w:rFonts w:ascii="宋体" w:hAnsi="宋体" w:hint="eastAsia"/>
          <w:lang w:eastAsia="zh-CN"/>
        </w:rPr>
        <w:t>对发包人索赔的处理如下：</w:t>
      </w:r>
    </w:p>
    <w:p w14:paraId="5E460F59">
      <w:pPr>
        <w:spacing w:line="360" w:lineRule="auto"/>
        <w:rPr>
          <w:rFonts w:ascii="宋体" w:hAnsi="宋体"/>
          <w:lang w:eastAsia="zh-CN"/>
        </w:rPr>
      </w:pPr>
      <w:r>
        <w:rPr>
          <w:rFonts w:ascii="宋体" w:hAnsi="宋体" w:hint="eastAsia"/>
          <w:lang w:eastAsia="zh-CN"/>
        </w:rPr>
        <w:t>（1）承包人收到发包人提交的索赔报告后，应及时审查索赔报告的内容、查验发包人证明材料；</w:t>
      </w:r>
    </w:p>
    <w:p w14:paraId="6E67FD5F">
      <w:pPr>
        <w:spacing w:line="360" w:lineRule="auto"/>
        <w:rPr>
          <w:rFonts w:ascii="宋体" w:hAnsi="宋体"/>
          <w:lang w:eastAsia="zh-CN"/>
        </w:rPr>
      </w:pPr>
      <w:r>
        <w:rPr>
          <w:rFonts w:ascii="宋体" w:hAnsi="宋体" w:hint="eastAsia"/>
          <w:lang w:eastAsia="zh-CN"/>
        </w:rPr>
        <w:t>（2）承包人应在收到索赔报告或有关索赔的进一步证明材料后28天内，将索赔处理结果答复发包人。如果承包人未在上述期限内作出答复的，则视为对发包人索赔要求的认可；</w:t>
      </w:r>
    </w:p>
    <w:p w14:paraId="4CBA1961">
      <w:pPr>
        <w:spacing w:line="360" w:lineRule="auto"/>
        <w:rPr>
          <w:rFonts w:ascii="宋体" w:hAnsi="宋体"/>
          <w:lang w:eastAsia="zh-CN"/>
        </w:rPr>
      </w:pPr>
      <w:r>
        <w:rPr>
          <w:rFonts w:ascii="宋体" w:hAnsi="宋体" w:hint="eastAsia"/>
          <w:lang w:eastAsia="zh-CN"/>
        </w:rPr>
        <w:t>（3）承包人接受索赔处理结果的，发包人可从应支付给承包人的合同价款中扣除赔付的金额或延长缺陷责任期；发包人不接受索赔处理结果的，按第20条〔争议解决〕约定处理。</w:t>
      </w:r>
    </w:p>
    <w:p w14:paraId="5EDE8E67">
      <w:pPr>
        <w:spacing w:line="360" w:lineRule="auto"/>
        <w:rPr>
          <w:rFonts w:ascii="宋体" w:hAnsi="宋体"/>
          <w:bCs/>
          <w:lang w:eastAsia="zh-CN"/>
        </w:rPr>
      </w:pPr>
      <w:r>
        <w:rPr>
          <w:rFonts w:ascii="宋体" w:hAnsi="宋体" w:hint="eastAsia"/>
          <w:bCs/>
          <w:lang w:eastAsia="zh-CN"/>
        </w:rPr>
        <w:t>19.5 提出索赔的期限</w:t>
      </w:r>
    </w:p>
    <w:p w14:paraId="6A963111">
      <w:pPr>
        <w:spacing w:line="360" w:lineRule="auto"/>
        <w:rPr>
          <w:rFonts w:ascii="宋体" w:hAnsi="宋体"/>
          <w:lang w:eastAsia="zh-CN"/>
        </w:rPr>
      </w:pPr>
      <w:r>
        <w:rPr>
          <w:rFonts w:ascii="宋体" w:hAnsi="宋体" w:hint="eastAsia"/>
          <w:lang w:eastAsia="zh-CN"/>
        </w:rPr>
        <w:t>（1）承包人按第14.2款〔竣工结算审核〕约定接收竣工付款证书后，应被视为已无权再提出在工程接收证书颁发前所发生的任何索赔。</w:t>
      </w:r>
    </w:p>
    <w:p w14:paraId="3109CDF5">
      <w:pPr>
        <w:spacing w:line="360" w:lineRule="auto"/>
        <w:rPr>
          <w:rFonts w:ascii="宋体" w:hAnsi="宋体"/>
          <w:lang w:eastAsia="zh-CN"/>
        </w:rPr>
      </w:pPr>
      <w:r>
        <w:rPr>
          <w:rFonts w:ascii="宋体" w:hAnsi="宋体" w:hint="eastAsia"/>
          <w:lang w:eastAsia="zh-CN"/>
        </w:rPr>
        <w:t>（2）承包人按第14.4款〔最终结清〕提交的最终结清申请单中，只限于提出工程接收证书颁发后发生的索赔。提出索赔的期限自接受最终结清证书时终止。</w:t>
      </w:r>
    </w:p>
    <w:p w14:paraId="6B961D00">
      <w:pPr>
        <w:spacing w:line="360" w:lineRule="auto"/>
        <w:rPr>
          <w:rFonts w:ascii="宋体" w:hAnsi="宋体"/>
          <w:bCs/>
          <w:lang w:eastAsia="zh-CN"/>
        </w:rPr>
      </w:pPr>
      <w:r>
        <w:rPr>
          <w:rFonts w:ascii="宋体" w:hAnsi="宋体" w:hint="eastAsia"/>
          <w:bCs/>
          <w:lang w:eastAsia="zh-CN"/>
        </w:rPr>
        <w:t>20. 争议解决</w:t>
      </w:r>
    </w:p>
    <w:p w14:paraId="5C358A9E">
      <w:pPr>
        <w:spacing w:line="360" w:lineRule="auto"/>
        <w:rPr>
          <w:rFonts w:ascii="宋体" w:hAnsi="宋体"/>
          <w:bCs/>
          <w:lang w:eastAsia="zh-CN"/>
        </w:rPr>
      </w:pPr>
      <w:r>
        <w:rPr>
          <w:rFonts w:ascii="宋体" w:hAnsi="宋体" w:hint="eastAsia"/>
          <w:bCs/>
          <w:lang w:eastAsia="zh-CN"/>
        </w:rPr>
        <w:t>20.1和解</w:t>
      </w:r>
    </w:p>
    <w:p w14:paraId="0DC72A76">
      <w:pPr>
        <w:spacing w:line="360" w:lineRule="auto"/>
        <w:rPr>
          <w:rFonts w:ascii="宋体" w:hAnsi="宋体"/>
          <w:lang w:eastAsia="zh-CN"/>
        </w:rPr>
      </w:pPr>
      <w:r>
        <w:rPr>
          <w:rFonts w:ascii="宋体" w:hAnsi="宋体" w:hint="eastAsia"/>
          <w:lang w:eastAsia="zh-CN"/>
        </w:rPr>
        <w:t>合同当事人可以就争议自行和解，自行和解达成协议的经双方签字并盖章后作为合同补充文件，双方均应遵照执行。</w:t>
      </w:r>
    </w:p>
    <w:p w14:paraId="5DACAF6B">
      <w:pPr>
        <w:spacing w:line="360" w:lineRule="auto"/>
        <w:rPr>
          <w:rFonts w:ascii="宋体" w:hAnsi="宋体"/>
          <w:bCs/>
          <w:lang w:eastAsia="zh-CN"/>
        </w:rPr>
      </w:pPr>
      <w:r>
        <w:rPr>
          <w:rFonts w:ascii="宋体" w:hAnsi="宋体" w:hint="eastAsia"/>
          <w:bCs/>
          <w:lang w:eastAsia="zh-CN"/>
        </w:rPr>
        <w:t>20.2调解</w:t>
      </w:r>
    </w:p>
    <w:p w14:paraId="5815E73B">
      <w:pPr>
        <w:spacing w:line="360" w:lineRule="auto"/>
        <w:rPr>
          <w:rFonts w:ascii="宋体" w:hAnsi="宋体"/>
          <w:lang w:eastAsia="zh-CN"/>
        </w:rPr>
      </w:pPr>
      <w:r>
        <w:rPr>
          <w:rFonts w:ascii="宋体" w:hAnsi="宋体" w:hint="eastAsia"/>
          <w:lang w:eastAsia="zh-CN"/>
        </w:rPr>
        <w:t>合同当事人可以就争议请求建设行政主管部门、行业协会或其他第三方进行调解，调解达成协议的，经双方签字并盖章后作为合同补充文件，双方均应遵照执行。</w:t>
      </w:r>
    </w:p>
    <w:p w14:paraId="30D12FD3">
      <w:pPr>
        <w:spacing w:line="360" w:lineRule="auto"/>
        <w:rPr>
          <w:rFonts w:ascii="宋体" w:hAnsi="宋体"/>
          <w:bCs/>
          <w:lang w:eastAsia="zh-CN"/>
        </w:rPr>
      </w:pPr>
      <w:r>
        <w:rPr>
          <w:rFonts w:ascii="宋体" w:hAnsi="宋体" w:hint="eastAsia"/>
          <w:bCs/>
          <w:lang w:eastAsia="zh-CN"/>
        </w:rPr>
        <w:t>20.3争议评审</w:t>
      </w:r>
    </w:p>
    <w:p w14:paraId="389D1938">
      <w:pPr>
        <w:spacing w:line="360" w:lineRule="auto"/>
        <w:rPr>
          <w:rFonts w:ascii="宋体" w:hAnsi="宋体"/>
          <w:lang w:eastAsia="zh-CN"/>
        </w:rPr>
      </w:pPr>
      <w:r>
        <w:rPr>
          <w:rFonts w:ascii="宋体" w:hAnsi="宋体" w:hint="eastAsia"/>
          <w:lang w:eastAsia="zh-CN"/>
        </w:rPr>
        <w:t xml:space="preserve">合同当事人在专用合同条款中约定采取争议评审方式解决争议以及评审规则，并按下列约定执行： </w:t>
      </w:r>
    </w:p>
    <w:p w14:paraId="1FB748D8">
      <w:pPr>
        <w:spacing w:line="360" w:lineRule="auto"/>
        <w:rPr>
          <w:rFonts w:ascii="宋体" w:hAnsi="宋体"/>
          <w:lang w:eastAsia="zh-CN"/>
        </w:rPr>
      </w:pPr>
      <w:r>
        <w:rPr>
          <w:rFonts w:ascii="宋体" w:hAnsi="宋体" w:hint="eastAsia"/>
          <w:lang w:eastAsia="zh-CN"/>
        </w:rPr>
        <w:t>20.3.1 争议评审小组的确定</w:t>
      </w:r>
    </w:p>
    <w:p w14:paraId="1BF35D2E">
      <w:pPr>
        <w:spacing w:line="360" w:lineRule="auto"/>
        <w:rPr>
          <w:rFonts w:ascii="宋体" w:hAnsi="宋体"/>
          <w:lang w:eastAsia="zh-CN"/>
        </w:rPr>
      </w:pPr>
      <w:r>
        <w:rPr>
          <w:rFonts w:ascii="宋体" w:hAnsi="宋体" w:hint="eastAsia"/>
          <w:lang w:eastAsia="zh-CN"/>
        </w:rPr>
        <w:t>合同当事人可以共同选择一名或三名争议评审员，组成争议评审小组。除专用合同条款另有约定外，合同当事人应当自合同签订后28天内，或者争议发生后14天内，选定争议评审员。</w:t>
      </w:r>
    </w:p>
    <w:p w14:paraId="37FEDA80">
      <w:pPr>
        <w:spacing w:line="360" w:lineRule="auto"/>
        <w:rPr>
          <w:rFonts w:ascii="宋体" w:hAnsi="宋体"/>
          <w:lang w:eastAsia="zh-CN"/>
        </w:rPr>
      </w:pPr>
      <w:r>
        <w:rPr>
          <w:rFonts w:ascii="宋体" w:hAnsi="宋体" w:hint="eastAsia"/>
          <w:lang w:eastAsia="zh-CN"/>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0B9406F8">
      <w:pPr>
        <w:spacing w:line="360" w:lineRule="auto"/>
        <w:rPr>
          <w:rFonts w:ascii="宋体" w:hAnsi="宋体"/>
          <w:lang w:eastAsia="zh-CN"/>
        </w:rPr>
      </w:pPr>
      <w:r>
        <w:rPr>
          <w:rFonts w:ascii="宋体" w:hAnsi="宋体" w:hint="eastAsia"/>
          <w:lang w:eastAsia="zh-CN"/>
        </w:rPr>
        <w:t>除专用合同条款另有约定外，评审员报酬由发包人和承包人各承担一半。</w:t>
      </w:r>
    </w:p>
    <w:p w14:paraId="7E1754E9">
      <w:pPr>
        <w:spacing w:line="360" w:lineRule="auto"/>
        <w:rPr>
          <w:rFonts w:ascii="宋体" w:hAnsi="宋体"/>
          <w:lang w:eastAsia="zh-CN"/>
        </w:rPr>
      </w:pPr>
      <w:r>
        <w:rPr>
          <w:rFonts w:ascii="宋体" w:hAnsi="宋体" w:hint="eastAsia"/>
          <w:lang w:eastAsia="zh-CN"/>
        </w:rPr>
        <w:t>20.3.2 争议评审小组的决定</w:t>
      </w:r>
    </w:p>
    <w:p w14:paraId="5921D08B">
      <w:pPr>
        <w:spacing w:line="360" w:lineRule="auto"/>
        <w:rPr>
          <w:rFonts w:ascii="宋体" w:hAnsi="宋体"/>
          <w:lang w:eastAsia="zh-CN"/>
        </w:rPr>
      </w:pPr>
      <w:r>
        <w:rPr>
          <w:rFonts w:ascii="宋体" w:hAnsi="宋体" w:hint="eastAsia"/>
          <w:lang w:eastAsia="zh-CN"/>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3A4C81F6">
      <w:pPr>
        <w:spacing w:line="360" w:lineRule="auto"/>
        <w:rPr>
          <w:rFonts w:ascii="宋体" w:hAnsi="宋体"/>
          <w:lang w:eastAsia="zh-CN"/>
        </w:rPr>
      </w:pPr>
      <w:r>
        <w:rPr>
          <w:rFonts w:ascii="宋体" w:hAnsi="宋体" w:hint="eastAsia"/>
          <w:lang w:eastAsia="zh-CN"/>
        </w:rPr>
        <w:t>20.3.3 争议评审小组决定的效力</w:t>
      </w:r>
    </w:p>
    <w:p w14:paraId="2838AF3A">
      <w:pPr>
        <w:spacing w:line="360" w:lineRule="auto"/>
        <w:rPr>
          <w:rFonts w:ascii="宋体" w:hAnsi="宋体"/>
          <w:lang w:eastAsia="zh-CN"/>
        </w:rPr>
      </w:pPr>
      <w:r>
        <w:rPr>
          <w:rFonts w:ascii="宋体" w:hAnsi="宋体" w:hint="eastAsia"/>
          <w:lang w:eastAsia="zh-CN"/>
        </w:rPr>
        <w:t>争议评审小组作出的书面决定经合同当事人签字确认后，对双方具有约束力，双方应遵照执行。</w:t>
      </w:r>
    </w:p>
    <w:p w14:paraId="0F07E8AE">
      <w:pPr>
        <w:spacing w:line="360" w:lineRule="auto"/>
        <w:rPr>
          <w:rFonts w:ascii="宋体" w:hAnsi="宋体"/>
          <w:lang w:eastAsia="zh-CN"/>
        </w:rPr>
      </w:pPr>
      <w:r>
        <w:rPr>
          <w:rFonts w:ascii="宋体" w:hAnsi="宋体" w:hint="eastAsia"/>
          <w:lang w:eastAsia="zh-CN"/>
        </w:rPr>
        <w:t>任何一方当事人不接受争议评审小组决定或不履行争议评审小组决定的，双方可选择采用其他争议解决方式。</w:t>
      </w:r>
    </w:p>
    <w:p w14:paraId="20273DD6">
      <w:pPr>
        <w:spacing w:line="360" w:lineRule="auto"/>
        <w:rPr>
          <w:rFonts w:ascii="宋体" w:hAnsi="宋体"/>
          <w:bCs/>
          <w:lang w:eastAsia="zh-CN"/>
        </w:rPr>
      </w:pPr>
      <w:r>
        <w:rPr>
          <w:rFonts w:ascii="宋体" w:hAnsi="宋体" w:hint="eastAsia"/>
          <w:bCs/>
          <w:lang w:eastAsia="zh-CN"/>
        </w:rPr>
        <w:t>20.4仲裁或诉讼</w:t>
      </w:r>
    </w:p>
    <w:p w14:paraId="237F2C8D">
      <w:pPr>
        <w:spacing w:line="360" w:lineRule="auto"/>
        <w:rPr>
          <w:rFonts w:ascii="宋体" w:hAnsi="宋体"/>
          <w:lang w:eastAsia="zh-CN"/>
        </w:rPr>
      </w:pPr>
      <w:r>
        <w:rPr>
          <w:rFonts w:ascii="宋体" w:hAnsi="宋体" w:hint="eastAsia"/>
          <w:lang w:eastAsia="zh-CN"/>
        </w:rPr>
        <w:t>因合同及合同有关事项产生的争议，合同当事人可以在专用合同条款中约定以下一种方式解决争议：</w:t>
      </w:r>
    </w:p>
    <w:p w14:paraId="3C886198">
      <w:pPr>
        <w:spacing w:line="360" w:lineRule="auto"/>
        <w:rPr>
          <w:rFonts w:ascii="宋体" w:hAnsi="宋体"/>
          <w:lang w:eastAsia="zh-CN"/>
        </w:rPr>
      </w:pPr>
      <w:r>
        <w:rPr>
          <w:rFonts w:ascii="宋体" w:hAnsi="宋体" w:hint="eastAsia"/>
          <w:lang w:eastAsia="zh-CN"/>
        </w:rPr>
        <w:t>（1）向约定的仲裁委员会申请仲裁；</w:t>
      </w:r>
    </w:p>
    <w:p w14:paraId="24CE2EE3">
      <w:pPr>
        <w:spacing w:line="360" w:lineRule="auto"/>
        <w:rPr>
          <w:rFonts w:ascii="宋体" w:hAnsi="宋体"/>
          <w:lang w:eastAsia="zh-CN"/>
        </w:rPr>
      </w:pPr>
      <w:r>
        <w:rPr>
          <w:rFonts w:ascii="宋体" w:hAnsi="宋体" w:hint="eastAsia"/>
          <w:lang w:eastAsia="zh-CN"/>
        </w:rPr>
        <w:t>（2）向有管辖权的人民法院起诉。</w:t>
      </w:r>
    </w:p>
    <w:p w14:paraId="1FFC388D">
      <w:pPr>
        <w:spacing w:line="360" w:lineRule="auto"/>
        <w:rPr>
          <w:rFonts w:ascii="宋体" w:hAnsi="宋体"/>
          <w:bCs/>
          <w:lang w:eastAsia="zh-CN"/>
        </w:rPr>
      </w:pPr>
      <w:r>
        <w:rPr>
          <w:rFonts w:ascii="宋体" w:hAnsi="宋体" w:hint="eastAsia"/>
          <w:bCs/>
          <w:lang w:eastAsia="zh-CN"/>
        </w:rPr>
        <w:t>20.5争议解决条款效力</w:t>
      </w:r>
    </w:p>
    <w:p w14:paraId="6F8EAE7C">
      <w:pPr>
        <w:spacing w:line="360" w:lineRule="auto"/>
        <w:rPr>
          <w:rFonts w:ascii="宋体" w:hAnsi="宋体"/>
          <w:lang w:eastAsia="zh-CN"/>
        </w:rPr>
      </w:pPr>
      <w:r>
        <w:rPr>
          <w:rFonts w:ascii="宋体" w:hAnsi="宋体" w:hint="eastAsia"/>
          <w:lang w:eastAsia="zh-CN"/>
        </w:rPr>
        <w:t>合同有关争议解决的条款独立存在，合同的变更、解除、终止、无效或者被撤销均不影响其效力。</w:t>
      </w:r>
    </w:p>
    <w:p w14:paraId="06D63D97">
      <w:pPr>
        <w:pStyle w:val="Heading1"/>
        <w:spacing w:before="0" w:after="260" w:line="360" w:lineRule="auto"/>
        <w:ind w:left="-240" w:right="-240" w:leftChars="-100" w:rightChars="-100"/>
        <w:jc w:val="center"/>
        <w:rPr>
          <w:rFonts w:ascii="宋体" w:hAnsi="宋体" w:cs="宋体"/>
          <w:bCs w:val="0"/>
          <w:color w:val="000000"/>
          <w:sz w:val="32"/>
          <w:szCs w:val="32"/>
        </w:rPr>
      </w:pPr>
      <w:r>
        <w:rPr>
          <w:rFonts w:ascii="宋体" w:hAnsi="宋体" w:cs="宋体" w:hint="eastAsia"/>
          <w:b w:val="0"/>
          <w:color w:val="000000"/>
          <w:sz w:val="24"/>
          <w:szCs w:val="24"/>
        </w:rPr>
        <w:br w:type="page"/>
      </w:r>
      <w:r>
        <w:rPr>
          <w:rFonts w:ascii="宋体" w:hAnsi="宋体" w:cs="宋体" w:hint="eastAsia"/>
          <w:bCs w:val="0"/>
          <w:color w:val="000000"/>
          <w:sz w:val="32"/>
          <w:szCs w:val="32"/>
        </w:rPr>
        <w:t>第三部分 专用合同条款</w:t>
      </w:r>
      <w:bookmarkEnd w:id="1168"/>
      <w:bookmarkEnd w:id="1169"/>
      <w:bookmarkEnd w:id="1170"/>
      <w:bookmarkEnd w:id="1171"/>
      <w:bookmarkEnd w:id="1172"/>
      <w:bookmarkEnd w:id="1173"/>
      <w:bookmarkEnd w:id="1174"/>
    </w:p>
    <w:p w14:paraId="2B2571FA">
      <w:pPr>
        <w:pStyle w:val="Heading2"/>
        <w:ind w:left="-240" w:right="-240" w:leftChars="-100" w:rightChars="-100"/>
        <w:rPr>
          <w:rFonts w:ascii="宋体" w:hAnsi="宋体" w:cs="宋体"/>
          <w:b w:val="0"/>
          <w:color w:val="000000"/>
          <w:sz w:val="24"/>
          <w:szCs w:val="24"/>
        </w:rPr>
      </w:pPr>
      <w:bookmarkStart w:id="1175" w:name="_Toc1281606529"/>
      <w:bookmarkStart w:id="1176" w:name="_Toc1742251250"/>
      <w:r>
        <w:rPr>
          <w:rFonts w:ascii="宋体" w:hAnsi="宋体" w:cs="宋体" w:hint="eastAsia"/>
          <w:b w:val="0"/>
          <w:color w:val="000000"/>
          <w:sz w:val="24"/>
          <w:szCs w:val="24"/>
        </w:rPr>
        <w:t>1. 一般约定</w:t>
      </w:r>
      <w:bookmarkEnd w:id="1175"/>
      <w:bookmarkEnd w:id="1176"/>
    </w:p>
    <w:p w14:paraId="2410FF6A">
      <w:pPr>
        <w:spacing w:line="360" w:lineRule="auto"/>
        <w:ind w:left="-240" w:right="-240" w:firstLine="480" w:leftChars="-100" w:rightChars="-100" w:firstLineChars="200"/>
        <w:outlineLvl w:val="2"/>
        <w:rPr>
          <w:rFonts w:ascii="宋体" w:hAnsi="宋体" w:cs="宋体"/>
          <w:color w:val="000000"/>
          <w:lang w:eastAsia="zh-CN"/>
        </w:rPr>
      </w:pPr>
      <w:bookmarkStart w:id="1177" w:name="_Toc28755"/>
      <w:bookmarkStart w:id="1178" w:name="_Toc1772939203"/>
      <w:bookmarkStart w:id="1179" w:name="_Toc276302670"/>
      <w:r>
        <w:rPr>
          <w:rFonts w:ascii="宋体" w:hAnsi="宋体" w:cs="宋体" w:hint="eastAsia"/>
          <w:color w:val="000000"/>
          <w:lang w:eastAsia="zh-CN"/>
        </w:rPr>
        <w:t>1.1 词语定义</w:t>
      </w:r>
      <w:bookmarkEnd w:id="1177"/>
      <w:bookmarkEnd w:id="1178"/>
      <w:bookmarkEnd w:id="1179"/>
    </w:p>
    <w:p w14:paraId="10FB1E75">
      <w:pPr>
        <w:spacing w:after="120" w:line="360" w:lineRule="auto"/>
        <w:ind w:left="-240" w:right="-240" w:firstLine="480" w:leftChars="-100" w:rightChars="-100" w:firstLineChars="200"/>
        <w:rPr>
          <w:rFonts w:ascii="宋体" w:hAnsi="宋体" w:cs="宋体"/>
          <w:lang w:eastAsia="zh-CN"/>
        </w:rPr>
      </w:pPr>
      <w:bookmarkStart w:id="1180" w:name="_Toc29853"/>
      <w:bookmarkStart w:id="1181" w:name="_Toc27949"/>
      <w:bookmarkStart w:id="1182" w:name="_Toc2479"/>
      <w:r>
        <w:rPr>
          <w:rFonts w:ascii="宋体" w:hAnsi="宋体" w:cs="宋体" w:hint="eastAsia"/>
          <w:lang w:eastAsia="zh-CN"/>
        </w:rPr>
        <w:t>本款修改1.1.2.4、1.1.2.5，补充1.1.3.11、1.1.3.12、1.1.3.13、1.1.4.8。</w:t>
      </w:r>
      <w:bookmarkEnd w:id="1180"/>
      <w:bookmarkEnd w:id="1181"/>
      <w:bookmarkEnd w:id="1182"/>
    </w:p>
    <w:p w14:paraId="68F21110">
      <w:pPr>
        <w:spacing w:line="360" w:lineRule="auto"/>
        <w:ind w:left="-240" w:right="-240" w:firstLine="480" w:leftChars="-100" w:rightChars="-100" w:firstLineChars="200"/>
        <w:rPr>
          <w:rFonts w:ascii="宋体" w:hAnsi="宋体" w:cs="宋体"/>
        </w:rPr>
      </w:pPr>
      <w:r>
        <w:rPr>
          <w:rFonts w:ascii="宋体" w:hAnsi="宋体" w:cs="宋体" w:hint="eastAsia"/>
        </w:rPr>
        <w:t>1.1.1合同</w:t>
      </w:r>
    </w:p>
    <w:p w14:paraId="09FA011A">
      <w:pPr>
        <w:spacing w:line="360" w:lineRule="auto"/>
        <w:ind w:left="-240" w:right="-240" w:firstLine="480" w:leftChars="-100" w:rightChars="-100" w:firstLineChars="200"/>
        <w:rPr>
          <w:rFonts w:ascii="宋体" w:hAnsi="宋体" w:cs="宋体"/>
          <w:color w:val="00B0F0"/>
        </w:rPr>
      </w:pPr>
      <w:r>
        <w:rPr>
          <w:rFonts w:ascii="宋体" w:hAnsi="宋体" w:cs="宋体" w:hint="eastAsia"/>
        </w:rPr>
        <w:t>1.1.1.10 其他合同文件包括：</w:t>
      </w:r>
      <w:r>
        <w:rPr>
          <w:rFonts w:ascii="宋体" w:hAnsi="宋体" w:cs="宋体" w:hint="eastAsia"/>
          <w:color w:val="00B0F0"/>
          <w:u w:val="single"/>
        </w:rPr>
        <w:t xml:space="preserve">                              </w:t>
      </w:r>
    </w:p>
    <w:p w14:paraId="581D387D">
      <w:pPr>
        <w:spacing w:line="360" w:lineRule="auto"/>
        <w:ind w:left="1080" w:right="-240" w:hanging="1320" w:leftChars="-100" w:rightChars="-100" w:hangingChars="550"/>
        <w:rPr>
          <w:rFonts w:ascii="宋体" w:hAnsi="宋体" w:cs="宋体"/>
          <w:lang w:eastAsia="zh-CN"/>
        </w:rPr>
      </w:pPr>
      <w:r>
        <w:rPr>
          <w:rFonts w:ascii="宋体" w:hAnsi="宋体" w:cs="宋体" w:hint="eastAsia"/>
          <w:color w:val="00B0F0"/>
          <w:u w:val="single"/>
        </w:rPr>
        <w:t xml:space="preserve">                                                       </w:t>
      </w:r>
      <w:r>
        <w:rPr>
          <w:rFonts w:ascii="宋体" w:hAnsi="宋体" w:cs="宋体" w:hint="eastAsia"/>
          <w:lang w:eastAsia="zh-CN"/>
        </w:rPr>
        <w:t>。</w:t>
      </w:r>
    </w:p>
    <w:p w14:paraId="5DD84986">
      <w:pPr>
        <w:spacing w:line="360" w:lineRule="auto"/>
        <w:ind w:left="-240" w:right="-240" w:firstLine="480" w:leftChars="-100" w:rightChars="-100" w:firstLineChars="200"/>
        <w:rPr>
          <w:rFonts w:ascii="宋体" w:hAnsi="宋体" w:cs="宋体"/>
          <w:kern w:val="2"/>
          <w:lang w:eastAsia="zh-CN"/>
        </w:rPr>
      </w:pPr>
      <w:r>
        <w:rPr>
          <w:rFonts w:ascii="宋体" w:hAnsi="宋体" w:cs="宋体" w:hint="eastAsia"/>
          <w:lang w:eastAsia="zh-CN"/>
        </w:rPr>
        <w:t>1.1.2 合同当事人及其他相关方</w:t>
      </w:r>
    </w:p>
    <w:p w14:paraId="1DD35C1C">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1.1.2.4 监理人和总监理工程师：</w:t>
      </w:r>
    </w:p>
    <w:p w14:paraId="1DC30D57">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名    称：</w:t>
      </w:r>
      <w:r>
        <w:rPr>
          <w:rFonts w:ascii="宋体" w:hAnsi="宋体" w:cs="宋体" w:hint="eastAsia"/>
          <w:color w:val="00B0F0"/>
          <w:u w:val="single"/>
          <w:lang w:eastAsia="zh-CN"/>
        </w:rPr>
        <w:t xml:space="preserve">                                         </w:t>
      </w:r>
      <w:r>
        <w:rPr>
          <w:rFonts w:ascii="宋体" w:hAnsi="宋体" w:cs="宋体" w:hint="eastAsia"/>
          <w:lang w:eastAsia="zh-CN"/>
        </w:rPr>
        <w:t>；</w:t>
      </w:r>
    </w:p>
    <w:p w14:paraId="227242CA">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资质类别和等级：</w:t>
      </w:r>
      <w:r>
        <w:rPr>
          <w:rFonts w:ascii="宋体" w:hAnsi="宋体" w:cs="宋体" w:hint="eastAsia"/>
          <w:color w:val="00B0F0"/>
          <w:u w:val="single"/>
          <w:lang w:eastAsia="zh-CN"/>
        </w:rPr>
        <w:t xml:space="preserve">                                         </w:t>
      </w:r>
      <w:r>
        <w:rPr>
          <w:rFonts w:ascii="宋体" w:hAnsi="宋体" w:cs="宋体" w:hint="eastAsia"/>
          <w:lang w:eastAsia="zh-CN"/>
        </w:rPr>
        <w:t>；</w:t>
      </w:r>
    </w:p>
    <w:p w14:paraId="6B9A4FE8">
      <w:pPr>
        <w:spacing w:line="360" w:lineRule="auto"/>
        <w:ind w:left="-240" w:right="-240" w:leftChars="-100" w:rightChars="-100"/>
        <w:rPr>
          <w:rFonts w:ascii="宋体" w:hAnsi="宋体" w:cs="宋体"/>
          <w:lang w:eastAsia="zh-CN"/>
        </w:rPr>
      </w:pPr>
      <w:r>
        <w:rPr>
          <w:rFonts w:ascii="宋体" w:hAnsi="宋体" w:cs="宋体" w:hint="eastAsia"/>
          <w:lang w:eastAsia="zh-CN"/>
        </w:rPr>
        <w:t>总监理工程师姓名：</w:t>
      </w:r>
      <w:r>
        <w:rPr>
          <w:rFonts w:ascii="宋体" w:hAnsi="宋体" w:cs="宋体" w:hint="eastAsia"/>
          <w:color w:val="00B0F0"/>
          <w:u w:val="single"/>
          <w:lang w:eastAsia="zh-CN"/>
        </w:rPr>
        <w:t xml:space="preserve">        </w:t>
      </w:r>
      <w:r>
        <w:rPr>
          <w:rFonts w:ascii="宋体" w:hAnsi="宋体" w:cs="宋体" w:hint="eastAsia"/>
          <w:lang w:eastAsia="zh-CN"/>
        </w:rPr>
        <w:t>；联系电话：</w:t>
      </w:r>
      <w:r>
        <w:rPr>
          <w:rFonts w:ascii="宋体" w:hAnsi="宋体" w:cs="宋体" w:hint="eastAsia"/>
          <w:color w:val="00B0F0"/>
          <w:u w:val="single"/>
          <w:lang w:eastAsia="zh-CN"/>
        </w:rPr>
        <w:t xml:space="preserve">             </w:t>
      </w:r>
      <w:r>
        <w:rPr>
          <w:rFonts w:ascii="宋体" w:hAnsi="宋体" w:cs="宋体" w:hint="eastAsia"/>
          <w:lang w:eastAsia="zh-CN"/>
        </w:rPr>
        <w:t>；</w:t>
      </w:r>
    </w:p>
    <w:p w14:paraId="266A9911">
      <w:pPr>
        <w:spacing w:line="360" w:lineRule="auto"/>
        <w:ind w:left="-240" w:right="-240" w:leftChars="-100" w:rightChars="-100"/>
        <w:rPr>
          <w:rFonts w:ascii="宋体" w:hAnsi="宋体" w:cs="宋体"/>
          <w:lang w:eastAsia="zh-CN"/>
        </w:rPr>
      </w:pPr>
      <w:r>
        <w:rPr>
          <w:rFonts w:ascii="宋体" w:hAnsi="宋体" w:cs="宋体" w:hint="eastAsia"/>
          <w:lang w:eastAsia="zh-CN"/>
        </w:rPr>
        <w:t>总监理工程师执业资格证书号：</w:t>
      </w:r>
      <w:r>
        <w:rPr>
          <w:rFonts w:ascii="宋体" w:hAnsi="宋体" w:cs="宋体" w:hint="eastAsia"/>
          <w:color w:val="00B0F0"/>
          <w:u w:val="single"/>
          <w:lang w:eastAsia="zh-CN"/>
        </w:rPr>
        <w:t xml:space="preserve">                       </w:t>
      </w:r>
      <w:r>
        <w:rPr>
          <w:rFonts w:ascii="宋体" w:hAnsi="宋体" w:cs="宋体" w:hint="eastAsia"/>
          <w:lang w:eastAsia="zh-CN"/>
        </w:rPr>
        <w:t>；</w:t>
      </w:r>
    </w:p>
    <w:p w14:paraId="5CE3B4E6">
      <w:pPr>
        <w:spacing w:line="360" w:lineRule="auto"/>
        <w:ind w:left="-240" w:right="-240" w:leftChars="-100" w:rightChars="-100"/>
        <w:rPr>
          <w:rFonts w:ascii="宋体" w:hAnsi="宋体" w:cs="宋体"/>
          <w:lang w:eastAsia="zh-CN"/>
        </w:rPr>
      </w:pPr>
      <w:r>
        <w:rPr>
          <w:rFonts w:ascii="宋体" w:hAnsi="宋体" w:cs="宋体" w:hint="eastAsia"/>
          <w:lang w:eastAsia="zh-CN"/>
        </w:rPr>
        <w:t>电子信箱：</w:t>
      </w:r>
      <w:r>
        <w:rPr>
          <w:rFonts w:ascii="宋体" w:hAnsi="宋体" w:cs="宋体" w:hint="eastAsia"/>
          <w:color w:val="00B0F0"/>
          <w:u w:val="single"/>
          <w:lang w:eastAsia="zh-CN"/>
        </w:rPr>
        <w:t xml:space="preserve">                                         </w:t>
      </w:r>
      <w:r>
        <w:rPr>
          <w:rFonts w:ascii="宋体" w:hAnsi="宋体" w:cs="宋体" w:hint="eastAsia"/>
          <w:lang w:eastAsia="zh-CN"/>
        </w:rPr>
        <w:t>；</w:t>
      </w:r>
    </w:p>
    <w:p w14:paraId="1BC8AC7B">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通信地址：</w:t>
      </w:r>
      <w:r>
        <w:rPr>
          <w:rFonts w:ascii="宋体" w:hAnsi="宋体" w:cs="宋体" w:hint="eastAsia"/>
          <w:color w:val="00B0F0"/>
          <w:u w:val="single"/>
          <w:lang w:eastAsia="zh-CN"/>
        </w:rPr>
        <w:t xml:space="preserve">                                         </w:t>
      </w:r>
      <w:r>
        <w:rPr>
          <w:rFonts w:ascii="宋体" w:hAnsi="宋体" w:cs="宋体" w:hint="eastAsia"/>
          <w:lang w:eastAsia="zh-CN"/>
        </w:rPr>
        <w:t>。</w:t>
      </w:r>
    </w:p>
    <w:p w14:paraId="7B512E23">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 xml:space="preserve">1.1.2.5 设计人和设计项目负责人： </w:t>
      </w:r>
    </w:p>
    <w:p w14:paraId="3DF023B4">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名    称：</w:t>
      </w:r>
      <w:r>
        <w:rPr>
          <w:rFonts w:ascii="宋体" w:hAnsi="宋体" w:cs="宋体" w:hint="eastAsia"/>
          <w:color w:val="00B0F0"/>
          <w:u w:val="single"/>
          <w:lang w:eastAsia="zh-CN"/>
        </w:rPr>
        <w:t xml:space="preserve">                                         </w:t>
      </w:r>
      <w:r>
        <w:rPr>
          <w:rFonts w:ascii="宋体" w:hAnsi="宋体" w:cs="宋体" w:hint="eastAsia"/>
          <w:lang w:eastAsia="zh-CN"/>
        </w:rPr>
        <w:t>；</w:t>
      </w:r>
    </w:p>
    <w:p w14:paraId="3D2393D4">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资质类别和等级：</w:t>
      </w:r>
      <w:r>
        <w:rPr>
          <w:rFonts w:ascii="宋体" w:hAnsi="宋体" w:cs="宋体" w:hint="eastAsia"/>
          <w:color w:val="00B0F0"/>
          <w:u w:val="single"/>
          <w:lang w:eastAsia="zh-CN"/>
        </w:rPr>
        <w:t xml:space="preserve">                                   </w:t>
      </w:r>
      <w:r>
        <w:rPr>
          <w:rFonts w:ascii="宋体" w:hAnsi="宋体" w:cs="宋体" w:hint="eastAsia"/>
          <w:lang w:eastAsia="zh-CN"/>
        </w:rPr>
        <w:t>；</w:t>
      </w:r>
    </w:p>
    <w:p w14:paraId="13ECA9E3">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项目负责人姓名：</w:t>
      </w:r>
      <w:r>
        <w:rPr>
          <w:rFonts w:ascii="宋体" w:hAnsi="宋体" w:cs="宋体" w:hint="eastAsia"/>
          <w:color w:val="00B0F0"/>
          <w:u w:val="single"/>
          <w:lang w:eastAsia="zh-CN"/>
        </w:rPr>
        <w:t xml:space="preserve">         </w:t>
      </w:r>
      <w:r>
        <w:rPr>
          <w:rFonts w:ascii="宋体" w:hAnsi="宋体" w:cs="宋体" w:hint="eastAsia"/>
          <w:lang w:eastAsia="zh-CN"/>
        </w:rPr>
        <w:t>；联系电话：</w:t>
      </w:r>
      <w:r>
        <w:rPr>
          <w:rFonts w:ascii="宋体" w:hAnsi="宋体" w:cs="宋体" w:hint="eastAsia"/>
          <w:color w:val="00B0F0"/>
          <w:u w:val="single"/>
          <w:lang w:eastAsia="zh-CN"/>
        </w:rPr>
        <w:t xml:space="preserve">              </w:t>
      </w:r>
      <w:r>
        <w:rPr>
          <w:rFonts w:ascii="宋体" w:hAnsi="宋体" w:cs="宋体" w:hint="eastAsia"/>
          <w:lang w:eastAsia="zh-CN"/>
        </w:rPr>
        <w:t>；</w:t>
      </w:r>
    </w:p>
    <w:p w14:paraId="781166BF">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电子信箱：</w:t>
      </w:r>
      <w:r>
        <w:rPr>
          <w:rFonts w:ascii="宋体" w:hAnsi="宋体" w:cs="宋体" w:hint="eastAsia"/>
          <w:color w:val="00B0F0"/>
          <w:u w:val="single"/>
          <w:lang w:eastAsia="zh-CN"/>
        </w:rPr>
        <w:t xml:space="preserve">                                         </w:t>
      </w:r>
      <w:r>
        <w:rPr>
          <w:rFonts w:ascii="宋体" w:hAnsi="宋体" w:cs="宋体" w:hint="eastAsia"/>
          <w:lang w:eastAsia="zh-CN"/>
        </w:rPr>
        <w:t>；</w:t>
      </w:r>
    </w:p>
    <w:p w14:paraId="480B36B9">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通信地址：</w:t>
      </w:r>
      <w:r>
        <w:rPr>
          <w:rFonts w:ascii="宋体" w:hAnsi="宋体" w:cs="宋体" w:hint="eastAsia"/>
          <w:color w:val="00B0F0"/>
          <w:u w:val="single"/>
          <w:lang w:eastAsia="zh-CN"/>
        </w:rPr>
        <w:t xml:space="preserve">                                         </w:t>
      </w:r>
      <w:r>
        <w:rPr>
          <w:rFonts w:ascii="宋体" w:hAnsi="宋体" w:cs="宋体" w:hint="eastAsia"/>
          <w:lang w:eastAsia="zh-CN"/>
        </w:rPr>
        <w:t>。</w:t>
      </w:r>
    </w:p>
    <w:p w14:paraId="0A9C929F">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1.1.3 工程和设备</w:t>
      </w:r>
    </w:p>
    <w:p w14:paraId="66360A55">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1.1.3.7 作为施工现场组成部分的其他场所包括：</w:t>
      </w:r>
      <w:r>
        <w:rPr>
          <w:rFonts w:ascii="宋体" w:hAnsi="宋体" w:cs="宋体" w:hint="eastAsia"/>
          <w:color w:val="00B0F0"/>
          <w:u w:val="single"/>
          <w:lang w:eastAsia="zh-CN"/>
        </w:rPr>
        <w:t xml:space="preserve">                                         </w:t>
      </w:r>
      <w:r>
        <w:rPr>
          <w:rFonts w:ascii="宋体" w:hAnsi="宋体" w:cs="宋体" w:hint="eastAsia"/>
          <w:lang w:eastAsia="zh-CN"/>
        </w:rPr>
        <w:t>。</w:t>
      </w:r>
    </w:p>
    <w:p w14:paraId="0CE7A6F3">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1.1.3.9 永久占地包括：</w:t>
      </w:r>
      <w:r>
        <w:rPr>
          <w:rFonts w:ascii="宋体" w:hAnsi="宋体" w:cs="宋体" w:hint="eastAsia"/>
          <w:color w:val="00B0F0"/>
          <w:u w:val="single"/>
          <w:lang w:eastAsia="zh-CN"/>
        </w:rPr>
        <w:t xml:space="preserve">                                         </w:t>
      </w:r>
      <w:r>
        <w:rPr>
          <w:rFonts w:ascii="宋体" w:hAnsi="宋体" w:cs="宋体" w:hint="eastAsia"/>
          <w:lang w:eastAsia="zh-CN"/>
        </w:rPr>
        <w:t>。</w:t>
      </w:r>
    </w:p>
    <w:p w14:paraId="744A5485">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1.1.3.10 临时占地包括：</w:t>
      </w:r>
      <w:r>
        <w:rPr>
          <w:rFonts w:ascii="宋体" w:hAnsi="宋体" w:cs="宋体" w:hint="eastAsia"/>
          <w:color w:val="00B0F0"/>
          <w:u w:val="single"/>
          <w:lang w:eastAsia="zh-CN"/>
        </w:rPr>
        <w:t xml:space="preserve">                                         </w:t>
      </w:r>
      <w:r>
        <w:rPr>
          <w:rFonts w:ascii="宋体" w:hAnsi="宋体" w:cs="宋体" w:hint="eastAsia"/>
          <w:lang w:eastAsia="zh-CN"/>
        </w:rPr>
        <w:t>。</w:t>
      </w:r>
    </w:p>
    <w:p w14:paraId="508D59D2">
      <w:pPr>
        <w:spacing w:line="360" w:lineRule="auto"/>
        <w:ind w:left="-240" w:right="-240" w:firstLine="480" w:leftChars="-100" w:rightChars="-100" w:firstLineChars="200"/>
        <w:rPr>
          <w:rFonts w:ascii="宋体" w:hAnsi="宋体" w:cs="宋体"/>
          <w:kern w:val="2"/>
          <w:lang w:eastAsia="zh-CN"/>
        </w:rPr>
      </w:pPr>
      <w:r>
        <w:rPr>
          <w:rFonts w:ascii="宋体" w:hAnsi="宋体" w:cs="宋体" w:hint="eastAsia"/>
          <w:lang w:eastAsia="zh-CN"/>
        </w:rPr>
        <w:t>1.1.3.11 园林绿化工程：是指新建、改建、扩建公园绿地、防护绿地、广场用地、附属绿地、区域绿地，以及对城市生态和景观影响较大建设项目的配套绿化，主要包括园林绿化植物栽植、地形整理、园林设施设备安装及园林建筑、小品、花坛、园路、水系、喷泉、假山、雕塑、绿地广场、驳岸、园林景观桥梁等。</w:t>
      </w:r>
    </w:p>
    <w:p w14:paraId="0997C188">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1.1.3.12 绿化工程：是指树木、花卉、草坪、地被植物等的种植工程。</w:t>
      </w:r>
    </w:p>
    <w:p w14:paraId="2730D288">
      <w:pPr>
        <w:spacing w:line="360" w:lineRule="auto"/>
        <w:ind w:left="-240" w:right="-240" w:firstLine="480" w:leftChars="-100" w:rightChars="-100" w:firstLineChars="200"/>
        <w:rPr>
          <w:rFonts w:ascii="宋体" w:hAnsi="宋体" w:cs="宋体"/>
          <w:lang w:eastAsia="zh-CN"/>
        </w:rPr>
      </w:pPr>
      <w:r>
        <w:rPr>
          <w:rFonts w:ascii="宋体" w:hAnsi="宋体" w:cs="宋体" w:hint="eastAsia"/>
          <w:bCs/>
          <w:lang w:eastAsia="zh-CN"/>
        </w:rPr>
        <w:t>1.1.3.13 绿化养护：</w:t>
      </w:r>
      <w:r>
        <w:rPr>
          <w:rFonts w:ascii="宋体" w:hAnsi="宋体" w:cs="宋体" w:hint="eastAsia"/>
          <w:lang w:eastAsia="zh-CN"/>
        </w:rPr>
        <w:t>是指对绿地内植物采取的整形修剪、松土除草、灌溉与排水、施肥、有害生物防治、改植与补植、绿地防护（如防台风、防寒）等技术措施。</w:t>
      </w:r>
    </w:p>
    <w:p w14:paraId="76F9D709">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1.1.4 日期和期限</w:t>
      </w:r>
    </w:p>
    <w:p w14:paraId="30E20910">
      <w:pPr>
        <w:spacing w:line="360" w:lineRule="auto"/>
        <w:ind w:left="-240" w:right="-240" w:firstLine="480" w:leftChars="-100" w:rightChars="-100" w:firstLineChars="200"/>
        <w:rPr>
          <w:rFonts w:ascii="宋体" w:hAnsi="宋体" w:cs="宋体"/>
          <w:bCs/>
          <w:lang w:eastAsia="zh-CN"/>
        </w:rPr>
      </w:pPr>
      <w:r>
        <w:rPr>
          <w:rFonts w:ascii="宋体" w:hAnsi="宋体" w:cs="宋体" w:hint="eastAsia"/>
          <w:lang w:eastAsia="zh-CN"/>
        </w:rPr>
        <w:t>1.1.4.8</w:t>
      </w:r>
      <w:r>
        <w:rPr>
          <w:rFonts w:ascii="宋体" w:hAnsi="宋体" w:cs="宋体" w:hint="eastAsia"/>
          <w:bCs/>
          <w:lang w:eastAsia="zh-CN"/>
        </w:rPr>
        <w:t xml:space="preserve"> </w:t>
      </w:r>
      <w:r>
        <w:rPr>
          <w:rFonts w:ascii="宋体" w:hAnsi="宋体" w:cs="宋体" w:hint="eastAsia"/>
          <w:lang w:eastAsia="zh-CN"/>
        </w:rPr>
        <w:t>绿化养护期：是指承包人按照合同约定进行绿化养护的期限，从工程竣工验收合格之日起计算。</w:t>
      </w:r>
      <w:r>
        <w:rPr>
          <w:rFonts w:ascii="宋体" w:hAnsi="宋体" w:cs="宋体" w:hint="eastAsia"/>
          <w:bCs/>
          <w:lang w:eastAsia="zh-CN"/>
        </w:rPr>
        <w:t>绿化养护期最长不得超过24个月。</w:t>
      </w:r>
    </w:p>
    <w:p w14:paraId="6298D779">
      <w:pPr>
        <w:spacing w:line="360" w:lineRule="auto"/>
        <w:ind w:left="-240" w:right="-240" w:firstLine="480" w:leftChars="-100" w:rightChars="-100" w:firstLineChars="200"/>
        <w:outlineLvl w:val="2"/>
        <w:rPr>
          <w:rFonts w:ascii="宋体" w:hAnsi="宋体" w:cs="宋体"/>
          <w:color w:val="000000"/>
          <w:kern w:val="2"/>
          <w:lang w:eastAsia="zh-CN"/>
        </w:rPr>
      </w:pPr>
      <w:bookmarkStart w:id="1183" w:name="_Toc28173"/>
      <w:bookmarkStart w:id="1184" w:name="_Toc857078921"/>
      <w:bookmarkStart w:id="1185" w:name="_Toc859792571"/>
      <w:r>
        <w:rPr>
          <w:rFonts w:ascii="宋体" w:hAnsi="宋体" w:cs="宋体" w:hint="eastAsia"/>
          <w:color w:val="000000"/>
          <w:lang w:eastAsia="zh-CN"/>
        </w:rPr>
        <w:t>1.3 法律</w:t>
      </w:r>
      <w:bookmarkEnd w:id="1183"/>
      <w:bookmarkEnd w:id="1184"/>
      <w:bookmarkEnd w:id="1185"/>
      <w:r>
        <w:rPr>
          <w:rFonts w:ascii="宋体" w:hAnsi="宋体" w:cs="宋体" w:hint="eastAsia"/>
          <w:color w:val="000000"/>
          <w:lang w:eastAsia="zh-CN"/>
        </w:rPr>
        <w:t xml:space="preserve"> </w:t>
      </w:r>
    </w:p>
    <w:p w14:paraId="265A18B2">
      <w:pPr>
        <w:autoSpaceDE w:val="0"/>
        <w:autoSpaceDN w:val="0"/>
        <w:adjustRightInd w:val="0"/>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适用于合同的其他规范性文件：</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5172B14">
      <w:pPr>
        <w:spacing w:line="360" w:lineRule="auto"/>
        <w:ind w:left="-240" w:right="-240" w:firstLine="480" w:leftChars="-100" w:rightChars="-100" w:firstLineChars="200"/>
        <w:outlineLvl w:val="2"/>
        <w:rPr>
          <w:rFonts w:ascii="宋体" w:hAnsi="宋体" w:cs="宋体"/>
          <w:color w:val="000000"/>
          <w:lang w:eastAsia="zh-CN"/>
        </w:rPr>
      </w:pPr>
      <w:bookmarkStart w:id="1186" w:name="_Toc1984547573"/>
      <w:bookmarkStart w:id="1187" w:name="_Toc1028117936"/>
      <w:bookmarkStart w:id="1188" w:name="_Toc20831"/>
      <w:r>
        <w:rPr>
          <w:rFonts w:ascii="宋体" w:hAnsi="宋体" w:cs="宋体" w:hint="eastAsia"/>
          <w:color w:val="000000"/>
          <w:lang w:eastAsia="zh-CN"/>
        </w:rPr>
        <w:t>1.4 标准和规范</w:t>
      </w:r>
      <w:bookmarkEnd w:id="1186"/>
      <w:bookmarkEnd w:id="1187"/>
      <w:bookmarkEnd w:id="1188"/>
    </w:p>
    <w:p w14:paraId="6207E20D">
      <w:pPr>
        <w:spacing w:line="360" w:lineRule="auto"/>
        <w:ind w:left="-240" w:right="-240" w:leftChars="-100" w:rightChars="-100"/>
        <w:rPr>
          <w:rFonts w:ascii="宋体" w:hAnsi="宋体" w:cs="宋体"/>
          <w:lang w:eastAsia="zh-CN"/>
        </w:rPr>
      </w:pPr>
      <w:r>
        <w:rPr>
          <w:rFonts w:ascii="宋体" w:hAnsi="宋体" w:cs="宋体" w:hint="eastAsia"/>
          <w:lang w:eastAsia="zh-CN"/>
        </w:rPr>
        <w:t>本款修改1.4.1、1.4.2。</w:t>
      </w:r>
    </w:p>
    <w:p w14:paraId="3EA5A4D8">
      <w:pPr>
        <w:spacing w:line="360" w:lineRule="auto"/>
        <w:ind w:left="-240" w:right="-240" w:leftChars="-100" w:rightChars="-100"/>
        <w:rPr>
          <w:rFonts w:ascii="宋体" w:hAnsi="宋体" w:cs="宋体"/>
          <w:lang w:eastAsia="zh-CN"/>
        </w:rPr>
      </w:pPr>
      <w:r>
        <w:rPr>
          <w:rFonts w:ascii="宋体" w:hAnsi="宋体" w:cs="宋体" w:hint="eastAsia"/>
          <w:lang w:eastAsia="zh-CN"/>
        </w:rPr>
        <w:t>1.4.1适用于工程的标准规范包括：</w:t>
      </w:r>
    </w:p>
    <w:p w14:paraId="4FF65DBE">
      <w:pPr>
        <w:spacing w:line="360" w:lineRule="auto"/>
        <w:ind w:left="-240" w:right="-240" w:leftChars="-100" w:rightChars="-100"/>
        <w:rPr>
          <w:rFonts w:ascii="宋体" w:hAnsi="宋体" w:cs="宋体"/>
          <w:lang w:eastAsia="zh-CN"/>
        </w:rPr>
      </w:pPr>
      <w:r>
        <w:rPr>
          <w:rFonts w:ascii="宋体" w:hAnsi="宋体" w:cs="宋体" w:hint="eastAsia"/>
          <w:lang w:eastAsia="zh-CN"/>
        </w:rPr>
        <w:t>园林绿化工程施工及验收规范（CJJ82）；</w:t>
      </w:r>
    </w:p>
    <w:p w14:paraId="02F41659">
      <w:pPr>
        <w:spacing w:line="360" w:lineRule="auto"/>
        <w:ind w:left="-240" w:right="-240" w:leftChars="-100" w:rightChars="-100"/>
        <w:rPr>
          <w:rFonts w:ascii="宋体" w:hAnsi="宋体" w:cs="宋体"/>
          <w:lang w:eastAsia="zh-CN"/>
        </w:rPr>
      </w:pPr>
      <w:r>
        <w:rPr>
          <w:rFonts w:ascii="宋体" w:hAnsi="宋体" w:cs="宋体" w:hint="eastAsia"/>
          <w:lang w:eastAsia="zh-CN"/>
        </w:rPr>
        <w:t>园林绿化养护标准（CJJ/T287）；</w:t>
      </w:r>
    </w:p>
    <w:p w14:paraId="050224BF">
      <w:pPr>
        <w:spacing w:line="360" w:lineRule="auto"/>
        <w:ind w:left="-240" w:right="-240" w:leftChars="-100" w:rightChars="-100"/>
        <w:rPr>
          <w:rFonts w:ascii="宋体" w:hAnsi="宋体" w:cs="宋体"/>
          <w:lang w:eastAsia="zh-CN"/>
        </w:rPr>
      </w:pPr>
      <w:r>
        <w:rPr>
          <w:rFonts w:ascii="宋体" w:hAnsi="宋体" w:cs="宋体" w:hint="eastAsia"/>
          <w:lang w:eastAsia="zh-CN"/>
        </w:rPr>
        <w:t>建设工程工程量清单计价规范（GB50500）；</w:t>
      </w:r>
    </w:p>
    <w:p w14:paraId="27FF2432">
      <w:pPr>
        <w:spacing w:line="360" w:lineRule="auto"/>
        <w:ind w:left="-240" w:right="-240" w:leftChars="-100" w:rightChars="-100"/>
        <w:rPr>
          <w:rFonts w:ascii="宋体" w:hAnsi="宋体" w:cs="宋体"/>
          <w:lang w:eastAsia="zh-CN"/>
        </w:rPr>
      </w:pPr>
      <w:r>
        <w:rPr>
          <w:rFonts w:ascii="宋体" w:hAnsi="宋体" w:cs="宋体" w:hint="eastAsia"/>
          <w:lang w:eastAsia="zh-CN"/>
        </w:rPr>
        <w:t>园林绿化工程工程量计算规范（GB50858）；</w:t>
      </w:r>
    </w:p>
    <w:p w14:paraId="009FB903">
      <w:pPr>
        <w:spacing w:line="360" w:lineRule="auto"/>
        <w:ind w:left="-240" w:right="-240" w:leftChars="-100" w:rightChars="-100"/>
        <w:rPr>
          <w:rFonts w:ascii="宋体" w:hAnsi="宋体" w:cs="宋体"/>
          <w:lang w:eastAsia="zh-CN"/>
        </w:rPr>
      </w:pPr>
      <w:r>
        <w:rPr>
          <w:rFonts w:ascii="宋体" w:hAnsi="宋体" w:cs="宋体" w:hint="eastAsia"/>
          <w:lang w:eastAsia="zh-CN"/>
        </w:rPr>
        <w:t>与园林绿化行业相关的行业标准、地方标准：</w:t>
      </w:r>
      <w:r>
        <w:rPr>
          <w:rFonts w:ascii="宋体" w:hAnsi="宋体" w:cs="宋体" w:hint="eastAsia"/>
          <w:color w:val="00B0F0"/>
          <w:u w:val="single"/>
          <w:lang w:eastAsia="zh-CN"/>
        </w:rPr>
        <w:t xml:space="preserve">                                         </w:t>
      </w:r>
      <w:r>
        <w:rPr>
          <w:rFonts w:ascii="宋体" w:hAnsi="宋体" w:cs="宋体" w:hint="eastAsia"/>
          <w:lang w:eastAsia="zh-CN"/>
        </w:rPr>
        <w:t>。</w:t>
      </w:r>
    </w:p>
    <w:p w14:paraId="441AC3DD">
      <w:pPr>
        <w:spacing w:line="360" w:lineRule="auto"/>
        <w:ind w:left="-240" w:right="-240" w:leftChars="-100" w:rightChars="-100"/>
        <w:rPr>
          <w:rFonts w:ascii="宋体" w:hAnsi="宋体" w:cs="宋体"/>
          <w:color w:val="00B0F0"/>
          <w:u w:val="single"/>
          <w:lang w:eastAsia="zh-CN"/>
        </w:rPr>
      </w:pPr>
      <w:bookmarkStart w:id="1189" w:name="_Toc2729"/>
      <w:bookmarkStart w:id="1190" w:name="_Toc1033"/>
      <w:bookmarkStart w:id="1191" w:name="_Toc29821"/>
      <w:r>
        <w:rPr>
          <w:rFonts w:ascii="宋体" w:hAnsi="宋体" w:cs="宋体" w:hint="eastAsia"/>
          <w:lang w:eastAsia="zh-CN"/>
        </w:rPr>
        <w:t>1.4.2 发包人提供国外标准、规范的名称：</w:t>
      </w:r>
      <w:bookmarkEnd w:id="1189"/>
      <w:bookmarkEnd w:id="1190"/>
      <w:bookmarkEnd w:id="1191"/>
      <w:r>
        <w:rPr>
          <w:rFonts w:ascii="宋体" w:hAnsi="宋体" w:cs="宋体" w:hint="eastAsia"/>
          <w:color w:val="00B0F0"/>
          <w:u w:val="single"/>
          <w:lang w:eastAsia="zh-CN"/>
        </w:rPr>
        <w:t xml:space="preserve">                 </w:t>
      </w:r>
    </w:p>
    <w:p w14:paraId="09E11E00">
      <w:pPr>
        <w:spacing w:line="360" w:lineRule="auto"/>
        <w:ind w:left="-240" w:right="-240" w:leftChars="-100" w:rightChars="-100"/>
        <w:rPr>
          <w:rFonts w:ascii="宋体" w:hAnsi="宋体" w:cs="宋体"/>
          <w:lang w:eastAsia="zh-CN"/>
        </w:rPr>
      </w:pPr>
      <w:r>
        <w:rPr>
          <w:rFonts w:ascii="宋体" w:hAnsi="宋体" w:cs="宋体" w:hint="eastAsia"/>
          <w:color w:val="00B0F0"/>
          <w:u w:val="single"/>
          <w:lang w:eastAsia="zh-CN"/>
        </w:rPr>
        <w:t xml:space="preserve">                                                       </w:t>
      </w:r>
      <w:r>
        <w:rPr>
          <w:rFonts w:ascii="宋体" w:hAnsi="宋体" w:cs="宋体" w:hint="eastAsia"/>
          <w:lang w:eastAsia="zh-CN"/>
        </w:rPr>
        <w:t>；</w:t>
      </w:r>
    </w:p>
    <w:p w14:paraId="7D520A20">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发包人提供国外标准、规范的份数：</w:t>
      </w:r>
      <w:r>
        <w:rPr>
          <w:rFonts w:ascii="宋体" w:hAnsi="宋体" w:cs="宋体" w:hint="eastAsia"/>
          <w:color w:val="00B0F0"/>
          <w:u w:val="single"/>
          <w:lang w:eastAsia="zh-CN"/>
        </w:rPr>
        <w:t xml:space="preserve">                   </w:t>
      </w:r>
      <w:r>
        <w:rPr>
          <w:rFonts w:ascii="宋体" w:hAnsi="宋体" w:cs="宋体" w:hint="eastAsia"/>
          <w:lang w:eastAsia="zh-CN"/>
        </w:rPr>
        <w:t>。</w:t>
      </w:r>
    </w:p>
    <w:p w14:paraId="2DE2EA21">
      <w:pPr>
        <w:spacing w:line="360" w:lineRule="auto"/>
        <w:ind w:left="-240" w:right="-240" w:leftChars="-100" w:rightChars="-100"/>
        <w:rPr>
          <w:rFonts w:ascii="宋体" w:hAnsi="宋体" w:cs="宋体"/>
          <w:color w:val="00B0F0"/>
          <w:kern w:val="2"/>
          <w:u w:val="single"/>
          <w:lang w:eastAsia="zh-CN"/>
        </w:rPr>
      </w:pPr>
      <w:r>
        <w:rPr>
          <w:rFonts w:ascii="宋体" w:hAnsi="宋体" w:cs="宋体" w:hint="eastAsia"/>
          <w:lang w:eastAsia="zh-CN"/>
        </w:rPr>
        <w:t>1.4.3 发包人对工程的技术标准和功能要求的特殊要求：</w:t>
      </w:r>
      <w:r>
        <w:rPr>
          <w:rFonts w:ascii="宋体" w:hAnsi="宋体" w:cs="宋体" w:hint="eastAsia"/>
          <w:color w:val="00B0F0"/>
          <w:u w:val="single"/>
          <w:lang w:eastAsia="zh-CN"/>
        </w:rPr>
        <w:t xml:space="preserve">      </w:t>
      </w:r>
    </w:p>
    <w:p w14:paraId="14D5AC76">
      <w:pPr>
        <w:spacing w:line="360" w:lineRule="auto"/>
        <w:ind w:left="-240" w:right="-240" w:leftChars="-100" w:rightChars="-100"/>
        <w:rPr>
          <w:rFonts w:ascii="宋体" w:hAnsi="宋体" w:cs="宋体"/>
          <w:lang w:eastAsia="zh-CN"/>
        </w:rPr>
      </w:pPr>
      <w:r>
        <w:rPr>
          <w:rFonts w:ascii="宋体" w:hAnsi="宋体" w:cs="宋体" w:hint="eastAsia"/>
          <w:color w:val="00B0F0"/>
          <w:u w:val="single"/>
          <w:lang w:eastAsia="zh-CN"/>
        </w:rPr>
        <w:t xml:space="preserve">                                                       </w:t>
      </w:r>
      <w:r>
        <w:rPr>
          <w:rFonts w:ascii="宋体" w:hAnsi="宋体" w:cs="宋体" w:hint="eastAsia"/>
          <w:lang w:eastAsia="zh-CN"/>
        </w:rPr>
        <w:t>。</w:t>
      </w:r>
    </w:p>
    <w:p w14:paraId="6C0C74AA">
      <w:pPr>
        <w:spacing w:line="360" w:lineRule="auto"/>
        <w:ind w:left="-240" w:right="-240" w:firstLine="480" w:leftChars="-100" w:rightChars="-100" w:firstLineChars="200"/>
        <w:outlineLvl w:val="2"/>
        <w:rPr>
          <w:rFonts w:ascii="宋体" w:hAnsi="宋体" w:cs="宋体"/>
          <w:color w:val="000000"/>
          <w:lang w:eastAsia="zh-CN"/>
        </w:rPr>
      </w:pPr>
      <w:bookmarkStart w:id="1192" w:name="_Toc659781100"/>
      <w:bookmarkStart w:id="1193" w:name="_Toc21978"/>
      <w:bookmarkStart w:id="1194" w:name="_Toc498019564"/>
      <w:r>
        <w:rPr>
          <w:rFonts w:ascii="宋体" w:hAnsi="宋体" w:cs="宋体" w:hint="eastAsia"/>
          <w:color w:val="000000"/>
          <w:lang w:eastAsia="zh-CN"/>
        </w:rPr>
        <w:t>1.5 合同文件的优先顺序</w:t>
      </w:r>
      <w:bookmarkEnd w:id="1192"/>
      <w:bookmarkEnd w:id="1193"/>
      <w:bookmarkEnd w:id="1194"/>
    </w:p>
    <w:p w14:paraId="6AC1E9A6">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合同文件组成及优先顺序为：</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AC06B5F">
      <w:pPr>
        <w:spacing w:line="360" w:lineRule="auto"/>
        <w:ind w:left="-240" w:right="-240" w:firstLine="480" w:leftChars="-100" w:rightChars="-100" w:firstLineChars="200"/>
        <w:outlineLvl w:val="2"/>
        <w:rPr>
          <w:rFonts w:ascii="宋体" w:hAnsi="宋体" w:cs="宋体"/>
          <w:color w:val="000000"/>
          <w:lang w:eastAsia="zh-CN"/>
        </w:rPr>
      </w:pPr>
      <w:bookmarkStart w:id="1195" w:name="_Toc12618"/>
      <w:bookmarkStart w:id="1196" w:name="_Toc1088158122"/>
      <w:bookmarkStart w:id="1197" w:name="_Toc1984271900"/>
      <w:r>
        <w:rPr>
          <w:rFonts w:ascii="宋体" w:hAnsi="宋体" w:cs="宋体" w:hint="eastAsia"/>
          <w:color w:val="000000"/>
          <w:lang w:eastAsia="zh-CN"/>
        </w:rPr>
        <w:t>1.6 图纸和承包人文件</w:t>
      </w:r>
      <w:bookmarkEnd w:id="1195"/>
      <w:bookmarkEnd w:id="1196"/>
      <w:bookmarkEnd w:id="1197"/>
      <w:r>
        <w:rPr>
          <w:rFonts w:ascii="宋体" w:hAnsi="宋体" w:cs="宋体" w:hint="eastAsia"/>
          <w:color w:val="000000"/>
          <w:lang w:eastAsia="zh-CN"/>
        </w:rPr>
        <w:tab/>
      </w:r>
    </w:p>
    <w:p w14:paraId="12533696">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1.6.1 图纸的提供</w:t>
      </w:r>
    </w:p>
    <w:p w14:paraId="6593AAF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发包人向承包人提供图纸的期限：</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7F72ECC">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发包人向承包人提供图纸的数量：</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C3402F9">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发包人向承包人提供图纸的内容：</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A893269">
      <w:pPr>
        <w:spacing w:line="360" w:lineRule="auto"/>
        <w:ind w:left="-240" w:right="-240" w:firstLine="480" w:leftChars="-100" w:rightChars="-100" w:firstLineChars="200"/>
        <w:rPr>
          <w:rFonts w:ascii="宋体" w:hAnsi="宋体" w:cs="宋体"/>
          <w:color w:val="000000"/>
        </w:rPr>
      </w:pPr>
      <w:r>
        <w:rPr>
          <w:rFonts w:ascii="宋体" w:hAnsi="宋体" w:cs="宋体" w:hint="eastAsia"/>
          <w:color w:val="000000"/>
        </w:rPr>
        <w:t>1.6.4 承包人文件</w:t>
      </w:r>
    </w:p>
    <w:p w14:paraId="2675B02D">
      <w:pPr>
        <w:spacing w:line="360" w:lineRule="auto"/>
        <w:ind w:left="-240" w:right="-240" w:leftChars="-100" w:rightChars="-100"/>
        <w:rPr>
          <w:rFonts w:ascii="宋体" w:hAnsi="宋体" w:cs="宋体"/>
          <w:color w:val="000000"/>
        </w:rPr>
      </w:pPr>
      <w:r>
        <w:rPr>
          <w:rFonts w:ascii="宋体" w:hAnsi="宋体" w:cs="宋体" w:hint="eastAsia"/>
          <w:color w:val="000000"/>
        </w:rPr>
        <w:t>需要由承包人提供的文件，包括：</w:t>
      </w:r>
      <w:r>
        <w:rPr>
          <w:rFonts w:ascii="宋体" w:hAnsi="宋体" w:cs="宋体" w:hint="eastAsia"/>
          <w:color w:val="00B0F0"/>
          <w:u w:val="single"/>
        </w:rPr>
        <w:t xml:space="preserve">                         </w:t>
      </w:r>
      <w:r>
        <w:rPr>
          <w:rFonts w:ascii="宋体" w:hAnsi="宋体" w:cs="宋体" w:hint="eastAsia"/>
          <w:color w:val="000000"/>
        </w:rPr>
        <w:t>；</w:t>
      </w:r>
    </w:p>
    <w:p w14:paraId="644273B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承包人提供的文件的期限为：</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F61A27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承包人提供的文件的数量为：</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7EC5FB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承包人提供的文件的形式为：</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4C65EF0">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发包人审批承包人文件的期限：</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AFCF12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1.6.5 现场图纸准备</w:t>
      </w:r>
    </w:p>
    <w:p w14:paraId="148BFDF3">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关于现场图纸准备的约定：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ABCB846">
      <w:pPr>
        <w:spacing w:line="360" w:lineRule="auto"/>
        <w:ind w:left="-240" w:right="-240" w:firstLine="480" w:leftChars="-100" w:rightChars="-100" w:firstLineChars="200"/>
        <w:outlineLvl w:val="2"/>
        <w:rPr>
          <w:rFonts w:ascii="宋体" w:hAnsi="宋体" w:cs="宋体"/>
          <w:color w:val="000000"/>
          <w:lang w:eastAsia="zh-CN"/>
        </w:rPr>
      </w:pPr>
      <w:bookmarkStart w:id="1198" w:name="_Toc18371"/>
      <w:bookmarkStart w:id="1199" w:name="_Toc280711937"/>
      <w:bookmarkStart w:id="1200" w:name="_Toc13200089"/>
      <w:r>
        <w:rPr>
          <w:rFonts w:ascii="宋体" w:hAnsi="宋体" w:cs="宋体" w:hint="eastAsia"/>
          <w:color w:val="000000"/>
          <w:lang w:eastAsia="zh-CN"/>
        </w:rPr>
        <w:t>1.7 联络</w:t>
      </w:r>
      <w:bookmarkEnd w:id="1198"/>
      <w:bookmarkEnd w:id="1199"/>
      <w:bookmarkEnd w:id="1200"/>
    </w:p>
    <w:p w14:paraId="594F8C57">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1.7.1 发包人和承包人应当在</w:t>
      </w:r>
      <w:r>
        <w:rPr>
          <w:rFonts w:ascii="宋体" w:hAnsi="宋体" w:cs="宋体" w:hint="eastAsia"/>
          <w:color w:val="00B0F0"/>
          <w:u w:val="single"/>
          <w:lang w:eastAsia="zh-CN"/>
        </w:rPr>
        <w:t xml:space="preserve">    </w:t>
      </w:r>
      <w:r>
        <w:rPr>
          <w:rFonts w:ascii="宋体" w:hAnsi="宋体" w:cs="宋体" w:hint="eastAsia"/>
          <w:color w:val="000000"/>
          <w:lang w:eastAsia="zh-CN"/>
        </w:rPr>
        <w:t>天内将与合同有关的通知、批准、证明、证书、指示、指令、要求、请求、同意、意见、确定和决定等书面函件送达对方当事人。</w:t>
      </w:r>
    </w:p>
    <w:p w14:paraId="0DD5DA9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1.7.2 发包人接收文件的地点：</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0C50F8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发包人指定的接收人为：</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72EB10D">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承包人接收文件的地点：</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440B929">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承包人指定的接收人为：</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FCE6DA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监理人接收文件的地点：</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D1D1F37">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监理人指定的接收人为：</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64CB51A">
      <w:pPr>
        <w:spacing w:line="360" w:lineRule="auto"/>
        <w:ind w:left="-240" w:right="-240" w:firstLine="480" w:leftChars="-100" w:rightChars="-100" w:firstLineChars="200"/>
        <w:outlineLvl w:val="2"/>
        <w:rPr>
          <w:rFonts w:ascii="宋体" w:hAnsi="宋体" w:cs="宋体"/>
          <w:color w:val="000000"/>
          <w:kern w:val="2"/>
          <w:lang w:eastAsia="zh-CN"/>
        </w:rPr>
      </w:pPr>
      <w:bookmarkStart w:id="1201" w:name="_Toc8108"/>
      <w:bookmarkStart w:id="1202" w:name="_Toc1023515055"/>
      <w:bookmarkStart w:id="1203" w:name="_Toc1289155066"/>
      <w:r>
        <w:rPr>
          <w:rFonts w:ascii="宋体" w:hAnsi="宋体" w:cs="宋体" w:hint="eastAsia"/>
          <w:color w:val="000000"/>
          <w:lang w:eastAsia="zh-CN"/>
        </w:rPr>
        <w:t>1.10 交通运输</w:t>
      </w:r>
      <w:bookmarkEnd w:id="1201"/>
      <w:bookmarkEnd w:id="1202"/>
      <w:bookmarkEnd w:id="1203"/>
    </w:p>
    <w:p w14:paraId="6A3775B7">
      <w:pPr>
        <w:spacing w:line="360" w:lineRule="auto"/>
        <w:ind w:left="-240" w:right="-240" w:firstLine="480" w:leftChars="-100" w:rightChars="-100" w:firstLineChars="200"/>
        <w:rPr>
          <w:rFonts w:ascii="宋体" w:hAnsi="宋体" w:cs="宋体"/>
          <w:lang w:eastAsia="zh-CN"/>
        </w:rPr>
      </w:pPr>
      <w:bookmarkStart w:id="1204" w:name="_Toc17087"/>
      <w:bookmarkStart w:id="1205" w:name="_Toc9787"/>
      <w:bookmarkStart w:id="1206" w:name="_Toc8013"/>
      <w:r>
        <w:rPr>
          <w:rFonts w:ascii="宋体" w:hAnsi="宋体" w:cs="宋体" w:hint="eastAsia"/>
          <w:lang w:eastAsia="zh-CN"/>
        </w:rPr>
        <w:t>1.10.1 出入现场的权利</w:t>
      </w:r>
      <w:bookmarkEnd w:id="1204"/>
      <w:bookmarkEnd w:id="1205"/>
      <w:bookmarkEnd w:id="1206"/>
    </w:p>
    <w:p w14:paraId="18C601F3">
      <w:pPr>
        <w:spacing w:line="360" w:lineRule="auto"/>
        <w:ind w:left="-240" w:right="-240" w:leftChars="-100" w:rightChars="-100"/>
        <w:rPr>
          <w:rFonts w:ascii="宋体" w:hAnsi="宋体" w:cs="宋体"/>
          <w:lang w:eastAsia="zh-CN"/>
        </w:rPr>
      </w:pPr>
      <w:r>
        <w:rPr>
          <w:rFonts w:ascii="宋体" w:hAnsi="宋体" w:cs="宋体" w:hint="eastAsia"/>
          <w:lang w:eastAsia="zh-CN"/>
        </w:rPr>
        <w:t>关于出入现场的权利的约定：</w:t>
      </w:r>
      <w:r>
        <w:rPr>
          <w:rFonts w:ascii="宋体" w:hAnsi="宋体" w:cs="宋体" w:hint="eastAsia"/>
          <w:color w:val="00B0F0"/>
          <w:u w:val="single"/>
          <w:lang w:eastAsia="zh-CN"/>
        </w:rPr>
        <w:t xml:space="preserve">                         </w:t>
      </w:r>
      <w:r>
        <w:rPr>
          <w:rFonts w:ascii="宋体" w:hAnsi="宋体" w:cs="宋体" w:hint="eastAsia"/>
          <w:lang w:eastAsia="zh-CN"/>
        </w:rPr>
        <w:t>。</w:t>
      </w:r>
    </w:p>
    <w:p w14:paraId="773ADD36">
      <w:pPr>
        <w:spacing w:line="360" w:lineRule="auto"/>
        <w:ind w:left="-240" w:right="-240" w:firstLine="480" w:leftChars="-100" w:rightChars="-100" w:firstLineChars="200"/>
        <w:rPr>
          <w:rFonts w:ascii="宋体" w:hAnsi="宋体" w:cs="宋体"/>
          <w:lang w:eastAsia="zh-CN"/>
        </w:rPr>
      </w:pPr>
      <w:bookmarkStart w:id="1207" w:name="_Toc4066"/>
      <w:bookmarkStart w:id="1208" w:name="_Toc3062"/>
      <w:bookmarkStart w:id="1209" w:name="_Toc30188"/>
      <w:r>
        <w:rPr>
          <w:rFonts w:ascii="宋体" w:hAnsi="宋体" w:cs="宋体" w:hint="eastAsia"/>
          <w:lang w:eastAsia="zh-CN"/>
        </w:rPr>
        <w:t>1.10.3 场内交通</w:t>
      </w:r>
      <w:bookmarkEnd w:id="1207"/>
      <w:bookmarkEnd w:id="1208"/>
      <w:bookmarkEnd w:id="1209"/>
    </w:p>
    <w:p w14:paraId="11946230">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关于场外交通和场内交通的边界的约定：</w:t>
      </w:r>
      <w:r>
        <w:rPr>
          <w:rFonts w:ascii="宋体" w:hAnsi="宋体" w:cs="宋体" w:hint="eastAsia"/>
          <w:color w:val="00B0F0"/>
          <w:u w:val="single"/>
          <w:lang w:eastAsia="zh-CN"/>
        </w:rPr>
        <w:t xml:space="preserve">                         </w:t>
      </w:r>
      <w:r>
        <w:rPr>
          <w:rFonts w:ascii="宋体" w:hAnsi="宋体" w:cs="宋体" w:hint="eastAsia"/>
          <w:lang w:eastAsia="zh-CN"/>
        </w:rPr>
        <w:t>。</w:t>
      </w:r>
    </w:p>
    <w:p w14:paraId="43F549CF">
      <w:pPr>
        <w:spacing w:line="360" w:lineRule="auto"/>
        <w:ind w:left="-240" w:right="-240" w:firstLine="480" w:leftChars="-100" w:rightChars="-100" w:firstLineChars="200"/>
        <w:rPr>
          <w:rFonts w:ascii="宋体" w:hAnsi="宋体" w:cs="宋体"/>
          <w:kern w:val="2"/>
          <w:lang w:eastAsia="zh-CN"/>
        </w:rPr>
      </w:pPr>
      <w:r>
        <w:rPr>
          <w:rFonts w:ascii="宋体" w:hAnsi="宋体" w:cs="宋体" w:hint="eastAsia"/>
          <w:lang w:eastAsia="zh-CN"/>
        </w:rPr>
        <w:t>关于发包人向承包人免费提供满足工程施工需要的场内道路和交通设施的约定：</w:t>
      </w:r>
      <w:r>
        <w:rPr>
          <w:rFonts w:ascii="宋体" w:hAnsi="宋体" w:cs="宋体" w:hint="eastAsia"/>
          <w:color w:val="00B0F0"/>
          <w:u w:val="single"/>
          <w:lang w:eastAsia="zh-CN"/>
        </w:rPr>
        <w:t xml:space="preserve">                         </w:t>
      </w:r>
      <w:r>
        <w:rPr>
          <w:rFonts w:ascii="宋体" w:hAnsi="宋体" w:cs="宋体" w:hint="eastAsia"/>
          <w:lang w:eastAsia="zh-CN"/>
        </w:rPr>
        <w:t xml:space="preserve">。  </w:t>
      </w:r>
    </w:p>
    <w:p w14:paraId="3E91D7D6">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1.10.4 超大件和超重件的运输</w:t>
      </w:r>
    </w:p>
    <w:p w14:paraId="42CB9404">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运输超大件或超重件所需的道路和桥梁临时加固改造费用和其他有关费用由</w:t>
      </w:r>
      <w:r>
        <w:rPr>
          <w:rFonts w:ascii="宋体" w:hAnsi="宋体" w:cs="宋体" w:hint="eastAsia"/>
          <w:u w:val="single"/>
          <w:lang w:eastAsia="zh-CN"/>
        </w:rPr>
        <w:t xml:space="preserve">         </w:t>
      </w:r>
      <w:r>
        <w:rPr>
          <w:rFonts w:ascii="宋体" w:hAnsi="宋体" w:cs="宋体" w:hint="eastAsia"/>
          <w:lang w:eastAsia="zh-CN"/>
        </w:rPr>
        <w:t>承担。</w:t>
      </w:r>
    </w:p>
    <w:p w14:paraId="71C83C4E">
      <w:pPr>
        <w:spacing w:line="360" w:lineRule="auto"/>
        <w:ind w:left="-240" w:right="-240" w:firstLine="480" w:leftChars="-100" w:rightChars="-100" w:firstLineChars="200"/>
        <w:outlineLvl w:val="2"/>
        <w:rPr>
          <w:rFonts w:ascii="宋体" w:hAnsi="宋体" w:cs="宋体"/>
          <w:color w:val="000000"/>
          <w:lang w:eastAsia="zh-CN"/>
        </w:rPr>
      </w:pPr>
      <w:bookmarkStart w:id="1210" w:name="_Toc17638"/>
      <w:bookmarkStart w:id="1211" w:name="_Toc869890155"/>
      <w:bookmarkStart w:id="1212" w:name="_Toc1760605217"/>
      <w:r>
        <w:rPr>
          <w:rFonts w:ascii="宋体" w:hAnsi="宋体" w:cs="宋体" w:hint="eastAsia"/>
          <w:color w:val="000000"/>
          <w:lang w:eastAsia="zh-CN"/>
        </w:rPr>
        <w:t>1.11 知识产权</w:t>
      </w:r>
      <w:bookmarkEnd w:id="1210"/>
      <w:bookmarkEnd w:id="1211"/>
      <w:bookmarkEnd w:id="1212"/>
    </w:p>
    <w:p w14:paraId="27769F4D">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1.11.1 关于发包人提供给承包人的图纸、发包人为实施工程自行编制或委托编制的技术规范以及反映发包人关于合同要求或其他类似性质的文件的著作权的归属：</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612738A">
      <w:pPr>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关于发包人提供的上述文件的使用限制的要求：</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5B9DD64">
      <w:pPr>
        <w:spacing w:line="360" w:lineRule="auto"/>
        <w:ind w:left="-240" w:right="-240" w:leftChars="-100" w:rightChars="-100"/>
        <w:rPr>
          <w:rFonts w:ascii="宋体" w:hAnsi="宋体" w:cs="宋体"/>
          <w:color w:val="000000"/>
          <w:lang w:eastAsia="zh-CN"/>
        </w:rPr>
      </w:pPr>
      <w:bookmarkStart w:id="1213" w:name="_Toc11158"/>
      <w:bookmarkStart w:id="1214" w:name="_Toc14488"/>
      <w:bookmarkStart w:id="1215" w:name="_Toc29973"/>
      <w:r>
        <w:rPr>
          <w:rFonts w:ascii="宋体" w:hAnsi="宋体" w:cs="宋体" w:hint="eastAsia"/>
          <w:color w:val="000000"/>
          <w:lang w:eastAsia="zh-CN"/>
        </w:rPr>
        <w:t>1.11.2 关于承包人为实施工程所编制文件的著作权的归属：</w:t>
      </w:r>
      <w:bookmarkEnd w:id="1213"/>
      <w:bookmarkEnd w:id="1214"/>
      <w:bookmarkEnd w:id="1215"/>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9F95FE6">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关于承包人提供的上述文件的使用限制的要求：</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0232A83">
      <w:pPr>
        <w:spacing w:line="360" w:lineRule="auto"/>
        <w:ind w:left="-240" w:right="-240" w:firstLine="480" w:leftChars="-100" w:rightChars="-100" w:firstLineChars="200"/>
        <w:rPr>
          <w:rFonts w:ascii="宋体" w:hAnsi="宋体" w:cs="宋体"/>
          <w:color w:val="000000"/>
          <w:lang w:eastAsia="zh-CN"/>
        </w:rPr>
      </w:pPr>
      <w:bookmarkStart w:id="1216" w:name="_Toc4666"/>
      <w:bookmarkStart w:id="1217" w:name="_Toc22809"/>
      <w:bookmarkStart w:id="1218" w:name="_Toc13562"/>
      <w:r>
        <w:rPr>
          <w:rFonts w:ascii="宋体" w:hAnsi="宋体" w:cs="宋体" w:hint="eastAsia"/>
          <w:color w:val="000000"/>
          <w:lang w:eastAsia="zh-CN"/>
        </w:rPr>
        <w:t>1.11.4 承包人在施工过程中所采用的专利、专有技术、技术秘密的使用费的承担方式：</w:t>
      </w:r>
      <w:r>
        <w:rPr>
          <w:rFonts w:ascii="宋体" w:hAnsi="宋体" w:cs="宋体" w:hint="eastAsia"/>
          <w:color w:val="00B0F0"/>
          <w:u w:val="single"/>
          <w:lang w:eastAsia="zh-CN"/>
        </w:rPr>
        <w:t xml:space="preserve">                         </w:t>
      </w:r>
      <w:r>
        <w:rPr>
          <w:rFonts w:ascii="宋体" w:hAnsi="宋体" w:cs="宋体" w:hint="eastAsia"/>
          <w:color w:val="000000"/>
          <w:lang w:eastAsia="zh-CN"/>
        </w:rPr>
        <w:t>。</w:t>
      </w:r>
      <w:bookmarkEnd w:id="1216"/>
      <w:bookmarkEnd w:id="1217"/>
      <w:bookmarkEnd w:id="1218"/>
      <w:bookmarkStart w:id="1219" w:name="_Toc4484"/>
    </w:p>
    <w:p w14:paraId="436C26B5">
      <w:pPr>
        <w:spacing w:line="360" w:lineRule="auto"/>
        <w:ind w:left="-240" w:right="-240" w:firstLine="480" w:leftChars="-100" w:rightChars="-100" w:firstLineChars="200"/>
        <w:rPr>
          <w:rFonts w:ascii="宋体" w:hAnsi="宋体" w:cs="宋体"/>
          <w:color w:val="000000"/>
          <w:kern w:val="2"/>
          <w:lang w:eastAsia="zh-CN"/>
        </w:rPr>
      </w:pPr>
      <w:r>
        <w:rPr>
          <w:rFonts w:ascii="宋体" w:hAnsi="宋体" w:cs="宋体" w:hint="eastAsia"/>
          <w:color w:val="000000"/>
          <w:lang w:eastAsia="zh-CN"/>
        </w:rPr>
        <w:t>1.13 工程量清单错误的修正</w:t>
      </w:r>
      <w:bookmarkEnd w:id="1219"/>
    </w:p>
    <w:p w14:paraId="418CF3A0">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本款修改为：</w:t>
      </w:r>
    </w:p>
    <w:p w14:paraId="55B2BFBD">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承包人应在合同签订后对发包人提供的工程量清单、图纸和现场进行核查和踏察，如发现差异，应在</w:t>
      </w:r>
      <w:r>
        <w:rPr>
          <w:rFonts w:ascii="宋体" w:hAnsi="宋体" w:cs="宋体" w:hint="eastAsia"/>
          <w:u w:val="single"/>
          <w:lang w:eastAsia="zh-CN"/>
        </w:rPr>
        <w:t xml:space="preserve">    </w:t>
      </w:r>
      <w:r>
        <w:rPr>
          <w:rFonts w:ascii="宋体" w:hAnsi="宋体" w:cs="宋体" w:hint="eastAsia"/>
          <w:lang w:eastAsia="zh-CN"/>
        </w:rPr>
        <w:t>天内以书面形式向发包人提出；有下列情形之一时，发包人应予以修正，并相应调整合同价格：</w:t>
      </w:r>
    </w:p>
    <w:p w14:paraId="47CC8C87">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出现工程量清单错误时，是否调整合同价格：</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D2B7A2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允许调整合同价格的工程量偏差范围：</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519D165">
      <w:pPr>
        <w:pStyle w:val="Heading2"/>
        <w:ind w:left="-240" w:right="-240" w:leftChars="-100" w:rightChars="-100"/>
        <w:rPr>
          <w:rFonts w:ascii="宋体" w:hAnsi="宋体" w:cs="宋体"/>
          <w:b w:val="0"/>
          <w:color w:val="000000"/>
          <w:sz w:val="24"/>
          <w:szCs w:val="24"/>
        </w:rPr>
      </w:pPr>
      <w:bookmarkStart w:id="1220" w:name="_Toc125523837"/>
      <w:bookmarkStart w:id="1221" w:name="_Toc2049858434"/>
      <w:r>
        <w:rPr>
          <w:rFonts w:ascii="宋体" w:hAnsi="宋体" w:cs="宋体" w:hint="eastAsia"/>
          <w:b w:val="0"/>
          <w:color w:val="000000"/>
          <w:sz w:val="24"/>
          <w:szCs w:val="24"/>
        </w:rPr>
        <w:t>2. 发包人</w:t>
      </w:r>
      <w:bookmarkEnd w:id="1220"/>
      <w:bookmarkEnd w:id="1221"/>
    </w:p>
    <w:p w14:paraId="324C85B3">
      <w:pPr>
        <w:spacing w:line="360" w:lineRule="auto"/>
        <w:ind w:left="-240" w:right="-240" w:firstLine="480" w:leftChars="-100" w:rightChars="-100" w:firstLineChars="200"/>
        <w:outlineLvl w:val="2"/>
        <w:rPr>
          <w:rFonts w:ascii="宋体" w:hAnsi="宋体" w:cs="宋体"/>
          <w:color w:val="000000"/>
          <w:lang w:eastAsia="zh-CN"/>
        </w:rPr>
      </w:pPr>
      <w:bookmarkStart w:id="1222" w:name="_Toc1613310203"/>
      <w:bookmarkStart w:id="1223" w:name="_Toc29214"/>
      <w:bookmarkStart w:id="1224" w:name="_Toc493482386"/>
      <w:r>
        <w:rPr>
          <w:rFonts w:ascii="宋体" w:hAnsi="宋体" w:cs="宋体" w:hint="eastAsia"/>
          <w:color w:val="000000"/>
          <w:lang w:eastAsia="zh-CN"/>
        </w:rPr>
        <w:t>2.1 许可或批准</w:t>
      </w:r>
      <w:bookmarkEnd w:id="1222"/>
      <w:bookmarkEnd w:id="1223"/>
      <w:bookmarkEnd w:id="1224"/>
    </w:p>
    <w:p w14:paraId="72CC0FB6">
      <w:pPr>
        <w:spacing w:line="360" w:lineRule="auto"/>
        <w:ind w:left="-240" w:right="-240" w:firstLine="480" w:leftChars="-100" w:rightChars="-100" w:firstLineChars="200"/>
        <w:outlineLvl w:val="2"/>
        <w:rPr>
          <w:rFonts w:ascii="宋体" w:hAnsi="宋体" w:cs="宋体"/>
          <w:lang w:eastAsia="zh-CN"/>
        </w:rPr>
      </w:pPr>
      <w:bookmarkStart w:id="1225" w:name="_Toc850751199"/>
      <w:bookmarkStart w:id="1226" w:name="_Toc122621003"/>
      <w:r>
        <w:rPr>
          <w:rFonts w:ascii="宋体" w:hAnsi="宋体" w:cs="宋体" w:hint="eastAsia"/>
          <w:lang w:eastAsia="zh-CN"/>
        </w:rPr>
        <w:t>本款补充2.1.1、2.4.3。</w:t>
      </w:r>
      <w:bookmarkEnd w:id="1225"/>
      <w:bookmarkEnd w:id="1226"/>
    </w:p>
    <w:p w14:paraId="4EA6D338">
      <w:pPr>
        <w:snapToGrid w:val="0"/>
        <w:spacing w:before="120" w:after="120"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2.1.1 根据相关规定提供园林绿化施工所需的许可或批准。</w:t>
      </w:r>
      <w:bookmarkStart w:id="1227" w:name="_Toc17753"/>
    </w:p>
    <w:p w14:paraId="4513D5C4">
      <w:pPr>
        <w:snapToGrid w:val="0"/>
        <w:spacing w:line="360" w:lineRule="auto"/>
        <w:ind w:left="-240" w:right="-240" w:firstLine="480" w:leftChars="-100" w:rightChars="-100" w:firstLineChars="200"/>
        <w:rPr>
          <w:rFonts w:ascii="宋体" w:hAnsi="宋体" w:cs="宋体"/>
          <w:color w:val="000000"/>
          <w:kern w:val="2"/>
          <w:lang w:eastAsia="zh-CN"/>
        </w:rPr>
      </w:pPr>
      <w:r>
        <w:rPr>
          <w:rFonts w:ascii="宋体" w:hAnsi="宋体" w:cs="宋体" w:hint="eastAsia"/>
          <w:color w:val="000000"/>
          <w:lang w:eastAsia="zh-CN"/>
        </w:rPr>
        <w:t>2.2 发包人代表</w:t>
      </w:r>
      <w:bookmarkEnd w:id="1227"/>
    </w:p>
    <w:p w14:paraId="1DCE9383">
      <w:pPr>
        <w:snapToGrid w:val="0"/>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发包人代表：</w:t>
      </w:r>
    </w:p>
    <w:p w14:paraId="2DA16A6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姓    名：</w:t>
      </w:r>
      <w:r>
        <w:rPr>
          <w:rFonts w:ascii="宋体" w:hAnsi="宋体" w:cs="宋体" w:hint="eastAsia"/>
          <w:color w:val="00B0F0"/>
          <w:u w:val="single"/>
          <w:lang w:eastAsia="zh-CN"/>
        </w:rPr>
        <w:t xml:space="preserve">          </w:t>
      </w:r>
      <w:r>
        <w:rPr>
          <w:rFonts w:ascii="宋体" w:hAnsi="宋体" w:cs="宋体" w:hint="eastAsia"/>
          <w:color w:val="000000"/>
          <w:lang w:eastAsia="zh-CN"/>
        </w:rPr>
        <w:t>；身份证号：</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43FAB1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职    务：</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C8E367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联系电话：</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6C06BC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电子信箱：</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C0A377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通信地址：</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0D0AFC8">
      <w:pPr>
        <w:spacing w:line="360" w:lineRule="auto"/>
        <w:ind w:left="-240" w:right="-240" w:firstLine="480" w:leftChars="-100" w:rightChars="-100" w:firstLineChars="200"/>
        <w:rPr>
          <w:rFonts w:ascii="宋体" w:hAnsi="宋体" w:cs="宋体"/>
          <w:b/>
          <w:color w:val="000000"/>
          <w:lang w:eastAsia="zh-CN"/>
        </w:rPr>
      </w:pPr>
      <w:r>
        <w:rPr>
          <w:rFonts w:ascii="宋体" w:hAnsi="宋体" w:cs="宋体" w:hint="eastAsia"/>
          <w:color w:val="000000"/>
          <w:lang w:eastAsia="zh-CN"/>
        </w:rPr>
        <w:t>发包人对发包人代表的授权范围如下：</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20A4C76">
      <w:pPr>
        <w:spacing w:line="360" w:lineRule="auto"/>
        <w:ind w:left="-240" w:right="-240" w:firstLine="480" w:leftChars="-100" w:rightChars="-100" w:firstLineChars="200"/>
        <w:outlineLvl w:val="2"/>
        <w:rPr>
          <w:rFonts w:ascii="宋体" w:hAnsi="宋体" w:cs="宋体"/>
          <w:color w:val="000000"/>
          <w:lang w:eastAsia="zh-CN"/>
        </w:rPr>
      </w:pPr>
      <w:bookmarkStart w:id="1228" w:name="_Toc571308452"/>
      <w:bookmarkStart w:id="1229" w:name="_Toc1335716241"/>
      <w:bookmarkStart w:id="1230" w:name="_Toc26646"/>
      <w:r>
        <w:rPr>
          <w:rFonts w:ascii="宋体" w:hAnsi="宋体" w:cs="宋体" w:hint="eastAsia"/>
          <w:color w:val="000000"/>
          <w:lang w:eastAsia="zh-CN"/>
        </w:rPr>
        <w:t>2.4 施工现场、施工条件和基础资料的提供</w:t>
      </w:r>
      <w:bookmarkEnd w:id="1228"/>
      <w:bookmarkEnd w:id="1229"/>
      <w:bookmarkEnd w:id="1230"/>
    </w:p>
    <w:p w14:paraId="3C0E65C7">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2.4.1 提供施工现场</w:t>
      </w:r>
    </w:p>
    <w:p w14:paraId="40318792">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关于发包人移交施工现场的期限要求：</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F341E5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2.4.2 提供施工条件</w:t>
      </w:r>
    </w:p>
    <w:p w14:paraId="03C4ADF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关于发包人应负责提供施工所需要的条件，包括：</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9832F57">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2.4.3 提供基础资料</w:t>
      </w:r>
    </w:p>
    <w:p w14:paraId="3453403D">
      <w:pPr>
        <w:spacing w:line="360" w:lineRule="auto"/>
        <w:ind w:left="-240" w:right="-240" w:firstLine="480" w:leftChars="-100" w:rightChars="-100" w:firstLineChars="200"/>
        <w:rPr>
          <w:rFonts w:ascii="宋体" w:hAnsi="宋体" w:cs="宋体"/>
          <w:lang w:eastAsia="zh-CN"/>
        </w:rPr>
      </w:pPr>
      <w:r>
        <w:rPr>
          <w:rFonts w:ascii="宋体" w:hAnsi="宋体" w:cs="宋体" w:hint="eastAsia"/>
          <w:color w:val="000000"/>
          <w:lang w:eastAsia="zh-CN"/>
        </w:rPr>
        <w:t>发包人还应提供项目施工区域内现状树木一览表（附件2）、现状土壤指标、</w:t>
      </w:r>
      <w:r>
        <w:rPr>
          <w:rFonts w:ascii="宋体" w:hAnsi="宋体" w:cs="宋体" w:hint="eastAsia"/>
          <w:u w:val="single"/>
          <w:lang w:eastAsia="zh-CN"/>
        </w:rPr>
        <w:t xml:space="preserve">                          </w:t>
      </w:r>
      <w:r>
        <w:rPr>
          <w:rFonts w:ascii="宋体" w:hAnsi="宋体" w:cs="宋体" w:hint="eastAsia"/>
          <w:lang w:eastAsia="zh-CN"/>
        </w:rPr>
        <w:t xml:space="preserve">等。 </w:t>
      </w:r>
    </w:p>
    <w:p w14:paraId="3E49FF62">
      <w:pPr>
        <w:spacing w:line="360" w:lineRule="auto"/>
        <w:ind w:left="-240" w:right="-240" w:firstLine="480" w:leftChars="-100" w:rightChars="-100" w:firstLineChars="200"/>
        <w:outlineLvl w:val="2"/>
        <w:rPr>
          <w:rFonts w:ascii="宋体" w:hAnsi="宋体" w:cs="宋体"/>
          <w:color w:val="000000"/>
          <w:lang w:eastAsia="zh-CN"/>
        </w:rPr>
      </w:pPr>
      <w:bookmarkStart w:id="1231" w:name="_Toc9218"/>
      <w:bookmarkStart w:id="1232" w:name="_Toc1205484610"/>
      <w:bookmarkStart w:id="1233" w:name="_Toc981174043"/>
      <w:r>
        <w:rPr>
          <w:rFonts w:ascii="宋体" w:hAnsi="宋体" w:cs="宋体" w:hint="eastAsia"/>
          <w:color w:val="000000"/>
          <w:lang w:eastAsia="zh-CN"/>
        </w:rPr>
        <w:t>2.5 资金来源证明及支付担保</w:t>
      </w:r>
      <w:bookmarkEnd w:id="1231"/>
      <w:bookmarkEnd w:id="1232"/>
      <w:bookmarkEnd w:id="1233"/>
    </w:p>
    <w:p w14:paraId="68B41553">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本款修改为：</w:t>
      </w:r>
    </w:p>
    <w:p w14:paraId="5C626A3C">
      <w:pPr>
        <w:spacing w:line="360" w:lineRule="auto"/>
        <w:ind w:left="-240" w:right="-240" w:leftChars="-100" w:rightChars="-100"/>
        <w:rPr>
          <w:rFonts w:ascii="宋体" w:hAnsi="宋体" w:cs="宋体"/>
          <w:color w:val="000000"/>
          <w:lang w:eastAsia="zh-CN"/>
        </w:rPr>
      </w:pPr>
      <w:r>
        <w:rPr>
          <w:rFonts w:ascii="宋体" w:hAnsi="宋体" w:cs="宋体" w:hint="eastAsia"/>
          <w:color w:val="000000"/>
          <w:lang w:eastAsia="zh-CN"/>
        </w:rPr>
        <w:t>发包人提供资金来源证明的期限要求：</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6B5B3D8">
      <w:pPr>
        <w:keepLines/>
        <w:spacing w:line="360" w:lineRule="auto"/>
        <w:ind w:left="-240" w:right="-240" w:firstLine="600" w:leftChars="-100" w:rightChars="-100"/>
        <w:rPr>
          <w:rFonts w:ascii="宋体" w:hAnsi="宋体" w:cs="宋体"/>
          <w:color w:val="00B0F0"/>
          <w:u w:val="single"/>
          <w:lang w:eastAsia="zh-CN"/>
        </w:rPr>
      </w:pPr>
      <w:r>
        <w:rPr>
          <w:rFonts w:ascii="宋体" w:hAnsi="宋体" w:cs="宋体" w:hint="eastAsia"/>
          <w:lang w:eastAsia="zh-CN"/>
        </w:rPr>
        <w:t>发包人提供支付担保期限及方式：发包人应在签订合同后</w:t>
      </w:r>
      <w:r>
        <w:rPr>
          <w:rFonts w:ascii="宋体" w:hAnsi="宋体" w:cs="宋体" w:hint="eastAsia"/>
          <w:color w:val="00B0F0"/>
          <w:u w:val="single"/>
          <w:lang w:eastAsia="zh-CN"/>
        </w:rPr>
        <w:t xml:space="preserve">  </w:t>
      </w:r>
    </w:p>
    <w:p w14:paraId="6EC9AF0E">
      <w:pPr>
        <w:keepLines/>
        <w:spacing w:line="360" w:lineRule="auto"/>
        <w:ind w:left="-240" w:right="-240" w:leftChars="-100" w:rightChars="-100"/>
        <w:rPr>
          <w:rFonts w:ascii="宋体" w:hAnsi="宋体" w:cs="宋体"/>
          <w:color w:val="000000"/>
          <w:lang w:eastAsia="zh-CN"/>
        </w:rPr>
      </w:pPr>
      <w:r>
        <w:rPr>
          <w:rFonts w:ascii="宋体" w:hAnsi="宋体" w:cs="宋体" w:hint="eastAsia"/>
          <w:color w:val="00B0F0"/>
          <w:u w:val="single"/>
          <w:lang w:eastAsia="zh-CN"/>
        </w:rPr>
        <w:t xml:space="preserve">    </w:t>
      </w:r>
      <w:r>
        <w:rPr>
          <w:rFonts w:ascii="宋体" w:hAnsi="宋体" w:cs="宋体" w:hint="eastAsia"/>
          <w:lang w:eastAsia="zh-CN"/>
        </w:rPr>
        <w:t>天内，向承包人提供</w:t>
      </w:r>
      <w:r>
        <w:rPr>
          <w:rFonts w:ascii="宋体" w:hAnsi="宋体" w:cs="宋体" w:hint="eastAsia"/>
          <w:color w:val="000000"/>
          <w:lang w:eastAsia="zh-CN"/>
        </w:rPr>
        <w:t>工程款</w:t>
      </w:r>
      <w:r>
        <w:rPr>
          <w:rFonts w:ascii="宋体" w:hAnsi="宋体" w:cs="宋体" w:hint="eastAsia"/>
          <w:lang w:eastAsia="zh-CN"/>
        </w:rPr>
        <w:t>支付担保，</w:t>
      </w:r>
      <w:r>
        <w:rPr>
          <w:rFonts w:ascii="宋体" w:hAnsi="宋体" w:cs="宋体" w:hint="eastAsia"/>
          <w:color w:val="000000"/>
          <w:lang w:eastAsia="zh-CN"/>
        </w:rPr>
        <w:t>确保农民工工资按时足额支付</w:t>
      </w:r>
      <w:r>
        <w:rPr>
          <w:rFonts w:ascii="宋体" w:hAnsi="宋体" w:cs="宋体" w:hint="eastAsia"/>
          <w:lang w:eastAsia="zh-CN"/>
        </w:rPr>
        <w:t>。</w:t>
      </w:r>
      <w:r>
        <w:rPr>
          <w:rFonts w:ascii="宋体" w:hAnsi="宋体" w:cs="宋体" w:hint="eastAsia"/>
          <w:color w:val="000000"/>
          <w:lang w:eastAsia="zh-CN"/>
        </w:rPr>
        <w:t>发包人提供支付担保的形式：</w:t>
      </w:r>
      <w:r>
        <w:rPr>
          <w:rFonts w:ascii="宋体" w:hAnsi="宋体" w:cs="宋体" w:hint="eastAsia"/>
          <w:color w:val="00B0F0"/>
          <w:u w:val="single"/>
          <w:lang w:eastAsia="zh-CN"/>
        </w:rPr>
        <w:t xml:space="preserve">                   </w:t>
      </w:r>
      <w:r>
        <w:rPr>
          <w:rFonts w:ascii="宋体" w:hAnsi="宋体" w:cs="宋体" w:hint="eastAsia"/>
          <w:color w:val="000000"/>
          <w:lang w:eastAsia="zh-CN"/>
        </w:rPr>
        <w:t>，担保有效期至工程款拨付完成为止（不含质量保证金）。</w:t>
      </w:r>
    </w:p>
    <w:p w14:paraId="0BD6039A">
      <w:pPr>
        <w:pStyle w:val="Heading2"/>
        <w:ind w:left="-240" w:right="-240" w:leftChars="-100" w:rightChars="-100"/>
        <w:rPr>
          <w:rFonts w:ascii="宋体" w:hAnsi="宋体" w:cs="宋体"/>
          <w:b w:val="0"/>
          <w:color w:val="000000"/>
          <w:sz w:val="24"/>
          <w:szCs w:val="24"/>
        </w:rPr>
      </w:pPr>
      <w:bookmarkStart w:id="1234" w:name="_Toc224169773"/>
      <w:bookmarkStart w:id="1235" w:name="_Toc507831889"/>
      <w:r>
        <w:rPr>
          <w:rFonts w:ascii="宋体" w:hAnsi="宋体" w:cs="宋体" w:hint="eastAsia"/>
          <w:b w:val="0"/>
          <w:color w:val="000000"/>
          <w:sz w:val="24"/>
          <w:szCs w:val="24"/>
        </w:rPr>
        <w:t>3. 承包人</w:t>
      </w:r>
      <w:bookmarkEnd w:id="1234"/>
      <w:bookmarkEnd w:id="1235"/>
    </w:p>
    <w:p w14:paraId="3D77991F">
      <w:pPr>
        <w:spacing w:line="360" w:lineRule="auto"/>
        <w:ind w:left="-240" w:right="-240" w:firstLine="480" w:leftChars="-100" w:rightChars="-100" w:firstLineChars="200"/>
        <w:outlineLvl w:val="2"/>
        <w:rPr>
          <w:rFonts w:ascii="宋体" w:hAnsi="宋体" w:cs="宋体"/>
          <w:color w:val="000000"/>
          <w:lang w:eastAsia="zh-CN"/>
        </w:rPr>
      </w:pPr>
      <w:bookmarkStart w:id="1236" w:name="_Toc19452"/>
      <w:bookmarkStart w:id="1237" w:name="_Toc1604068603"/>
      <w:bookmarkStart w:id="1238" w:name="_Toc1540549183"/>
      <w:r>
        <w:rPr>
          <w:rFonts w:ascii="宋体" w:hAnsi="宋体" w:cs="宋体" w:hint="eastAsia"/>
          <w:color w:val="000000"/>
          <w:lang w:eastAsia="zh-CN"/>
        </w:rPr>
        <w:t>3.1 承包人的一般义务</w:t>
      </w:r>
      <w:bookmarkEnd w:id="1236"/>
      <w:bookmarkEnd w:id="1237"/>
      <w:bookmarkEnd w:id="1238"/>
    </w:p>
    <w:p w14:paraId="57D541D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（9）承包人提交的竣工资料的内容：</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9E40BF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承包人需要提交的竣工资料套数：</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4D23089">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承包人提交的竣工资料的费用承担：</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98AB176">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承包人提交的竣工资料移交时间：</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03F498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承包人提交的竣工资料形式要求：</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8E80A0C">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（10）承包人应履行的其他义务：</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07A6DEE">
      <w:pPr>
        <w:spacing w:line="360" w:lineRule="auto"/>
        <w:ind w:left="-240" w:right="-240" w:firstLine="480" w:leftChars="-100" w:rightChars="-100" w:firstLineChars="200"/>
        <w:outlineLvl w:val="2"/>
        <w:rPr>
          <w:rFonts w:ascii="宋体" w:hAnsi="宋体" w:cs="宋体"/>
          <w:color w:val="000000"/>
          <w:lang w:eastAsia="zh-CN"/>
        </w:rPr>
      </w:pPr>
      <w:bookmarkStart w:id="1239" w:name="_Toc1559532044"/>
      <w:bookmarkStart w:id="1240" w:name="_Toc12983"/>
      <w:bookmarkStart w:id="1241" w:name="_Toc324146790"/>
      <w:r>
        <w:rPr>
          <w:rFonts w:ascii="宋体" w:hAnsi="宋体" w:cs="宋体" w:hint="eastAsia"/>
          <w:color w:val="000000"/>
          <w:lang w:eastAsia="zh-CN"/>
        </w:rPr>
        <w:t>3.2 项目经理</w:t>
      </w:r>
      <w:bookmarkEnd w:id="1239"/>
      <w:bookmarkEnd w:id="1240"/>
      <w:bookmarkEnd w:id="1241"/>
    </w:p>
    <w:p w14:paraId="3E1C8EA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本款修改为：</w:t>
      </w:r>
    </w:p>
    <w:p w14:paraId="085997D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3.2.1 项目负责人：</w:t>
      </w:r>
    </w:p>
    <w:p w14:paraId="7E1D021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姓    名：</w:t>
      </w:r>
      <w:r>
        <w:rPr>
          <w:rFonts w:ascii="宋体" w:hAnsi="宋体" w:cs="宋体" w:hint="eastAsia"/>
          <w:color w:val="00B0F0"/>
          <w:u w:val="single"/>
          <w:lang w:eastAsia="zh-CN"/>
        </w:rPr>
        <w:t xml:space="preserve">          </w:t>
      </w:r>
      <w:r>
        <w:rPr>
          <w:rFonts w:ascii="宋体" w:hAnsi="宋体" w:cs="宋体" w:hint="eastAsia"/>
          <w:color w:val="000000"/>
          <w:lang w:eastAsia="zh-CN"/>
        </w:rPr>
        <w:t>；身份证号：</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C748399">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相关证书及编号：</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0A2437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联系电话：</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FA306BC">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电子信箱：</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73A33F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通信地址：</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10A80F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承包人对项目负责人的授权范围如下：</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7AA9917">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关于项目负责人每月在施工现场的时间要求：</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60122F0">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承包人未提交劳动合同，以及没有为项目负责人缴纳社会保险证明的违约责任：</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C36047F">
      <w:pPr>
        <w:spacing w:line="360" w:lineRule="auto"/>
        <w:ind w:left="-240" w:right="-240" w:firstLine="480" w:leftChars="-100" w:rightChars="-100" w:firstLineChars="200"/>
        <w:rPr>
          <w:rFonts w:ascii="宋体" w:hAnsi="宋体" w:cs="宋体"/>
          <w:color w:val="00B0F0"/>
          <w:lang w:eastAsia="zh-CN"/>
        </w:rPr>
      </w:pPr>
      <w:r>
        <w:rPr>
          <w:rFonts w:ascii="宋体" w:hAnsi="宋体" w:cs="宋体" w:hint="eastAsia"/>
          <w:color w:val="000000"/>
          <w:lang w:eastAsia="zh-CN"/>
        </w:rPr>
        <w:t>项目负责人未经批准，擅自离开施工现场的违约责任：</w:t>
      </w:r>
      <w:r>
        <w:rPr>
          <w:rFonts w:ascii="宋体" w:hAnsi="宋体" w:cs="宋体" w:hint="eastAsia"/>
          <w:color w:val="00B0F0"/>
          <w:u w:val="single"/>
          <w:lang w:eastAsia="zh-CN"/>
        </w:rPr>
        <w:t xml:space="preserve">       </w:t>
      </w:r>
    </w:p>
    <w:p w14:paraId="15F8DC49">
      <w:pPr>
        <w:spacing w:line="360" w:lineRule="auto"/>
        <w:ind w:left="-240" w:right="-240" w:leftChars="-100" w:rightChars="-100"/>
        <w:rPr>
          <w:rFonts w:ascii="宋体" w:hAnsi="宋体" w:cs="宋体"/>
          <w:color w:val="000000"/>
          <w:kern w:val="2"/>
          <w:u w:val="single"/>
          <w:lang w:eastAsia="zh-CN"/>
        </w:rPr>
      </w:pP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FF73CB9">
      <w:pPr>
        <w:spacing w:line="360" w:lineRule="auto"/>
        <w:ind w:left="-240" w:right="-240" w:firstLine="480" w:leftChars="-100" w:rightChars="-100" w:firstLineChars="200"/>
        <w:rPr>
          <w:rFonts w:ascii="宋体" w:hAnsi="宋体" w:cs="宋体"/>
          <w:color w:val="00B0F0"/>
          <w:lang w:eastAsia="zh-CN"/>
        </w:rPr>
      </w:pPr>
      <w:r>
        <w:rPr>
          <w:rFonts w:ascii="宋体" w:hAnsi="宋体" w:cs="宋体" w:hint="eastAsia"/>
          <w:color w:val="000000"/>
          <w:lang w:eastAsia="zh-CN"/>
        </w:rPr>
        <w:t>3.2.3 承包人擅自更换项目负责人的违约责任：</w:t>
      </w:r>
      <w:r>
        <w:rPr>
          <w:rFonts w:ascii="宋体" w:hAnsi="宋体" w:cs="宋体" w:hint="eastAsia"/>
          <w:color w:val="00B0F0"/>
          <w:u w:val="single"/>
          <w:lang w:eastAsia="zh-CN"/>
        </w:rPr>
        <w:t xml:space="preserve">             </w:t>
      </w:r>
    </w:p>
    <w:p w14:paraId="603B68DA">
      <w:pPr>
        <w:spacing w:line="360" w:lineRule="auto"/>
        <w:ind w:left="-240" w:right="-240" w:leftChars="-100" w:rightChars="-100"/>
        <w:rPr>
          <w:rFonts w:ascii="宋体" w:hAnsi="宋体" w:cs="宋体"/>
          <w:color w:val="000000"/>
          <w:u w:val="single"/>
          <w:lang w:eastAsia="zh-CN"/>
        </w:rPr>
      </w:pP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CBEE50D">
      <w:pPr>
        <w:spacing w:line="360" w:lineRule="auto"/>
        <w:ind w:left="-240" w:right="-240" w:firstLine="600" w:leftChars="-100" w:rightChars="-100"/>
        <w:rPr>
          <w:rFonts w:ascii="宋体" w:hAnsi="宋体" w:cs="宋体"/>
          <w:color w:val="00B0F0"/>
          <w:u w:val="single"/>
          <w:lang w:eastAsia="zh-CN"/>
        </w:rPr>
      </w:pPr>
      <w:r>
        <w:rPr>
          <w:rFonts w:ascii="宋体" w:hAnsi="宋体" w:cs="宋体" w:hint="eastAsia"/>
          <w:color w:val="000000"/>
          <w:lang w:eastAsia="zh-CN"/>
        </w:rPr>
        <w:t>3.2.4 承包人无正当理由拒绝更换项目负责人的违约责任：</w:t>
      </w:r>
      <w:r>
        <w:rPr>
          <w:rFonts w:ascii="宋体" w:hAnsi="宋体" w:cs="宋体" w:hint="eastAsia"/>
          <w:color w:val="00B0F0"/>
          <w:u w:val="single"/>
          <w:lang w:eastAsia="zh-CN"/>
        </w:rPr>
        <w:t xml:space="preserve">   </w:t>
      </w:r>
    </w:p>
    <w:p w14:paraId="31784EBF">
      <w:pPr>
        <w:spacing w:after="120" w:line="360" w:lineRule="auto"/>
        <w:ind w:left="-240" w:right="-240" w:leftChars="-100" w:rightChars="-100"/>
        <w:rPr>
          <w:rFonts w:ascii="宋体" w:hAnsi="宋体" w:cs="宋体"/>
          <w:color w:val="000000"/>
          <w:u w:val="single"/>
          <w:lang w:eastAsia="zh-CN"/>
        </w:rPr>
      </w:pP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6E44C1F">
      <w:pPr>
        <w:spacing w:line="360" w:lineRule="auto"/>
        <w:ind w:left="-240" w:right="-240" w:firstLine="480" w:leftChars="-100" w:rightChars="-100" w:firstLineChars="200"/>
        <w:outlineLvl w:val="2"/>
        <w:rPr>
          <w:rFonts w:ascii="宋体" w:hAnsi="宋体" w:cs="宋体"/>
          <w:color w:val="000000"/>
          <w:lang w:eastAsia="zh-CN"/>
        </w:rPr>
      </w:pPr>
      <w:bookmarkStart w:id="1242" w:name="_Toc1073182267"/>
      <w:bookmarkStart w:id="1243" w:name="_Toc7876"/>
      <w:bookmarkStart w:id="1244" w:name="_Toc1539542666"/>
      <w:r>
        <w:rPr>
          <w:rFonts w:ascii="宋体" w:hAnsi="宋体" w:cs="宋体" w:hint="eastAsia"/>
          <w:color w:val="000000"/>
          <w:lang w:eastAsia="zh-CN"/>
        </w:rPr>
        <w:t>3.3 承包人人员</w:t>
      </w:r>
      <w:bookmarkEnd w:id="1242"/>
      <w:bookmarkEnd w:id="1243"/>
      <w:bookmarkEnd w:id="1244"/>
    </w:p>
    <w:p w14:paraId="0C1B559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本款补充3.3.6。</w:t>
      </w:r>
    </w:p>
    <w:p w14:paraId="13872543">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3.3.1 承包人提交项目管理机构及施工现场管理人员安排报告的期限：</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EC377F9">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3.3.3 承包人无正当理由拒绝撤换主要施工管理人员的违约责任：</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2B8815F">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3.3.4 承包人主要施工管理人员离开施工现场的批准要求：</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F4E9E0B">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3.3.5 承包人擅自更换主要施工管理人员的违约责任：</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DDA4142">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承包人主要施工管理人员擅自离开施工现场的违约责任：</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BF85E39">
      <w:pPr>
        <w:spacing w:line="360" w:lineRule="auto"/>
        <w:ind w:left="-240" w:right="-240" w:firstLine="600" w:leftChars="-100" w:rightChars="-100"/>
        <w:rPr>
          <w:rFonts w:ascii="宋体" w:hAnsi="宋体" w:cs="宋体"/>
          <w:color w:val="000000"/>
          <w:lang w:eastAsia="zh-CN"/>
        </w:rPr>
      </w:pPr>
      <w:r>
        <w:rPr>
          <w:rFonts w:ascii="宋体" w:hAnsi="宋体" w:cs="宋体" w:hint="eastAsia"/>
          <w:color w:val="000000"/>
          <w:lang w:eastAsia="zh-CN"/>
        </w:rPr>
        <w:t>3.3.6 技术负责人</w:t>
      </w:r>
    </w:p>
    <w:p w14:paraId="1F3590DC">
      <w:pPr>
        <w:spacing w:line="360" w:lineRule="auto"/>
        <w:ind w:left="-240" w:right="-240" w:firstLine="600" w:leftChars="-100" w:rightChars="-100"/>
        <w:rPr>
          <w:rFonts w:ascii="宋体" w:hAnsi="宋体" w:cs="宋体"/>
          <w:color w:val="000000"/>
          <w:u w:val="single"/>
          <w:lang w:eastAsia="zh-CN"/>
        </w:rPr>
      </w:pPr>
      <w:r>
        <w:rPr>
          <w:rFonts w:ascii="宋体" w:hAnsi="宋体" w:cs="宋体" w:hint="eastAsia"/>
          <w:color w:val="000000"/>
          <w:lang w:eastAsia="zh-CN"/>
        </w:rPr>
        <w:t>姓名：</w:t>
      </w:r>
      <w:r>
        <w:rPr>
          <w:rFonts w:ascii="宋体" w:hAnsi="宋体" w:cs="宋体" w:hint="eastAsia"/>
          <w:color w:val="00B0F0"/>
          <w:u w:val="single"/>
          <w:lang w:eastAsia="zh-CN"/>
        </w:rPr>
        <w:t xml:space="preserve">                </w:t>
      </w:r>
      <w:r>
        <w:rPr>
          <w:rFonts w:ascii="宋体" w:hAnsi="宋体" w:cs="宋体" w:hint="eastAsia"/>
          <w:color w:val="000000"/>
          <w:lang w:eastAsia="zh-CN"/>
        </w:rPr>
        <w:t>；身份证号：</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3F13925">
      <w:pPr>
        <w:spacing w:line="360" w:lineRule="auto"/>
        <w:ind w:left="-240" w:right="-240" w:firstLine="600" w:leftChars="-100" w:rightChars="-100"/>
        <w:rPr>
          <w:rFonts w:ascii="宋体" w:hAnsi="宋体" w:cs="宋体"/>
          <w:color w:val="000000"/>
          <w:lang w:eastAsia="zh-CN"/>
        </w:rPr>
      </w:pPr>
      <w:r>
        <w:rPr>
          <w:rFonts w:ascii="宋体" w:hAnsi="宋体" w:cs="宋体" w:hint="eastAsia"/>
          <w:color w:val="000000"/>
          <w:lang w:eastAsia="zh-CN"/>
        </w:rPr>
        <w:t>专业：</w:t>
      </w:r>
      <w:r>
        <w:rPr>
          <w:rFonts w:ascii="宋体" w:hAnsi="宋体" w:cs="宋体" w:hint="eastAsia"/>
          <w:color w:val="00B0F0"/>
          <w:u w:val="single"/>
          <w:lang w:eastAsia="zh-CN"/>
        </w:rPr>
        <w:t xml:space="preserve">                </w:t>
      </w:r>
      <w:r>
        <w:rPr>
          <w:rFonts w:ascii="宋体" w:hAnsi="宋体" w:cs="宋体" w:hint="eastAsia"/>
          <w:color w:val="000000"/>
          <w:lang w:eastAsia="zh-CN"/>
        </w:rPr>
        <w:t>；职称等级：</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E898626">
      <w:pPr>
        <w:spacing w:line="360" w:lineRule="auto"/>
        <w:ind w:left="-240" w:right="-240" w:firstLine="480" w:leftChars="-100" w:rightChars="-100" w:firstLineChars="200"/>
        <w:outlineLvl w:val="2"/>
        <w:rPr>
          <w:rFonts w:ascii="宋体" w:hAnsi="宋体" w:cs="宋体"/>
          <w:color w:val="000000"/>
          <w:lang w:eastAsia="zh-CN"/>
        </w:rPr>
      </w:pPr>
      <w:bookmarkStart w:id="1245" w:name="_Toc29840"/>
      <w:bookmarkStart w:id="1246" w:name="_Toc824057593"/>
      <w:bookmarkStart w:id="1247" w:name="_Toc1011775723"/>
      <w:r>
        <w:rPr>
          <w:rFonts w:ascii="宋体" w:hAnsi="宋体" w:cs="宋体" w:hint="eastAsia"/>
          <w:color w:val="000000"/>
          <w:lang w:eastAsia="zh-CN"/>
        </w:rPr>
        <w:t>3.5 分包</w:t>
      </w:r>
      <w:bookmarkEnd w:id="1245"/>
      <w:bookmarkEnd w:id="1246"/>
      <w:bookmarkEnd w:id="1247"/>
    </w:p>
    <w:p w14:paraId="6544E4B5">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本款修改3.5.1、3.5.2。</w:t>
      </w:r>
    </w:p>
    <w:p w14:paraId="0BEAA059">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3.5.1 分包的一般约定</w:t>
      </w:r>
    </w:p>
    <w:p w14:paraId="6F6E2965">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禁止分包的工程包括：</w:t>
      </w:r>
      <w:r>
        <w:rPr>
          <w:rFonts w:ascii="宋体" w:hAnsi="宋体" w:cs="宋体" w:hint="eastAsia"/>
          <w:color w:val="000000"/>
          <w:lang w:eastAsia="zh-CN"/>
        </w:rPr>
        <w:t>绿化工程、</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FAD666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lang w:eastAsia="zh-CN"/>
        </w:rPr>
        <w:t>主体结构、关键性工作的范围：</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BC3AD66">
      <w:pPr>
        <w:spacing w:line="360" w:lineRule="auto"/>
        <w:ind w:left="-240" w:right="-240" w:leftChars="-100" w:rightChars="-100"/>
        <w:rPr>
          <w:rFonts w:ascii="宋体" w:hAnsi="宋体" w:cs="宋体"/>
          <w:lang w:eastAsia="zh-CN"/>
        </w:rPr>
      </w:pPr>
      <w:r>
        <w:rPr>
          <w:rFonts w:ascii="宋体" w:hAnsi="宋体" w:cs="宋体" w:hint="eastAsia"/>
          <w:lang w:eastAsia="zh-CN"/>
        </w:rPr>
        <w:t xml:space="preserve">    3.5.2 分包的确定</w:t>
      </w:r>
    </w:p>
    <w:p w14:paraId="58E8F00B">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lang w:eastAsia="zh-CN"/>
        </w:rPr>
        <w:t>允许分包的专业工程包括：</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44AD6F1">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涉及分包的工程内容，分包工程承包人的资格应符合国家相关规定。</w:t>
      </w:r>
    </w:p>
    <w:p w14:paraId="70110257">
      <w:pPr>
        <w:spacing w:line="360" w:lineRule="auto"/>
        <w:ind w:left="-240" w:right="-240" w:firstLine="480" w:leftChars="-100" w:rightChars="-100" w:firstLineChars="200"/>
        <w:rPr>
          <w:rFonts w:ascii="宋体" w:hAnsi="宋体" w:cs="宋体"/>
          <w:lang w:eastAsia="zh-CN"/>
        </w:rPr>
      </w:pPr>
      <w:r>
        <w:rPr>
          <w:rFonts w:ascii="宋体" w:hAnsi="宋体" w:cs="宋体" w:hint="eastAsia"/>
          <w:color w:val="000000"/>
          <w:lang w:eastAsia="zh-CN"/>
        </w:rPr>
        <w:t>其他关于分包的约定：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40E4A28">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3.5.4 分包合同价款</w:t>
      </w:r>
    </w:p>
    <w:p w14:paraId="0BCB2FB5">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关于分包合同价款支付的约定：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3ECB8BE">
      <w:pPr>
        <w:spacing w:line="360" w:lineRule="auto"/>
        <w:ind w:left="-240" w:right="-240" w:firstLine="480" w:leftChars="-100" w:rightChars="-100" w:firstLineChars="200"/>
        <w:outlineLvl w:val="2"/>
        <w:rPr>
          <w:rFonts w:ascii="宋体" w:hAnsi="宋体" w:cs="宋体"/>
          <w:color w:val="000000"/>
          <w:lang w:eastAsia="zh-CN"/>
        </w:rPr>
      </w:pPr>
      <w:bookmarkStart w:id="1248" w:name="_Toc30018"/>
      <w:bookmarkStart w:id="1249" w:name="_Toc1926667033"/>
      <w:bookmarkStart w:id="1250" w:name="_Toc1754831627"/>
      <w:r>
        <w:rPr>
          <w:rFonts w:ascii="宋体" w:hAnsi="宋体" w:cs="宋体" w:hint="eastAsia"/>
          <w:color w:val="000000"/>
          <w:lang w:eastAsia="zh-CN"/>
        </w:rPr>
        <w:t>3.6 工程照管与成品、半成品保护</w:t>
      </w:r>
      <w:bookmarkEnd w:id="1248"/>
      <w:bookmarkEnd w:id="1249"/>
      <w:bookmarkEnd w:id="1250"/>
    </w:p>
    <w:p w14:paraId="3762C8AF">
      <w:pPr>
        <w:spacing w:line="360" w:lineRule="auto"/>
        <w:ind w:left="-240" w:right="-240" w:firstLine="480" w:leftChars="-100" w:rightChars="-100" w:firstLineChars="200"/>
        <w:outlineLvl w:val="2"/>
        <w:rPr>
          <w:rFonts w:ascii="宋体" w:hAnsi="宋体" w:cs="宋体"/>
          <w:lang w:eastAsia="zh-CN"/>
        </w:rPr>
      </w:pPr>
      <w:bookmarkStart w:id="1251" w:name="_Toc65997439"/>
      <w:bookmarkStart w:id="1252" w:name="_Toc786970481"/>
      <w:r>
        <w:rPr>
          <w:rFonts w:ascii="宋体" w:hAnsi="宋体" w:cs="宋体" w:hint="eastAsia"/>
          <w:lang w:eastAsia="zh-CN"/>
        </w:rPr>
        <w:t>本款补充3.6.2。</w:t>
      </w:r>
      <w:bookmarkEnd w:id="1251"/>
      <w:bookmarkEnd w:id="1252"/>
    </w:p>
    <w:p w14:paraId="4E902FC9">
      <w:pPr>
        <w:snapToGrid w:val="0"/>
        <w:spacing w:before="120" w:after="120"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3.6.1 承包人负责照管工程及工程相关的材料、工程设备的起始时间：</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6BC783D">
      <w:pPr>
        <w:snapToGrid w:val="0"/>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3.6.2 现状树木的保护起始时间：</w:t>
      </w:r>
      <w:r>
        <w:rPr>
          <w:rFonts w:ascii="宋体" w:hAnsi="宋体" w:cs="宋体" w:hint="eastAsia"/>
          <w:color w:val="00B0F0"/>
          <w:u w:val="single"/>
          <w:lang w:eastAsia="zh-CN"/>
        </w:rPr>
        <w:t xml:space="preserve">                       </w:t>
      </w:r>
      <w:r>
        <w:rPr>
          <w:rFonts w:ascii="宋体" w:hAnsi="宋体" w:cs="宋体" w:hint="eastAsia"/>
          <w:color w:val="000000"/>
          <w:lang w:eastAsia="zh-CN"/>
        </w:rPr>
        <w:t>。 3.7 履约担保</w:t>
      </w:r>
    </w:p>
    <w:p w14:paraId="0005B843">
      <w:pPr>
        <w:snapToGrid w:val="0"/>
        <w:spacing w:line="360" w:lineRule="auto"/>
        <w:ind w:left="-240" w:right="-240" w:leftChars="-100" w:rightChars="-100"/>
        <w:rPr>
          <w:rFonts w:ascii="宋体" w:hAnsi="宋体" w:cs="宋体"/>
          <w:color w:val="000000"/>
          <w:kern w:val="2"/>
          <w:lang w:eastAsia="zh-CN"/>
        </w:rPr>
      </w:pPr>
      <w:r>
        <w:rPr>
          <w:rFonts w:ascii="宋体" w:hAnsi="宋体" w:cs="宋体" w:hint="eastAsia"/>
          <w:color w:val="000000"/>
          <w:lang w:eastAsia="zh-CN"/>
        </w:rPr>
        <w:t>承包人是否提供履约担保：</w:t>
      </w:r>
      <w:r>
        <w:rPr>
          <w:rFonts w:ascii="宋体" w:hAnsi="宋体" w:cs="宋体" w:hint="eastAsia"/>
          <w:color w:val="00B0F0"/>
          <w:u w:val="single"/>
          <w:lang w:eastAsia="zh-CN"/>
        </w:rPr>
        <w:t xml:space="preserve">                       </w:t>
      </w:r>
      <w:r>
        <w:rPr>
          <w:rFonts w:ascii="宋体" w:hAnsi="宋体" w:cs="宋体" w:hint="eastAsia"/>
          <w:color w:val="000000"/>
          <w:lang w:eastAsia="zh-CN"/>
        </w:rPr>
        <w:t>。本款补充：</w:t>
      </w:r>
    </w:p>
    <w:p w14:paraId="54D7E86B">
      <w:pPr>
        <w:snapToGrid w:val="0"/>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履约担保金额及方式：签订合同后</w:t>
      </w:r>
      <w:r>
        <w:rPr>
          <w:rFonts w:ascii="宋体" w:hAnsi="宋体" w:cs="宋体" w:hint="eastAsia"/>
          <w:color w:val="00B0F0"/>
          <w:u w:val="single"/>
          <w:lang w:eastAsia="zh-CN"/>
        </w:rPr>
        <w:t xml:space="preserve">     </w:t>
      </w:r>
      <w:r>
        <w:rPr>
          <w:rFonts w:ascii="宋体" w:hAnsi="宋体" w:cs="宋体" w:hint="eastAsia"/>
          <w:color w:val="000000"/>
          <w:lang w:eastAsia="zh-CN"/>
        </w:rPr>
        <w:t>个工作日内，承包人需提交履约担保人民币</w:t>
      </w:r>
      <w:r>
        <w:rPr>
          <w:rFonts w:ascii="宋体" w:hAnsi="宋体" w:cs="宋体" w:hint="eastAsia"/>
          <w:color w:val="00B0F0"/>
          <w:u w:val="single"/>
          <w:lang w:eastAsia="zh-CN"/>
        </w:rPr>
        <w:t xml:space="preserve">             </w:t>
      </w:r>
      <w:r>
        <w:rPr>
          <w:rFonts w:ascii="宋体" w:hAnsi="宋体" w:cs="宋体" w:hint="eastAsia"/>
          <w:color w:val="000000"/>
          <w:lang w:eastAsia="zh-CN"/>
        </w:rPr>
        <w:t>元（不高于中标价的10 %），以</w:t>
      </w:r>
      <w:r>
        <w:rPr>
          <w:rFonts w:ascii="Wingdings" w:hAnsi="Wingdings" w:cs="宋体"/>
          <w:color w:val="000000"/>
        </w:rPr>
        <w:sym w:font="Wingdings" w:char="F0A8"/>
      </w:r>
      <w:r>
        <w:rPr>
          <w:rFonts w:ascii="宋体" w:hAnsi="宋体" w:cs="宋体" w:hint="eastAsia"/>
          <w:color w:val="000000"/>
          <w:lang w:eastAsia="zh-CN"/>
        </w:rPr>
        <w:t>保函或</w:t>
      </w:r>
      <w:r>
        <w:rPr>
          <w:rFonts w:ascii="Wingdings" w:hAnsi="Wingdings" w:cs="宋体"/>
          <w:color w:val="000000"/>
        </w:rPr>
        <w:sym w:font="Wingdings" w:char="F0A8"/>
      </w:r>
      <w:r>
        <w:rPr>
          <w:rFonts w:ascii="宋体" w:hAnsi="宋体" w:cs="宋体" w:hint="eastAsia"/>
          <w:color w:val="000000"/>
          <w:lang w:eastAsia="zh-CN"/>
        </w:rPr>
        <w:t>保险形式执行。履约担保的有效期至本工程竣工验收合格为止。</w:t>
      </w:r>
    </w:p>
    <w:p w14:paraId="0916DB49">
      <w:pPr>
        <w:pStyle w:val="Heading2"/>
        <w:ind w:left="-240" w:right="-240" w:leftChars="-100" w:rightChars="-100"/>
        <w:rPr>
          <w:rFonts w:ascii="宋体" w:hAnsi="宋体" w:cs="宋体"/>
          <w:b w:val="0"/>
          <w:color w:val="000000"/>
          <w:sz w:val="24"/>
          <w:szCs w:val="24"/>
        </w:rPr>
      </w:pPr>
      <w:bookmarkStart w:id="1253" w:name="_Toc1195865979"/>
      <w:bookmarkStart w:id="1254" w:name="_Toc2142794716"/>
      <w:r>
        <w:rPr>
          <w:rFonts w:ascii="宋体" w:hAnsi="宋体" w:cs="宋体" w:hint="eastAsia"/>
          <w:b w:val="0"/>
          <w:color w:val="000000"/>
          <w:sz w:val="24"/>
          <w:szCs w:val="24"/>
        </w:rPr>
        <w:t>4. 监理人</w:t>
      </w:r>
      <w:bookmarkEnd w:id="1253"/>
      <w:bookmarkEnd w:id="1254"/>
    </w:p>
    <w:p w14:paraId="780BF826">
      <w:pPr>
        <w:spacing w:line="360" w:lineRule="auto"/>
        <w:ind w:left="-240" w:right="-240" w:firstLine="480" w:leftChars="-100" w:rightChars="-100" w:firstLineChars="200"/>
        <w:outlineLvl w:val="2"/>
        <w:rPr>
          <w:rFonts w:ascii="宋体" w:hAnsi="宋体" w:cs="宋体"/>
          <w:color w:val="000000"/>
          <w:lang w:eastAsia="zh-CN"/>
        </w:rPr>
      </w:pPr>
      <w:bookmarkStart w:id="1255" w:name="_Toc189823449"/>
      <w:bookmarkStart w:id="1256" w:name="_Toc22333"/>
      <w:bookmarkStart w:id="1257" w:name="_Toc1325789808"/>
      <w:r>
        <w:rPr>
          <w:rFonts w:ascii="宋体" w:hAnsi="宋体" w:cs="宋体" w:hint="eastAsia"/>
          <w:color w:val="000000"/>
          <w:lang w:eastAsia="zh-CN"/>
        </w:rPr>
        <w:t>4.1 监理人的一般规定</w:t>
      </w:r>
      <w:bookmarkEnd w:id="1255"/>
      <w:bookmarkEnd w:id="1256"/>
      <w:bookmarkEnd w:id="1257"/>
    </w:p>
    <w:p w14:paraId="1CE33CE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关于监理人的监理内容：</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F6A39A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关于监理人的监理权限：</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w:t>
      </w:r>
    </w:p>
    <w:p w14:paraId="7CDABE7A">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关于监理人在施工现场的办公场所、生活场所的提供和费用承担的约定：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8CE454E">
      <w:pPr>
        <w:spacing w:line="360" w:lineRule="auto"/>
        <w:ind w:left="-240" w:right="-240" w:firstLine="480" w:leftChars="-100" w:rightChars="-100" w:firstLineChars="200"/>
        <w:outlineLvl w:val="2"/>
        <w:rPr>
          <w:rFonts w:ascii="宋体" w:hAnsi="宋体" w:cs="宋体"/>
          <w:color w:val="000000"/>
          <w:lang w:eastAsia="zh-CN"/>
        </w:rPr>
      </w:pPr>
      <w:bookmarkStart w:id="1258" w:name="_Toc1275710936"/>
      <w:bookmarkStart w:id="1259" w:name="_Toc1416"/>
      <w:bookmarkStart w:id="1260" w:name="_Toc1881790026"/>
      <w:r>
        <w:rPr>
          <w:rFonts w:ascii="宋体" w:hAnsi="宋体" w:cs="宋体" w:hint="eastAsia"/>
          <w:color w:val="000000"/>
          <w:lang w:eastAsia="zh-CN"/>
        </w:rPr>
        <w:t>4.2 监理人员</w:t>
      </w:r>
      <w:bookmarkEnd w:id="1258"/>
      <w:bookmarkEnd w:id="1259"/>
      <w:bookmarkEnd w:id="1260"/>
    </w:p>
    <w:p w14:paraId="3D3896B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关于监理人的其他约定：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FC0E27E">
      <w:pPr>
        <w:spacing w:line="360" w:lineRule="auto"/>
        <w:ind w:left="-240" w:right="-240" w:firstLine="480" w:leftChars="-100" w:rightChars="-100" w:firstLineChars="200"/>
        <w:outlineLvl w:val="2"/>
        <w:rPr>
          <w:rFonts w:ascii="宋体" w:hAnsi="宋体" w:cs="宋体"/>
          <w:color w:val="000000"/>
          <w:lang w:eastAsia="zh-CN"/>
        </w:rPr>
      </w:pPr>
      <w:bookmarkStart w:id="1261" w:name="_Toc351297407"/>
      <w:bookmarkStart w:id="1262" w:name="_Toc20339"/>
      <w:bookmarkStart w:id="1263" w:name="_Toc1839233093"/>
      <w:r>
        <w:rPr>
          <w:rFonts w:ascii="宋体" w:hAnsi="宋体" w:cs="宋体" w:hint="eastAsia"/>
          <w:color w:val="000000"/>
          <w:lang w:eastAsia="zh-CN"/>
        </w:rPr>
        <w:t>4.4 商定或确定</w:t>
      </w:r>
      <w:bookmarkEnd w:id="1261"/>
      <w:bookmarkEnd w:id="1262"/>
      <w:bookmarkEnd w:id="1263"/>
    </w:p>
    <w:p w14:paraId="6947FD06">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在发包人和承包人不能通过协商达成一致意见时，发包人授权监理人对以下事项进行确定：</w:t>
      </w:r>
    </w:p>
    <w:p w14:paraId="222E704D">
      <w:pPr>
        <w:autoSpaceDE w:val="0"/>
        <w:autoSpaceDN w:val="0"/>
        <w:adjustRightInd w:val="0"/>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89309E8">
      <w:pPr>
        <w:autoSpaceDE w:val="0"/>
        <w:autoSpaceDN w:val="0"/>
        <w:adjustRightInd w:val="0"/>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FABE28E">
      <w:pPr>
        <w:autoSpaceDE w:val="0"/>
        <w:autoSpaceDN w:val="0"/>
        <w:adjustRightInd w:val="0"/>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（3）</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C19384E">
      <w:pPr>
        <w:pStyle w:val="Heading2"/>
        <w:ind w:left="-240" w:right="-240" w:leftChars="-100" w:rightChars="-100"/>
        <w:rPr>
          <w:rFonts w:ascii="宋体" w:hAnsi="宋体" w:cs="宋体"/>
          <w:b w:val="0"/>
          <w:color w:val="000000"/>
          <w:sz w:val="24"/>
          <w:szCs w:val="24"/>
        </w:rPr>
      </w:pPr>
      <w:bookmarkStart w:id="1264" w:name="_Toc441549874"/>
      <w:bookmarkStart w:id="1265" w:name="_Toc1767461773"/>
      <w:r>
        <w:rPr>
          <w:rFonts w:ascii="宋体" w:hAnsi="宋体" w:cs="宋体" w:hint="eastAsia"/>
          <w:b w:val="0"/>
          <w:color w:val="000000"/>
          <w:sz w:val="24"/>
          <w:szCs w:val="24"/>
        </w:rPr>
        <w:t>5. 工程质量</w:t>
      </w:r>
      <w:bookmarkEnd w:id="1264"/>
      <w:bookmarkEnd w:id="1265"/>
    </w:p>
    <w:p w14:paraId="11EEBA6E">
      <w:pPr>
        <w:spacing w:line="360" w:lineRule="auto"/>
        <w:ind w:left="-240" w:right="-240" w:firstLine="480" w:leftChars="-100" w:rightChars="-100" w:firstLineChars="200"/>
        <w:outlineLvl w:val="2"/>
        <w:rPr>
          <w:rFonts w:ascii="宋体" w:hAnsi="宋体" w:cs="宋体"/>
          <w:color w:val="000000"/>
          <w:lang w:eastAsia="zh-CN"/>
        </w:rPr>
      </w:pPr>
      <w:bookmarkStart w:id="1266" w:name="_Toc18820"/>
      <w:bookmarkStart w:id="1267" w:name="_Toc928117446"/>
      <w:bookmarkStart w:id="1268" w:name="_Toc1592482993"/>
      <w:r>
        <w:rPr>
          <w:rFonts w:ascii="宋体" w:hAnsi="宋体" w:cs="宋体" w:hint="eastAsia"/>
          <w:color w:val="000000"/>
          <w:lang w:eastAsia="zh-CN"/>
        </w:rPr>
        <w:t>5.1 质量要求</w:t>
      </w:r>
      <w:bookmarkEnd w:id="1266"/>
      <w:bookmarkEnd w:id="1267"/>
      <w:bookmarkEnd w:id="1268"/>
    </w:p>
    <w:p w14:paraId="0F43E18F">
      <w:pPr>
        <w:spacing w:line="360" w:lineRule="auto"/>
        <w:ind w:left="-240" w:right="-240" w:firstLine="480" w:leftChars="-100" w:rightChars="-100" w:firstLineChars="200"/>
        <w:rPr>
          <w:rFonts w:ascii="宋体" w:hAnsi="宋体" w:cs="宋体"/>
          <w:u w:val="single"/>
          <w:lang w:eastAsia="zh-CN"/>
        </w:rPr>
      </w:pPr>
      <w:r>
        <w:rPr>
          <w:rFonts w:ascii="宋体" w:hAnsi="宋体" w:cs="宋体" w:hint="eastAsia"/>
          <w:lang w:eastAsia="zh-CN"/>
        </w:rPr>
        <w:t>5.1.1 特殊质量标准和要求：</w:t>
      </w:r>
      <w:r>
        <w:rPr>
          <w:rFonts w:ascii="宋体" w:hAnsi="宋体" w:cs="宋体" w:hint="eastAsia"/>
          <w:color w:val="00B0F0"/>
          <w:u w:val="single"/>
          <w:lang w:eastAsia="zh-CN"/>
        </w:rPr>
        <w:t xml:space="preserve">                             </w:t>
      </w:r>
      <w:r>
        <w:rPr>
          <w:rFonts w:ascii="宋体" w:hAnsi="宋体" w:cs="宋体" w:hint="eastAsia"/>
          <w:lang w:eastAsia="zh-CN"/>
        </w:rPr>
        <w:t>。</w:t>
      </w:r>
    </w:p>
    <w:p w14:paraId="4ACFE8F3">
      <w:pPr>
        <w:spacing w:line="360" w:lineRule="auto"/>
        <w:ind w:left="-240" w:right="-240" w:firstLine="480" w:leftChars="-100" w:rightChars="-100" w:firstLineChars="200"/>
        <w:rPr>
          <w:rFonts w:ascii="宋体" w:hAnsi="宋体" w:cs="宋体"/>
          <w:u w:val="single"/>
          <w:lang w:eastAsia="zh-CN"/>
        </w:rPr>
      </w:pPr>
      <w:r>
        <w:rPr>
          <w:rFonts w:ascii="宋体" w:hAnsi="宋体" w:cs="宋体" w:hint="eastAsia"/>
          <w:lang w:eastAsia="zh-CN"/>
        </w:rPr>
        <w:t>关于工程奖项的约定：</w:t>
      </w:r>
      <w:r>
        <w:rPr>
          <w:rFonts w:ascii="宋体" w:hAnsi="宋体" w:cs="宋体" w:hint="eastAsia"/>
          <w:color w:val="00B0F0"/>
          <w:u w:val="single"/>
          <w:lang w:eastAsia="zh-CN"/>
        </w:rPr>
        <w:t xml:space="preserve">                             </w:t>
      </w:r>
      <w:r>
        <w:rPr>
          <w:rFonts w:ascii="宋体" w:hAnsi="宋体" w:cs="宋体" w:hint="eastAsia"/>
          <w:lang w:eastAsia="zh-CN"/>
        </w:rPr>
        <w:t>。</w:t>
      </w:r>
    </w:p>
    <w:p w14:paraId="165128D9">
      <w:pPr>
        <w:spacing w:line="360" w:lineRule="auto"/>
        <w:ind w:left="-240" w:right="-240" w:firstLine="480" w:leftChars="-100" w:rightChars="-100" w:firstLineChars="200"/>
        <w:outlineLvl w:val="2"/>
        <w:rPr>
          <w:rFonts w:ascii="宋体" w:hAnsi="宋体" w:cs="宋体"/>
          <w:color w:val="000000"/>
          <w:lang w:eastAsia="zh-CN"/>
        </w:rPr>
      </w:pPr>
      <w:bookmarkStart w:id="1269" w:name="_Toc1292415266"/>
      <w:bookmarkStart w:id="1270" w:name="_Toc462538044"/>
      <w:bookmarkStart w:id="1271" w:name="_Toc15546"/>
      <w:r>
        <w:rPr>
          <w:rFonts w:ascii="宋体" w:hAnsi="宋体" w:cs="宋体" w:hint="eastAsia"/>
          <w:color w:val="000000"/>
          <w:lang w:eastAsia="zh-CN"/>
        </w:rPr>
        <w:t>5.3 隐蔽工程检查</w:t>
      </w:r>
      <w:bookmarkEnd w:id="1269"/>
      <w:bookmarkEnd w:id="1270"/>
      <w:bookmarkEnd w:id="1271"/>
    </w:p>
    <w:p w14:paraId="13F12750">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5.3.2 承包人提前通知监理人隐蔽工程检查的期限的约定：</w:t>
      </w:r>
      <w:r>
        <w:rPr>
          <w:rFonts w:ascii="宋体" w:hAnsi="宋体" w:cs="宋体" w:hint="eastAsia"/>
          <w:color w:val="00B0F0"/>
          <w:u w:val="single"/>
          <w:lang w:eastAsia="zh-CN"/>
        </w:rPr>
        <w:t xml:space="preserve">                             </w:t>
      </w:r>
      <w:r>
        <w:rPr>
          <w:rFonts w:ascii="宋体" w:hAnsi="宋体" w:cs="宋体" w:hint="eastAsia"/>
          <w:lang w:eastAsia="zh-CN"/>
        </w:rPr>
        <w:t>。</w:t>
      </w:r>
    </w:p>
    <w:p w14:paraId="4D57DDD8">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监理人不能按时进行检查时，应提前</w:t>
      </w:r>
      <w:r>
        <w:rPr>
          <w:rFonts w:ascii="宋体" w:hAnsi="宋体" w:cs="宋体" w:hint="eastAsia"/>
          <w:color w:val="00B0F0"/>
          <w:u w:val="single"/>
          <w:lang w:eastAsia="zh-CN"/>
        </w:rPr>
        <w:t xml:space="preserve">    </w:t>
      </w:r>
      <w:r>
        <w:rPr>
          <w:rFonts w:ascii="宋体" w:hAnsi="宋体" w:cs="宋体" w:hint="eastAsia"/>
          <w:lang w:eastAsia="zh-CN"/>
        </w:rPr>
        <w:t>小时提交书面延期要求。</w:t>
      </w:r>
    </w:p>
    <w:p w14:paraId="408BC8F1">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关于延期最长不得超过：</w:t>
      </w:r>
      <w:r>
        <w:rPr>
          <w:rFonts w:ascii="宋体" w:hAnsi="宋体" w:cs="宋体" w:hint="eastAsia"/>
          <w:color w:val="00B0F0"/>
          <w:u w:val="single"/>
          <w:lang w:eastAsia="zh-CN"/>
        </w:rPr>
        <w:t xml:space="preserve">    </w:t>
      </w:r>
      <w:r>
        <w:rPr>
          <w:rFonts w:ascii="宋体" w:hAnsi="宋体" w:cs="宋体" w:hint="eastAsia"/>
          <w:lang w:eastAsia="zh-CN"/>
        </w:rPr>
        <w:t>小时。</w:t>
      </w:r>
    </w:p>
    <w:p w14:paraId="27EAA104">
      <w:pPr>
        <w:pStyle w:val="Heading2"/>
        <w:ind w:left="-240" w:right="-240" w:leftChars="-100" w:rightChars="-100"/>
        <w:rPr>
          <w:rFonts w:ascii="宋体" w:hAnsi="宋体" w:cs="宋体"/>
          <w:b w:val="0"/>
          <w:color w:val="000000"/>
          <w:sz w:val="24"/>
          <w:szCs w:val="24"/>
        </w:rPr>
      </w:pPr>
      <w:bookmarkStart w:id="1272" w:name="_Toc1885616336"/>
      <w:bookmarkStart w:id="1273" w:name="_Toc714606691"/>
      <w:r>
        <w:rPr>
          <w:rFonts w:ascii="宋体" w:hAnsi="宋体" w:cs="宋体" w:hint="eastAsia"/>
          <w:b w:val="0"/>
          <w:color w:val="000000"/>
          <w:sz w:val="24"/>
          <w:szCs w:val="24"/>
        </w:rPr>
        <w:t>6. 安全文明施工与环境保护</w:t>
      </w:r>
      <w:bookmarkEnd w:id="1272"/>
      <w:bookmarkEnd w:id="1273"/>
    </w:p>
    <w:p w14:paraId="596B3685">
      <w:pPr>
        <w:spacing w:line="360" w:lineRule="auto"/>
        <w:ind w:left="-240" w:right="-240" w:firstLine="480" w:leftChars="-100" w:rightChars="-100" w:firstLineChars="200"/>
        <w:outlineLvl w:val="2"/>
        <w:rPr>
          <w:rFonts w:ascii="宋体" w:hAnsi="宋体" w:cs="宋体"/>
          <w:color w:val="000000"/>
          <w:lang w:eastAsia="zh-CN"/>
        </w:rPr>
      </w:pPr>
      <w:bookmarkStart w:id="1274" w:name="_Toc552749545"/>
      <w:bookmarkStart w:id="1275" w:name="_Toc11638"/>
      <w:bookmarkStart w:id="1276" w:name="_Toc526548747"/>
      <w:r>
        <w:rPr>
          <w:rFonts w:ascii="宋体" w:hAnsi="宋体" w:cs="宋体" w:hint="eastAsia"/>
          <w:color w:val="000000"/>
          <w:lang w:eastAsia="zh-CN"/>
        </w:rPr>
        <w:t>6.1 安全文明施工</w:t>
      </w:r>
      <w:bookmarkEnd w:id="1274"/>
      <w:bookmarkEnd w:id="1275"/>
      <w:bookmarkEnd w:id="1276"/>
    </w:p>
    <w:p w14:paraId="5831F0C5">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6.1.1</w:t>
      </w:r>
      <w:r>
        <w:rPr>
          <w:rFonts w:ascii="宋体" w:hAnsi="宋体" w:cs="宋体" w:hint="eastAsia"/>
          <w:color w:val="000000"/>
          <w:lang w:eastAsia="zh-CN"/>
        </w:rPr>
        <w:t xml:space="preserve"> 项目安全生产的达标目标及相应事项的约定：</w:t>
      </w:r>
      <w:r>
        <w:rPr>
          <w:rFonts w:ascii="宋体" w:hAnsi="宋体" w:cs="宋体" w:hint="eastAsia"/>
          <w:color w:val="00B0F0"/>
          <w:u w:val="single"/>
          <w:lang w:eastAsia="zh-CN"/>
        </w:rPr>
        <w:t xml:space="preserve">                             </w:t>
      </w:r>
      <w:r>
        <w:rPr>
          <w:rFonts w:ascii="宋体" w:hAnsi="宋体" w:cs="宋体" w:hint="eastAsia"/>
          <w:lang w:eastAsia="zh-CN"/>
        </w:rPr>
        <w:t>。</w:t>
      </w:r>
    </w:p>
    <w:p w14:paraId="53A32A07">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6.1.4 关于治安保卫的特别约定：</w:t>
      </w:r>
      <w:r>
        <w:rPr>
          <w:rFonts w:ascii="宋体" w:hAnsi="宋体" w:cs="宋体" w:hint="eastAsia"/>
          <w:color w:val="00B0F0"/>
          <w:u w:val="single"/>
          <w:lang w:eastAsia="zh-CN"/>
        </w:rPr>
        <w:t xml:space="preserve">                             </w:t>
      </w:r>
      <w:r>
        <w:rPr>
          <w:rFonts w:ascii="宋体" w:hAnsi="宋体" w:cs="宋体" w:hint="eastAsia"/>
          <w:lang w:eastAsia="zh-CN"/>
        </w:rPr>
        <w:t>。</w:t>
      </w:r>
    </w:p>
    <w:p w14:paraId="7CC1861B">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关于编制施工场地治安管理计划的约定：</w:t>
      </w:r>
      <w:r>
        <w:rPr>
          <w:rFonts w:ascii="宋体" w:hAnsi="宋体" w:cs="宋体" w:hint="eastAsia"/>
          <w:color w:val="00B0F0"/>
          <w:u w:val="single"/>
          <w:lang w:eastAsia="zh-CN"/>
        </w:rPr>
        <w:t xml:space="preserve">                             </w:t>
      </w:r>
      <w:r>
        <w:rPr>
          <w:rFonts w:ascii="宋体" w:hAnsi="宋体" w:cs="宋体" w:hint="eastAsia"/>
          <w:lang w:eastAsia="zh-CN"/>
        </w:rPr>
        <w:t>。</w:t>
      </w:r>
    </w:p>
    <w:p w14:paraId="296CBC99">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6.1.5 文明施工</w:t>
      </w:r>
    </w:p>
    <w:p w14:paraId="2688AAE0">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合同当事人对文明施工的要求：</w:t>
      </w:r>
      <w:r>
        <w:rPr>
          <w:rFonts w:ascii="宋体" w:hAnsi="宋体" w:cs="宋体" w:hint="eastAsia"/>
          <w:color w:val="00B0F0"/>
          <w:u w:val="single"/>
          <w:lang w:eastAsia="zh-CN"/>
        </w:rPr>
        <w:t xml:space="preserve">                             </w:t>
      </w:r>
      <w:r>
        <w:rPr>
          <w:rFonts w:ascii="宋体" w:hAnsi="宋体" w:cs="宋体" w:hint="eastAsia"/>
          <w:lang w:eastAsia="zh-CN"/>
        </w:rPr>
        <w:t>。</w:t>
      </w:r>
    </w:p>
    <w:p w14:paraId="7B51CB62">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6.1.6 关于安全文明施工费支付比例和支付期限的约定：</w:t>
      </w:r>
      <w:r>
        <w:rPr>
          <w:rFonts w:ascii="宋体" w:hAnsi="宋体" w:cs="宋体" w:hint="eastAsia"/>
          <w:color w:val="00B0F0"/>
          <w:u w:val="single"/>
          <w:lang w:eastAsia="zh-CN"/>
        </w:rPr>
        <w:t xml:space="preserve">                             </w:t>
      </w:r>
      <w:r>
        <w:rPr>
          <w:rFonts w:ascii="宋体" w:hAnsi="宋体" w:cs="宋体" w:hint="eastAsia"/>
          <w:lang w:eastAsia="zh-CN"/>
        </w:rPr>
        <w:t>。</w:t>
      </w:r>
    </w:p>
    <w:p w14:paraId="5D6E2434">
      <w:pPr>
        <w:spacing w:line="360" w:lineRule="auto"/>
        <w:ind w:left="-240" w:right="-240" w:firstLine="480" w:leftChars="-100" w:rightChars="-100" w:firstLineChars="200"/>
        <w:outlineLvl w:val="2"/>
        <w:rPr>
          <w:rFonts w:ascii="宋体" w:hAnsi="宋体" w:cs="宋体"/>
          <w:color w:val="000000"/>
          <w:lang w:eastAsia="zh-CN"/>
        </w:rPr>
      </w:pPr>
      <w:bookmarkStart w:id="1277" w:name="_Toc584454933"/>
      <w:bookmarkStart w:id="1278" w:name="_Toc1716959566"/>
      <w:r>
        <w:rPr>
          <w:rFonts w:ascii="宋体" w:hAnsi="宋体" w:cs="宋体" w:hint="eastAsia"/>
          <w:color w:val="000000"/>
          <w:lang w:eastAsia="zh-CN"/>
        </w:rPr>
        <w:t>6.3 环境保护</w:t>
      </w:r>
      <w:bookmarkEnd w:id="1277"/>
      <w:bookmarkEnd w:id="1278"/>
    </w:p>
    <w:p w14:paraId="2B3F3828">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本款补充：</w:t>
      </w:r>
    </w:p>
    <w:p w14:paraId="37B3CED1">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合同当事人对农药、肥料的使用要求：</w:t>
      </w:r>
      <w:r>
        <w:rPr>
          <w:rFonts w:ascii="宋体" w:hAnsi="宋体" w:cs="宋体" w:hint="eastAsia"/>
          <w:color w:val="00B0F0"/>
          <w:u w:val="single"/>
          <w:lang w:eastAsia="zh-CN"/>
        </w:rPr>
        <w:t xml:space="preserve">                             </w:t>
      </w:r>
      <w:r>
        <w:rPr>
          <w:rFonts w:ascii="宋体" w:hAnsi="宋体" w:cs="宋体" w:hint="eastAsia"/>
          <w:lang w:eastAsia="zh-CN"/>
        </w:rPr>
        <w:t>。</w:t>
      </w:r>
    </w:p>
    <w:p w14:paraId="52C10701">
      <w:pPr>
        <w:pStyle w:val="Heading2"/>
        <w:numPr>
          <w:ilvl w:val="0"/>
          <w:numId w:val="4"/>
        </w:numPr>
        <w:ind w:left="-240" w:right="-240" w:leftChars="-100" w:rightChars="-100"/>
        <w:rPr>
          <w:rFonts w:ascii="宋体" w:hAnsi="宋体" w:cs="宋体"/>
          <w:b w:val="0"/>
          <w:color w:val="000000"/>
          <w:sz w:val="24"/>
          <w:szCs w:val="24"/>
        </w:rPr>
      </w:pPr>
      <w:bookmarkStart w:id="1279" w:name="_Toc309374293"/>
      <w:bookmarkStart w:id="1280" w:name="_Toc1019739217"/>
      <w:r>
        <w:rPr>
          <w:rFonts w:ascii="宋体" w:hAnsi="宋体" w:cs="宋体" w:hint="eastAsia"/>
          <w:b w:val="0"/>
          <w:color w:val="000000"/>
          <w:sz w:val="24"/>
          <w:szCs w:val="24"/>
        </w:rPr>
        <w:t>工期和进度</w:t>
      </w:r>
      <w:bookmarkEnd w:id="1279"/>
      <w:bookmarkEnd w:id="1280"/>
    </w:p>
    <w:p w14:paraId="5DD1A0BB">
      <w:pPr>
        <w:spacing w:line="360" w:lineRule="auto"/>
        <w:ind w:left="-240" w:right="-240" w:firstLine="480" w:leftChars="-100" w:rightChars="-100" w:firstLineChars="200"/>
        <w:outlineLvl w:val="2"/>
        <w:rPr>
          <w:rFonts w:ascii="宋体" w:hAnsi="宋体" w:cs="宋体"/>
          <w:color w:val="000000"/>
        </w:rPr>
      </w:pPr>
      <w:bookmarkStart w:id="1281" w:name="_Toc20685"/>
      <w:bookmarkStart w:id="1282" w:name="_Toc152004302"/>
      <w:bookmarkStart w:id="1283" w:name="_Toc829052215"/>
      <w:r>
        <w:rPr>
          <w:rFonts w:ascii="宋体" w:hAnsi="宋体" w:cs="宋体" w:hint="eastAsia"/>
          <w:color w:val="000000"/>
        </w:rPr>
        <w:t>7.1 施工组织设计</w:t>
      </w:r>
      <w:bookmarkEnd w:id="1281"/>
      <w:bookmarkEnd w:id="1282"/>
      <w:bookmarkEnd w:id="1283"/>
    </w:p>
    <w:p w14:paraId="0C6FD3F8">
      <w:pPr>
        <w:spacing w:line="360" w:lineRule="auto"/>
        <w:ind w:left="-240" w:right="-240" w:firstLine="480" w:leftChars="-100" w:rightChars="-100" w:firstLineChars="200"/>
        <w:outlineLvl w:val="2"/>
        <w:rPr>
          <w:rFonts w:ascii="宋体" w:hAnsi="宋体" w:cs="宋体"/>
          <w:color w:val="000000"/>
          <w:lang w:eastAsia="zh-CN"/>
        </w:rPr>
      </w:pPr>
      <w:bookmarkStart w:id="1284" w:name="_Toc429268490"/>
      <w:bookmarkStart w:id="1285" w:name="_Toc1441533854"/>
      <w:r>
        <w:rPr>
          <w:rFonts w:ascii="宋体" w:hAnsi="宋体" w:cs="宋体" w:hint="eastAsia"/>
          <w:color w:val="000000"/>
          <w:lang w:eastAsia="zh-CN"/>
        </w:rPr>
        <w:t>本款修改7.1.1。</w:t>
      </w:r>
      <w:bookmarkEnd w:id="1284"/>
      <w:bookmarkEnd w:id="1285"/>
    </w:p>
    <w:p w14:paraId="28026093">
      <w:pPr>
        <w:spacing w:line="360" w:lineRule="auto"/>
        <w:ind w:left="-240" w:right="-240" w:firstLine="480" w:leftChars="-100" w:rightChars="-100" w:firstLineChars="200"/>
        <w:outlineLvl w:val="2"/>
        <w:rPr>
          <w:rFonts w:ascii="宋体" w:hAnsi="宋体" w:cs="宋体"/>
          <w:color w:val="000000"/>
          <w:lang w:eastAsia="zh-CN"/>
        </w:rPr>
      </w:pPr>
      <w:bookmarkStart w:id="1286" w:name="_Toc1337492230"/>
      <w:bookmarkStart w:id="1287" w:name="_Toc856803142"/>
      <w:r>
        <w:rPr>
          <w:rFonts w:ascii="宋体" w:hAnsi="宋体" w:cs="宋体" w:hint="eastAsia"/>
          <w:color w:val="000000"/>
          <w:lang w:eastAsia="zh-CN"/>
        </w:rPr>
        <w:t>7.1.1 工程涉及以下内容的，合同当事人约定的施工组织设计还应包括此类工程内容的专项施工方案：</w:t>
      </w:r>
      <w:bookmarkEnd w:id="1286"/>
      <w:bookmarkEnd w:id="1287"/>
    </w:p>
    <w:p w14:paraId="03A3915D">
      <w:pPr>
        <w:spacing w:line="360" w:lineRule="auto"/>
        <w:ind w:left="-240" w:right="-240" w:firstLine="480" w:leftChars="-100" w:rightChars="-100" w:firstLineChars="200"/>
        <w:outlineLvl w:val="2"/>
        <w:rPr>
          <w:rFonts w:ascii="宋体" w:hAnsi="宋体" w:cs="宋体"/>
          <w:kern w:val="2"/>
          <w:lang w:eastAsia="zh-CN"/>
        </w:rPr>
      </w:pPr>
      <w:bookmarkStart w:id="1288" w:name="_Toc650023867"/>
      <w:bookmarkStart w:id="1289" w:name="_Toc1488833316"/>
      <w:sdt>
        <w:sdtPr>
          <w:rPr>
            <w:rFonts w:ascii="宋体" w:hAnsi="宋体" w:cs="宋体" w:hint="eastAsia"/>
            <w:lang w:eastAsia="zh-CN"/>
          </w:rPr>
          <w:id w:val="1701504669"/>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现状树木保护；</w:t>
      </w:r>
      <w:bookmarkEnd w:id="1288"/>
      <w:bookmarkEnd w:id="1289"/>
    </w:p>
    <w:p w14:paraId="60247EEA">
      <w:pPr>
        <w:spacing w:line="360" w:lineRule="auto"/>
        <w:ind w:left="-240" w:right="-240" w:firstLine="480" w:leftChars="-100" w:rightChars="-100" w:firstLineChars="200"/>
        <w:outlineLvl w:val="2"/>
        <w:rPr>
          <w:rFonts w:ascii="宋体" w:hAnsi="宋体" w:cs="宋体"/>
          <w:lang w:eastAsia="zh-CN"/>
        </w:rPr>
      </w:pPr>
      <w:bookmarkStart w:id="1290" w:name="_Toc382208328"/>
      <w:bookmarkStart w:id="1291" w:name="_Toc266056742"/>
      <w:sdt>
        <w:sdtPr>
          <w:rPr>
            <w:rFonts w:ascii="宋体" w:hAnsi="宋体" w:cs="宋体" w:hint="eastAsia"/>
            <w:lang w:eastAsia="zh-CN"/>
          </w:rPr>
          <w:id w:val="-1005743626"/>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古树名木保护;</w:t>
      </w:r>
      <w:bookmarkEnd w:id="1290"/>
      <w:bookmarkEnd w:id="1291"/>
    </w:p>
    <w:p w14:paraId="6C33A5FF">
      <w:pPr>
        <w:spacing w:line="360" w:lineRule="auto"/>
        <w:ind w:left="-240" w:right="-240" w:firstLine="480" w:leftChars="-100" w:rightChars="-100" w:firstLineChars="200"/>
        <w:outlineLvl w:val="2"/>
        <w:rPr>
          <w:rFonts w:ascii="宋体" w:hAnsi="宋体" w:cs="宋体"/>
          <w:lang w:eastAsia="zh-CN"/>
        </w:rPr>
      </w:pPr>
      <w:bookmarkStart w:id="1292" w:name="_Toc1137515080"/>
      <w:bookmarkStart w:id="1293" w:name="_Toc1350692319"/>
      <w:sdt>
        <w:sdtPr>
          <w:rPr>
            <w:rFonts w:ascii="宋体" w:hAnsi="宋体" w:cs="宋体" w:hint="eastAsia"/>
            <w:lang w:eastAsia="zh-CN"/>
          </w:rPr>
          <w:id w:val="1931845218"/>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土壤改良;</w:t>
      </w:r>
      <w:bookmarkEnd w:id="1292"/>
      <w:bookmarkEnd w:id="1293"/>
    </w:p>
    <w:p w14:paraId="14E1D856">
      <w:pPr>
        <w:spacing w:line="360" w:lineRule="auto"/>
        <w:ind w:left="-240" w:right="-240" w:firstLine="480" w:leftChars="-100" w:rightChars="-100" w:firstLineChars="200"/>
        <w:outlineLvl w:val="2"/>
        <w:rPr>
          <w:rFonts w:ascii="宋体" w:hAnsi="宋体" w:cs="宋体"/>
          <w:color w:val="000000"/>
          <w:lang w:eastAsia="zh-CN"/>
        </w:rPr>
      </w:pPr>
      <w:bookmarkStart w:id="1294" w:name="_Toc1673538922"/>
      <w:bookmarkStart w:id="1295" w:name="_Toc630504734"/>
      <w:sdt>
        <w:sdtPr>
          <w:rPr>
            <w:rFonts w:ascii="宋体" w:hAnsi="宋体" w:cs="宋体" w:hint="eastAsia"/>
            <w:lang w:eastAsia="zh-CN"/>
          </w:rPr>
          <w:id w:val="74722637"/>
          <w14:checkbox>
            <w14:checked w14:val="0"/>
            <w14:checkedState w14:val="2611" w14:font="MS Gothic"/>
            <w14:uncheckedState w14:val="2610" w14:font="MS Gothic"/>
          </w14:checkbox>
        </w:sdtPr>
        <w:sdtEndPr>
          <w:rPr>
            <w:rFonts w:ascii="宋体" w:hAnsi="宋体" w:cs="宋体" w:hint="eastAsia"/>
            <w:lang w:eastAsia="zh-CN"/>
          </w:rPr>
        </w:sdtEndPr>
        <w:sdtContent>
          <w:r>
            <w:rPr>
              <w:rFonts w:ascii="MS Gothic" w:eastAsia="MS Gothic" w:hAnsi="MS Gothic" w:cs="MS Gothic" w:hint="eastAsia"/>
              <w:lang w:eastAsia="zh-CN"/>
            </w:rPr>
            <w:t>☐</w:t>
          </w:r>
        </w:sdtContent>
      </w:sdt>
      <w:r>
        <w:rPr>
          <w:rFonts w:ascii="宋体" w:hAnsi="宋体" w:cs="宋体" w:hint="eastAsia"/>
          <w:lang w:eastAsia="zh-CN"/>
        </w:rPr>
        <w:t>其他内容：</w:t>
      </w:r>
      <w:r>
        <w:rPr>
          <w:rFonts w:ascii="宋体" w:hAnsi="宋体" w:cs="宋体" w:hint="eastAsia"/>
          <w:color w:val="00B0F0"/>
          <w:u w:val="single"/>
          <w:lang w:eastAsia="zh-CN"/>
        </w:rPr>
        <w:t xml:space="preserve">                             </w:t>
      </w:r>
      <w:r>
        <w:rPr>
          <w:rFonts w:ascii="宋体" w:hAnsi="宋体" w:cs="宋体" w:hint="eastAsia"/>
          <w:lang w:eastAsia="zh-CN"/>
        </w:rPr>
        <w:t>。</w:t>
      </w:r>
      <w:bookmarkEnd w:id="1294"/>
      <w:bookmarkEnd w:id="1295"/>
    </w:p>
    <w:p w14:paraId="10163006">
      <w:pPr>
        <w:autoSpaceDE w:val="0"/>
        <w:autoSpaceDN w:val="0"/>
        <w:adjustRightInd w:val="0"/>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lang w:eastAsia="zh-CN"/>
        </w:rPr>
        <w:t>7.1.2</w:t>
      </w:r>
      <w:r>
        <w:rPr>
          <w:rFonts w:ascii="宋体" w:hAnsi="宋体" w:cs="宋体" w:hint="eastAsia"/>
          <w:color w:val="000000"/>
          <w:lang w:eastAsia="zh-CN"/>
        </w:rPr>
        <w:t xml:space="preserve"> 施工组织设计的提交和修改</w:t>
      </w:r>
    </w:p>
    <w:p w14:paraId="59D7747B">
      <w:pPr>
        <w:autoSpaceDE w:val="0"/>
        <w:autoSpaceDN w:val="0"/>
        <w:adjustRightInd w:val="0"/>
        <w:spacing w:line="360" w:lineRule="auto"/>
        <w:ind w:left="-240" w:right="-240" w:firstLine="480" w:leftChars="-100" w:rightChars="-100" w:firstLineChars="200"/>
        <w:rPr>
          <w:rFonts w:ascii="宋体" w:hAnsi="宋体" w:cs="宋体"/>
          <w:kern w:val="2"/>
          <w:lang w:eastAsia="zh-CN"/>
        </w:rPr>
      </w:pPr>
      <w:r>
        <w:rPr>
          <w:rFonts w:ascii="宋体" w:hAnsi="宋体" w:cs="宋体" w:hint="eastAsia"/>
          <w:color w:val="000000"/>
          <w:lang w:eastAsia="zh-CN"/>
        </w:rPr>
        <w:t>承包人提交详细施工组织设计的期限的约定：</w:t>
      </w:r>
      <w:r>
        <w:rPr>
          <w:rFonts w:ascii="宋体" w:hAnsi="宋体" w:cs="宋体" w:hint="eastAsia"/>
          <w:color w:val="00B0F0"/>
          <w:u w:val="single"/>
          <w:lang w:eastAsia="zh-CN"/>
        </w:rPr>
        <w:t xml:space="preserve">                             </w:t>
      </w:r>
      <w:r>
        <w:rPr>
          <w:rFonts w:ascii="宋体" w:hAnsi="宋体" w:cs="宋体" w:hint="eastAsia"/>
          <w:lang w:eastAsia="zh-CN"/>
        </w:rPr>
        <w:t>。</w:t>
      </w:r>
    </w:p>
    <w:p w14:paraId="3A01C90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发包人和监理人在收到详细的施工组织设计后确认或提出修改意见的期限：</w:t>
      </w:r>
      <w:r>
        <w:rPr>
          <w:rFonts w:ascii="宋体" w:hAnsi="宋体" w:cs="宋体" w:hint="eastAsia"/>
          <w:color w:val="00B0F0"/>
          <w:u w:val="single"/>
          <w:lang w:eastAsia="zh-CN"/>
        </w:rPr>
        <w:t xml:space="preserve">                             </w:t>
      </w:r>
      <w:r>
        <w:rPr>
          <w:rFonts w:ascii="宋体" w:hAnsi="宋体" w:cs="宋体" w:hint="eastAsia"/>
          <w:lang w:eastAsia="zh-CN"/>
        </w:rPr>
        <w:t>。</w:t>
      </w:r>
    </w:p>
    <w:p w14:paraId="65DEE98C">
      <w:pPr>
        <w:spacing w:line="360" w:lineRule="auto"/>
        <w:ind w:left="-240" w:right="-240" w:firstLine="480" w:leftChars="-100" w:rightChars="-100" w:firstLineChars="200"/>
        <w:outlineLvl w:val="2"/>
        <w:rPr>
          <w:rFonts w:ascii="宋体" w:hAnsi="宋体" w:cs="宋体"/>
          <w:color w:val="000000"/>
          <w:lang w:eastAsia="zh-CN"/>
        </w:rPr>
      </w:pPr>
      <w:bookmarkStart w:id="1296" w:name="_Toc2142813545"/>
      <w:bookmarkStart w:id="1297" w:name="_Toc1135946897"/>
      <w:bookmarkStart w:id="1298" w:name="_Toc14427"/>
      <w:r>
        <w:rPr>
          <w:rFonts w:ascii="宋体" w:hAnsi="宋体" w:cs="宋体" w:hint="eastAsia"/>
          <w:color w:val="000000"/>
          <w:lang w:eastAsia="zh-CN"/>
        </w:rPr>
        <w:t>7.2 施工进度计划</w:t>
      </w:r>
      <w:bookmarkEnd w:id="1296"/>
      <w:bookmarkEnd w:id="1297"/>
      <w:bookmarkEnd w:id="1298"/>
    </w:p>
    <w:p w14:paraId="01CAB3A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7.2.2 施工进度计划的修订</w:t>
      </w:r>
    </w:p>
    <w:p w14:paraId="70E297C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发包人和监理人在收到修订的施工进度计划后确认或提出修改意见的期限：</w:t>
      </w:r>
      <w:r>
        <w:rPr>
          <w:rFonts w:ascii="宋体" w:hAnsi="宋体" w:cs="宋体" w:hint="eastAsia"/>
          <w:color w:val="00B0F0"/>
          <w:u w:val="single"/>
          <w:lang w:eastAsia="zh-CN"/>
        </w:rPr>
        <w:t xml:space="preserve">                             </w:t>
      </w:r>
      <w:r>
        <w:rPr>
          <w:rFonts w:ascii="宋体" w:hAnsi="宋体" w:cs="宋体" w:hint="eastAsia"/>
          <w:lang w:eastAsia="zh-CN"/>
        </w:rPr>
        <w:t>。</w:t>
      </w:r>
    </w:p>
    <w:p w14:paraId="350A1E79">
      <w:pPr>
        <w:spacing w:line="360" w:lineRule="auto"/>
        <w:ind w:left="-240" w:right="-240" w:firstLine="480" w:leftChars="-100" w:rightChars="-100" w:firstLineChars="200"/>
        <w:outlineLvl w:val="2"/>
        <w:rPr>
          <w:rFonts w:ascii="宋体" w:hAnsi="宋体" w:cs="宋体"/>
          <w:color w:val="000000"/>
          <w:lang w:eastAsia="zh-CN"/>
        </w:rPr>
      </w:pPr>
      <w:bookmarkStart w:id="1299" w:name="_Toc1263038917"/>
      <w:bookmarkStart w:id="1300" w:name="_Toc1253067105"/>
      <w:bookmarkStart w:id="1301" w:name="_Toc6687"/>
      <w:r>
        <w:rPr>
          <w:rFonts w:ascii="宋体" w:hAnsi="宋体" w:cs="宋体" w:hint="eastAsia"/>
          <w:color w:val="000000"/>
          <w:lang w:eastAsia="zh-CN"/>
        </w:rPr>
        <w:t>7.3 开工</w:t>
      </w:r>
      <w:bookmarkEnd w:id="1299"/>
      <w:bookmarkEnd w:id="1300"/>
      <w:bookmarkEnd w:id="1301"/>
    </w:p>
    <w:p w14:paraId="1EB243C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本款修改7.3.1。</w:t>
      </w:r>
    </w:p>
    <w:p w14:paraId="305CE890">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7.3.1 开工准备</w:t>
      </w:r>
    </w:p>
    <w:p w14:paraId="3124E3CE">
      <w:pPr>
        <w:spacing w:line="360" w:lineRule="auto"/>
        <w:ind w:left="-240" w:right="-240" w:firstLine="480" w:leftChars="-100" w:rightChars="-100" w:firstLineChars="200"/>
        <w:rPr>
          <w:rFonts w:ascii="宋体" w:hAnsi="宋体" w:cs="宋体"/>
          <w:u w:val="single"/>
          <w:lang w:eastAsia="zh-CN"/>
        </w:rPr>
      </w:pPr>
      <w:r>
        <w:rPr>
          <w:rFonts w:ascii="宋体" w:hAnsi="宋体" w:cs="宋体" w:hint="eastAsia"/>
          <w:color w:val="000000"/>
          <w:lang w:eastAsia="zh-CN"/>
        </w:rPr>
        <w:t>关于承包人提交工程开工报审表的期限：</w:t>
      </w:r>
      <w:r>
        <w:rPr>
          <w:rFonts w:ascii="宋体" w:hAnsi="宋体" w:cs="宋体" w:hint="eastAsia"/>
          <w:color w:val="00B0F0"/>
          <w:u w:val="single"/>
          <w:lang w:eastAsia="zh-CN"/>
        </w:rPr>
        <w:t xml:space="preserve">                             </w:t>
      </w:r>
      <w:r>
        <w:rPr>
          <w:rFonts w:ascii="宋体" w:hAnsi="宋体" w:cs="宋体" w:hint="eastAsia"/>
          <w:lang w:eastAsia="zh-CN"/>
        </w:rPr>
        <w:t>。</w:t>
      </w:r>
    </w:p>
    <w:p w14:paraId="79DFE08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关于发包人应完成的其他开工准备工作及期限：</w:t>
      </w:r>
      <w:r>
        <w:rPr>
          <w:rFonts w:ascii="宋体" w:hAnsi="宋体" w:cs="宋体" w:hint="eastAsia"/>
          <w:color w:val="00B0F0"/>
          <w:u w:val="single"/>
          <w:lang w:eastAsia="zh-CN"/>
        </w:rPr>
        <w:t xml:space="preserve">                             </w:t>
      </w:r>
      <w:r>
        <w:rPr>
          <w:rFonts w:ascii="宋体" w:hAnsi="宋体" w:cs="宋体" w:hint="eastAsia"/>
          <w:lang w:eastAsia="zh-CN"/>
        </w:rPr>
        <w:t>。</w:t>
      </w:r>
    </w:p>
    <w:p w14:paraId="2474653A">
      <w:pPr>
        <w:spacing w:line="360" w:lineRule="auto"/>
        <w:ind w:left="-240" w:right="-240" w:firstLine="480" w:leftChars="-100" w:rightChars="-100" w:firstLineChars="200"/>
        <w:rPr>
          <w:rFonts w:ascii="宋体" w:hAnsi="宋体" w:cs="宋体"/>
          <w:lang w:eastAsia="zh-CN"/>
        </w:rPr>
      </w:pPr>
      <w:r>
        <w:rPr>
          <w:rFonts w:ascii="宋体" w:hAnsi="宋体" w:cs="宋体" w:hint="eastAsia"/>
          <w:color w:val="000000"/>
          <w:lang w:eastAsia="zh-CN"/>
        </w:rPr>
        <w:t>关于承包人应完成的其他开工准备工作及期限：</w:t>
      </w:r>
      <w:r>
        <w:rPr>
          <w:rFonts w:ascii="宋体" w:hAnsi="宋体" w:cs="宋体" w:hint="eastAsia"/>
          <w:color w:val="00B0F0"/>
          <w:u w:val="single"/>
          <w:lang w:eastAsia="zh-CN"/>
        </w:rPr>
        <w:t xml:space="preserve">                             </w:t>
      </w:r>
      <w:r>
        <w:rPr>
          <w:rFonts w:ascii="宋体" w:hAnsi="宋体" w:cs="宋体" w:hint="eastAsia"/>
          <w:lang w:eastAsia="zh-CN"/>
        </w:rPr>
        <w:t>。</w:t>
      </w:r>
    </w:p>
    <w:p w14:paraId="57A249E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7.3.2 开工通知</w:t>
      </w:r>
    </w:p>
    <w:p w14:paraId="4A2C9269">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因发包人原因或监理人未能在计划开工日期之日起</w:t>
      </w:r>
      <w:r>
        <w:rPr>
          <w:rFonts w:ascii="宋体" w:hAnsi="宋体" w:cs="宋体" w:hint="eastAsia"/>
          <w:color w:val="00B0F0"/>
          <w:u w:val="single"/>
          <w:lang w:eastAsia="zh-CN"/>
        </w:rPr>
        <w:t xml:space="preserve">   </w:t>
      </w:r>
      <w:r>
        <w:rPr>
          <w:rFonts w:ascii="宋体" w:hAnsi="宋体" w:cs="宋体" w:hint="eastAsia"/>
          <w:color w:val="000000"/>
          <w:lang w:eastAsia="zh-CN"/>
        </w:rPr>
        <w:t>天内发出开工通知的，承包人有权提出价格调整要求，或者解除合同。</w:t>
      </w:r>
    </w:p>
    <w:p w14:paraId="0AEA045E">
      <w:pPr>
        <w:spacing w:line="360" w:lineRule="auto"/>
        <w:ind w:left="-240" w:right="-240" w:firstLine="480" w:leftChars="-100" w:rightChars="-100" w:firstLineChars="200"/>
        <w:outlineLvl w:val="2"/>
        <w:rPr>
          <w:rFonts w:ascii="宋体" w:hAnsi="宋体" w:cs="宋体"/>
          <w:color w:val="000000"/>
          <w:lang w:eastAsia="zh-CN"/>
        </w:rPr>
      </w:pPr>
      <w:bookmarkStart w:id="1302" w:name="_Toc19537660"/>
      <w:bookmarkStart w:id="1303" w:name="_Toc96331289"/>
      <w:bookmarkStart w:id="1304" w:name="_Toc17408"/>
      <w:r>
        <w:rPr>
          <w:rFonts w:ascii="宋体" w:hAnsi="宋体" w:cs="宋体" w:hint="eastAsia"/>
          <w:color w:val="000000"/>
          <w:lang w:eastAsia="zh-CN"/>
        </w:rPr>
        <w:t>7.4 测量放线</w:t>
      </w:r>
      <w:bookmarkEnd w:id="1302"/>
      <w:bookmarkEnd w:id="1303"/>
      <w:bookmarkEnd w:id="1304"/>
    </w:p>
    <w:p w14:paraId="6C49AF7D">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本款修改7.4.1。</w:t>
      </w:r>
    </w:p>
    <w:p w14:paraId="01B68C8B">
      <w:pPr>
        <w:spacing w:line="360" w:lineRule="auto"/>
        <w:ind w:left="-240" w:right="-240" w:firstLine="480" w:leftChars="-100" w:rightChars="-100" w:firstLineChars="200"/>
        <w:rPr>
          <w:rFonts w:ascii="宋体" w:hAnsi="宋体" w:cs="宋体"/>
          <w:u w:val="single"/>
          <w:lang w:eastAsia="zh-CN"/>
        </w:rPr>
      </w:pPr>
      <w:r>
        <w:rPr>
          <w:rFonts w:ascii="宋体" w:hAnsi="宋体" w:cs="宋体" w:hint="eastAsia"/>
          <w:lang w:eastAsia="zh-CN"/>
        </w:rPr>
        <w:t>7.4.1 发包人或发包人通过监理人向承包人提供测量基准点、基准线和水准点及其书面资料的期限：</w:t>
      </w:r>
      <w:r>
        <w:rPr>
          <w:rFonts w:ascii="宋体" w:hAnsi="宋体" w:cs="宋体" w:hint="eastAsia"/>
          <w:color w:val="00B0F0"/>
          <w:u w:val="single"/>
          <w:lang w:eastAsia="zh-CN"/>
        </w:rPr>
        <w:t xml:space="preserve">                  </w:t>
      </w:r>
      <w:r>
        <w:rPr>
          <w:rFonts w:ascii="宋体" w:hAnsi="宋体" w:cs="宋体" w:hint="eastAsia"/>
          <w:lang w:eastAsia="zh-CN"/>
        </w:rPr>
        <w:t>。</w:t>
      </w:r>
    </w:p>
    <w:p w14:paraId="5F614D47">
      <w:pPr>
        <w:spacing w:line="360" w:lineRule="auto"/>
        <w:ind w:left="-240" w:right="-240" w:firstLine="480" w:leftChars="-100" w:rightChars="-100" w:firstLineChars="200"/>
        <w:outlineLvl w:val="2"/>
        <w:rPr>
          <w:rFonts w:ascii="宋体" w:hAnsi="宋体" w:cs="宋体"/>
          <w:color w:val="000000"/>
          <w:lang w:eastAsia="zh-CN"/>
        </w:rPr>
      </w:pPr>
      <w:bookmarkStart w:id="1305" w:name="_Toc117950900"/>
      <w:bookmarkStart w:id="1306" w:name="_Toc1986698096"/>
      <w:bookmarkStart w:id="1307" w:name="_Toc20355"/>
      <w:r>
        <w:rPr>
          <w:rFonts w:ascii="宋体" w:hAnsi="宋体" w:cs="宋体" w:hint="eastAsia"/>
          <w:color w:val="000000"/>
          <w:lang w:eastAsia="zh-CN"/>
        </w:rPr>
        <w:t>7.5 工期延误</w:t>
      </w:r>
      <w:bookmarkEnd w:id="1305"/>
      <w:bookmarkEnd w:id="1306"/>
      <w:bookmarkEnd w:id="1307"/>
    </w:p>
    <w:p w14:paraId="28115882">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7.5.1 因发包人原因导致工期延误</w:t>
      </w:r>
    </w:p>
    <w:p w14:paraId="6924B35C">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（7）因发包人原因导致工期延误的其他情形：</w:t>
      </w:r>
      <w:r>
        <w:rPr>
          <w:rFonts w:ascii="宋体" w:hAnsi="宋体" w:cs="宋体" w:hint="eastAsia"/>
          <w:color w:val="00B0F0"/>
          <w:u w:val="single"/>
          <w:lang w:eastAsia="zh-CN"/>
        </w:rPr>
        <w:t xml:space="preserve">                             </w:t>
      </w:r>
      <w:r>
        <w:rPr>
          <w:rFonts w:ascii="宋体" w:hAnsi="宋体" w:cs="宋体" w:hint="eastAsia"/>
          <w:lang w:eastAsia="zh-CN"/>
        </w:rPr>
        <w:t>。</w:t>
      </w:r>
    </w:p>
    <w:p w14:paraId="6C5232F8">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7.5.2 因承包人原因导致工期延误</w:t>
      </w:r>
    </w:p>
    <w:p w14:paraId="2C0223BA">
      <w:pPr>
        <w:spacing w:line="360" w:lineRule="auto"/>
        <w:ind w:left="-240" w:right="-240" w:firstLine="480" w:leftChars="-100" w:rightChars="-100" w:firstLineChars="200"/>
        <w:rPr>
          <w:rFonts w:ascii="宋体" w:hAnsi="宋体" w:cs="宋体"/>
          <w:color w:val="00B0F0"/>
          <w:u w:val="single"/>
          <w:lang w:eastAsia="zh-CN"/>
        </w:rPr>
      </w:pPr>
      <w:r>
        <w:rPr>
          <w:rFonts w:ascii="宋体" w:hAnsi="宋体" w:cs="宋体" w:hint="eastAsia"/>
          <w:lang w:eastAsia="zh-CN"/>
        </w:rPr>
        <w:t>因承包人原因造成工期延误，逾期竣工违约金的计算方法为：</w:t>
      </w:r>
      <w:r>
        <w:rPr>
          <w:rFonts w:ascii="宋体" w:hAnsi="宋体" w:cs="宋体" w:hint="eastAsia"/>
          <w:color w:val="00B0F0"/>
          <w:u w:val="single"/>
          <w:lang w:eastAsia="zh-CN"/>
        </w:rPr>
        <w:t xml:space="preserve"> </w:t>
      </w:r>
    </w:p>
    <w:p w14:paraId="662FB6B2">
      <w:pPr>
        <w:spacing w:line="360" w:lineRule="auto"/>
        <w:ind w:left="-240" w:right="-240" w:leftChars="-100" w:rightChars="-100"/>
        <w:rPr>
          <w:rFonts w:ascii="宋体" w:hAnsi="宋体" w:cs="宋体"/>
          <w:lang w:eastAsia="zh-CN"/>
        </w:rPr>
      </w:pPr>
      <w:r>
        <w:rPr>
          <w:rFonts w:ascii="宋体" w:hAnsi="宋体" w:cs="宋体" w:hint="eastAsia"/>
          <w:color w:val="00B0F0"/>
          <w:u w:val="single"/>
          <w:lang w:eastAsia="zh-CN"/>
        </w:rPr>
        <w:t xml:space="preserve">                                                       </w:t>
      </w:r>
      <w:r>
        <w:rPr>
          <w:rFonts w:ascii="宋体" w:hAnsi="宋体" w:cs="宋体" w:hint="eastAsia"/>
          <w:lang w:eastAsia="zh-CN"/>
        </w:rPr>
        <w:t>。</w:t>
      </w:r>
    </w:p>
    <w:p w14:paraId="5FB04471">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因承包人原因造成工期延误，逾期竣工违约金的上限：</w:t>
      </w:r>
      <w:r>
        <w:rPr>
          <w:rFonts w:ascii="宋体" w:hAnsi="宋体" w:cs="宋体" w:hint="eastAsia"/>
          <w:color w:val="00B0F0"/>
          <w:u w:val="single"/>
          <w:lang w:eastAsia="zh-CN"/>
        </w:rPr>
        <w:t xml:space="preserve">                             </w:t>
      </w:r>
      <w:r>
        <w:rPr>
          <w:rFonts w:ascii="宋体" w:hAnsi="宋体" w:cs="宋体" w:hint="eastAsia"/>
          <w:lang w:eastAsia="zh-CN"/>
        </w:rPr>
        <w:t>。</w:t>
      </w:r>
    </w:p>
    <w:p w14:paraId="39C49BBC">
      <w:pPr>
        <w:spacing w:line="360" w:lineRule="auto"/>
        <w:ind w:left="-240" w:right="-240" w:firstLine="480" w:leftChars="-100" w:rightChars="-100" w:firstLineChars="200"/>
        <w:outlineLvl w:val="2"/>
        <w:rPr>
          <w:rFonts w:ascii="宋体" w:hAnsi="宋体" w:cs="宋体"/>
          <w:color w:val="000000"/>
          <w:lang w:eastAsia="zh-CN"/>
        </w:rPr>
      </w:pPr>
      <w:bookmarkStart w:id="1308" w:name="_Toc28024"/>
      <w:bookmarkStart w:id="1309" w:name="_Toc1834347369"/>
      <w:bookmarkStart w:id="1310" w:name="_Toc441299698"/>
      <w:r>
        <w:rPr>
          <w:rFonts w:ascii="宋体" w:hAnsi="宋体" w:cs="宋体" w:hint="eastAsia"/>
          <w:color w:val="000000"/>
          <w:lang w:eastAsia="zh-CN"/>
        </w:rPr>
        <w:t>7.6 不利物质条件</w:t>
      </w:r>
      <w:bookmarkEnd w:id="1308"/>
      <w:bookmarkEnd w:id="1309"/>
      <w:bookmarkEnd w:id="1310"/>
    </w:p>
    <w:p w14:paraId="38257AC9">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不利物质条件的其他情形和有关约定：</w:t>
      </w:r>
      <w:r>
        <w:rPr>
          <w:rFonts w:ascii="宋体" w:hAnsi="宋体" w:cs="宋体" w:hint="eastAsia"/>
          <w:color w:val="00B0F0"/>
          <w:u w:val="single"/>
          <w:lang w:eastAsia="zh-CN"/>
        </w:rPr>
        <w:t xml:space="preserve">                             </w:t>
      </w:r>
      <w:r>
        <w:rPr>
          <w:rFonts w:ascii="宋体" w:hAnsi="宋体" w:cs="宋体" w:hint="eastAsia"/>
          <w:lang w:eastAsia="zh-CN"/>
        </w:rPr>
        <w:t>。</w:t>
      </w:r>
    </w:p>
    <w:p w14:paraId="7FF10026">
      <w:pPr>
        <w:spacing w:line="360" w:lineRule="auto"/>
        <w:ind w:left="-240" w:right="-240" w:firstLine="480" w:leftChars="-100" w:rightChars="-100" w:firstLineChars="200"/>
        <w:outlineLvl w:val="2"/>
        <w:rPr>
          <w:rFonts w:ascii="宋体" w:hAnsi="宋体" w:cs="宋体"/>
          <w:color w:val="000000"/>
          <w:lang w:eastAsia="zh-CN"/>
        </w:rPr>
      </w:pPr>
      <w:bookmarkStart w:id="1311" w:name="_Toc32335"/>
      <w:bookmarkStart w:id="1312" w:name="_Toc1077505333"/>
      <w:bookmarkStart w:id="1313" w:name="_Toc1225022270"/>
      <w:r>
        <w:rPr>
          <w:rFonts w:ascii="宋体" w:hAnsi="宋体" w:cs="宋体" w:hint="eastAsia"/>
          <w:color w:val="000000"/>
          <w:lang w:eastAsia="zh-CN"/>
        </w:rPr>
        <w:t>7.7 异常恶劣的气候条件</w:t>
      </w:r>
      <w:bookmarkEnd w:id="1311"/>
      <w:bookmarkEnd w:id="1312"/>
      <w:bookmarkEnd w:id="1313"/>
    </w:p>
    <w:p w14:paraId="15BAB362">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发包人和承包人同意以下情形视为异常恶劣的气候条件：</w:t>
      </w:r>
    </w:p>
    <w:p w14:paraId="21FC3D77">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w:t>
      </w:r>
      <w:r>
        <w:rPr>
          <w:rFonts w:ascii="宋体" w:hAnsi="宋体" w:cs="宋体" w:hint="eastAsia"/>
          <w:color w:val="00B0F0"/>
          <w:u w:val="single"/>
          <w:lang w:eastAsia="zh-CN"/>
        </w:rPr>
        <w:t xml:space="preserve">                             </w:t>
      </w:r>
      <w:r>
        <w:rPr>
          <w:rFonts w:ascii="宋体" w:hAnsi="宋体" w:cs="宋体" w:hint="eastAsia"/>
          <w:lang w:eastAsia="zh-CN"/>
        </w:rPr>
        <w:t>；</w:t>
      </w:r>
    </w:p>
    <w:p w14:paraId="72C9E58B">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（2）</w:t>
      </w:r>
      <w:r>
        <w:rPr>
          <w:rFonts w:ascii="宋体" w:hAnsi="宋体" w:cs="宋体" w:hint="eastAsia"/>
          <w:color w:val="00B0F0"/>
          <w:u w:val="single"/>
          <w:lang w:eastAsia="zh-CN"/>
        </w:rPr>
        <w:t xml:space="preserve">                             </w:t>
      </w:r>
      <w:r>
        <w:rPr>
          <w:rFonts w:ascii="宋体" w:hAnsi="宋体" w:cs="宋体" w:hint="eastAsia"/>
          <w:lang w:eastAsia="zh-CN"/>
        </w:rPr>
        <w:t>；</w:t>
      </w:r>
    </w:p>
    <w:p w14:paraId="54508067">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（3）</w:t>
      </w:r>
      <w:r>
        <w:rPr>
          <w:rFonts w:ascii="宋体" w:hAnsi="宋体" w:cs="宋体" w:hint="eastAsia"/>
          <w:color w:val="00B0F0"/>
          <w:u w:val="single"/>
          <w:lang w:eastAsia="zh-CN"/>
        </w:rPr>
        <w:t xml:space="preserve">                             </w:t>
      </w:r>
      <w:r>
        <w:rPr>
          <w:rFonts w:ascii="宋体" w:hAnsi="宋体" w:cs="宋体" w:hint="eastAsia"/>
          <w:lang w:eastAsia="zh-CN"/>
        </w:rPr>
        <w:t>。</w:t>
      </w:r>
    </w:p>
    <w:p w14:paraId="5BEC3A92">
      <w:pPr>
        <w:spacing w:line="360" w:lineRule="auto"/>
        <w:ind w:left="-240" w:right="-240" w:firstLine="480" w:leftChars="-100" w:rightChars="-100" w:firstLineChars="200"/>
        <w:outlineLvl w:val="2"/>
        <w:rPr>
          <w:rFonts w:ascii="宋体" w:hAnsi="宋体" w:cs="宋体"/>
          <w:color w:val="000000"/>
          <w:lang w:eastAsia="zh-CN"/>
        </w:rPr>
      </w:pPr>
      <w:bookmarkStart w:id="1314" w:name="_Toc625782789"/>
      <w:bookmarkStart w:id="1315" w:name="_Toc63384221"/>
      <w:bookmarkStart w:id="1316" w:name="_Toc18194"/>
      <w:r>
        <w:rPr>
          <w:rFonts w:ascii="宋体" w:hAnsi="宋体" w:cs="宋体" w:hint="eastAsia"/>
          <w:color w:val="000000"/>
          <w:lang w:eastAsia="zh-CN"/>
        </w:rPr>
        <w:t>7.9 提前竣工的奖励</w:t>
      </w:r>
      <w:bookmarkEnd w:id="1314"/>
      <w:bookmarkEnd w:id="1315"/>
      <w:bookmarkEnd w:id="1316"/>
    </w:p>
    <w:p w14:paraId="6E083D73">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7.9.2 提前竣工的奖励：</w:t>
      </w:r>
      <w:r>
        <w:rPr>
          <w:rFonts w:ascii="宋体" w:hAnsi="宋体" w:cs="宋体" w:hint="eastAsia"/>
          <w:color w:val="00B0F0"/>
          <w:u w:val="single"/>
          <w:lang w:eastAsia="zh-CN"/>
        </w:rPr>
        <w:t xml:space="preserve">                             </w:t>
      </w:r>
      <w:r>
        <w:rPr>
          <w:rFonts w:ascii="宋体" w:hAnsi="宋体" w:cs="宋体" w:hint="eastAsia"/>
          <w:lang w:eastAsia="zh-CN"/>
        </w:rPr>
        <w:t xml:space="preserve">。  </w:t>
      </w:r>
    </w:p>
    <w:p w14:paraId="5DFC4412">
      <w:pPr>
        <w:pStyle w:val="Heading2"/>
        <w:ind w:left="-240" w:right="-240" w:leftChars="-100" w:rightChars="-100"/>
        <w:rPr>
          <w:rFonts w:ascii="宋体" w:hAnsi="宋体" w:cs="宋体"/>
          <w:b w:val="0"/>
          <w:color w:val="000000"/>
          <w:sz w:val="24"/>
          <w:szCs w:val="24"/>
        </w:rPr>
      </w:pPr>
      <w:bookmarkStart w:id="1317" w:name="_Toc1290932324"/>
      <w:bookmarkStart w:id="1318" w:name="_Toc1981848881"/>
      <w:r>
        <w:rPr>
          <w:rFonts w:ascii="宋体" w:hAnsi="宋体" w:cs="宋体" w:hint="eastAsia"/>
          <w:b w:val="0"/>
          <w:color w:val="000000"/>
          <w:sz w:val="24"/>
          <w:szCs w:val="24"/>
        </w:rPr>
        <w:t>8. 材料与设备</w:t>
      </w:r>
      <w:bookmarkEnd w:id="1317"/>
      <w:bookmarkEnd w:id="1318"/>
    </w:p>
    <w:p w14:paraId="602BB515">
      <w:pPr>
        <w:spacing w:line="360" w:lineRule="auto"/>
        <w:ind w:left="-240" w:right="-240" w:firstLine="480" w:leftChars="-100" w:rightChars="-100" w:firstLineChars="200"/>
        <w:outlineLvl w:val="2"/>
        <w:rPr>
          <w:rFonts w:ascii="宋体" w:hAnsi="宋体" w:cs="宋体"/>
          <w:color w:val="000000"/>
          <w:lang w:eastAsia="zh-CN"/>
        </w:rPr>
      </w:pPr>
      <w:bookmarkStart w:id="1319" w:name="_Toc489553729"/>
      <w:bookmarkStart w:id="1320" w:name="_Toc1878"/>
      <w:bookmarkStart w:id="1321" w:name="_Toc1549169060"/>
      <w:r>
        <w:rPr>
          <w:rFonts w:ascii="宋体" w:hAnsi="宋体" w:cs="宋体" w:hint="eastAsia"/>
          <w:color w:val="000000"/>
          <w:lang w:eastAsia="zh-CN"/>
        </w:rPr>
        <w:t>8.4 材料与工程设备的保管与使用</w:t>
      </w:r>
      <w:bookmarkEnd w:id="1319"/>
      <w:bookmarkEnd w:id="1320"/>
      <w:bookmarkEnd w:id="1321"/>
    </w:p>
    <w:p w14:paraId="506BD19D">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本款修改8.4.1。</w:t>
      </w:r>
    </w:p>
    <w:p w14:paraId="34D76D6E">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8.4.1 发包人供应的苗木、材料设备的保管费用的承担：</w:t>
      </w:r>
      <w:r>
        <w:rPr>
          <w:rFonts w:ascii="宋体" w:hAnsi="宋体" w:cs="宋体" w:hint="eastAsia"/>
          <w:color w:val="00B0F0"/>
          <w:u w:val="single"/>
          <w:lang w:eastAsia="zh-CN"/>
        </w:rPr>
        <w:t xml:space="preserve">                             </w:t>
      </w:r>
      <w:r>
        <w:rPr>
          <w:rFonts w:ascii="宋体" w:hAnsi="宋体" w:cs="宋体" w:hint="eastAsia"/>
          <w:lang w:eastAsia="zh-CN"/>
        </w:rPr>
        <w:t>。</w:t>
      </w:r>
    </w:p>
    <w:p w14:paraId="0B831DCD">
      <w:pPr>
        <w:spacing w:line="360" w:lineRule="auto"/>
        <w:ind w:left="-240" w:right="-240" w:firstLine="480" w:leftChars="-100" w:rightChars="-100" w:firstLineChars="200"/>
        <w:outlineLvl w:val="2"/>
        <w:rPr>
          <w:rFonts w:ascii="宋体" w:hAnsi="宋体" w:cs="宋体"/>
          <w:color w:val="000000"/>
          <w:lang w:eastAsia="zh-CN"/>
        </w:rPr>
      </w:pPr>
      <w:bookmarkStart w:id="1322" w:name="_Toc1698965056"/>
      <w:bookmarkStart w:id="1323" w:name="_Toc15421"/>
      <w:bookmarkStart w:id="1324" w:name="_Toc1602926888"/>
      <w:r>
        <w:rPr>
          <w:rFonts w:ascii="宋体" w:hAnsi="宋体" w:cs="宋体" w:hint="eastAsia"/>
          <w:color w:val="000000"/>
          <w:lang w:eastAsia="zh-CN"/>
        </w:rPr>
        <w:t>8.6 样品</w:t>
      </w:r>
      <w:bookmarkEnd w:id="1322"/>
      <w:bookmarkEnd w:id="1323"/>
      <w:bookmarkEnd w:id="1324"/>
    </w:p>
    <w:p w14:paraId="0DD35398">
      <w:pPr>
        <w:spacing w:line="360" w:lineRule="auto"/>
        <w:ind w:left="-240" w:right="-240" w:firstLine="480" w:leftChars="-100" w:rightChars="-100" w:firstLineChars="200"/>
        <w:outlineLvl w:val="2"/>
        <w:rPr>
          <w:rFonts w:ascii="宋体" w:hAnsi="宋体" w:cs="宋体"/>
          <w:color w:val="000000"/>
          <w:lang w:eastAsia="zh-CN"/>
        </w:rPr>
      </w:pPr>
      <w:bookmarkStart w:id="1325" w:name="_Toc155224400"/>
      <w:bookmarkStart w:id="1326" w:name="_Toc658422827"/>
      <w:r>
        <w:rPr>
          <w:rFonts w:ascii="宋体" w:hAnsi="宋体" w:cs="宋体" w:hint="eastAsia"/>
          <w:color w:val="000000"/>
          <w:lang w:eastAsia="zh-CN"/>
        </w:rPr>
        <w:t>8.6.1 样品的报送与封存</w:t>
      </w:r>
      <w:bookmarkEnd w:id="1325"/>
      <w:bookmarkEnd w:id="1326"/>
    </w:p>
    <w:p w14:paraId="0F69A466">
      <w:pPr>
        <w:autoSpaceDE w:val="0"/>
        <w:autoSpaceDN w:val="0"/>
        <w:adjustRightInd w:val="0"/>
        <w:spacing w:line="360" w:lineRule="auto"/>
        <w:ind w:left="-240" w:right="-240" w:firstLine="480" w:leftChars="-100" w:rightChars="-100" w:firstLineChars="200"/>
        <w:rPr>
          <w:rFonts w:ascii="宋体" w:hAnsi="宋体" w:cs="宋体"/>
          <w:kern w:val="2"/>
          <w:u w:val="single"/>
          <w:lang w:eastAsia="zh-CN"/>
        </w:rPr>
      </w:pPr>
      <w:r>
        <w:rPr>
          <w:rFonts w:ascii="宋体" w:hAnsi="宋体" w:cs="宋体" w:hint="eastAsia"/>
          <w:color w:val="000000"/>
          <w:lang w:eastAsia="zh-CN"/>
        </w:rPr>
        <w:t>需要承包人报送样品的材料或工程设备，样品的种类、名称、规格、数量要求：</w:t>
      </w:r>
      <w:r>
        <w:rPr>
          <w:rFonts w:ascii="宋体" w:hAnsi="宋体" w:cs="宋体" w:hint="eastAsia"/>
          <w:color w:val="00B0F0"/>
          <w:u w:val="single"/>
          <w:lang w:eastAsia="zh-CN"/>
        </w:rPr>
        <w:t xml:space="preserve">                             </w:t>
      </w:r>
      <w:r>
        <w:rPr>
          <w:rFonts w:ascii="宋体" w:hAnsi="宋体" w:cs="宋体" w:hint="eastAsia"/>
          <w:lang w:eastAsia="zh-CN"/>
        </w:rPr>
        <w:t>。</w:t>
      </w:r>
    </w:p>
    <w:p w14:paraId="5C022D86">
      <w:pPr>
        <w:spacing w:line="360" w:lineRule="auto"/>
        <w:ind w:left="-240" w:right="-240" w:firstLine="480" w:leftChars="-100" w:rightChars="-100" w:firstLineChars="200"/>
        <w:outlineLvl w:val="2"/>
        <w:rPr>
          <w:rFonts w:ascii="宋体" w:hAnsi="宋体" w:cs="宋体"/>
          <w:color w:val="000000"/>
          <w:lang w:eastAsia="zh-CN"/>
        </w:rPr>
      </w:pPr>
      <w:bookmarkStart w:id="1327" w:name="_Toc1156517039"/>
      <w:bookmarkStart w:id="1328" w:name="_Toc268737114"/>
      <w:bookmarkStart w:id="1329" w:name="_Toc22773"/>
      <w:r>
        <w:rPr>
          <w:rFonts w:ascii="宋体" w:hAnsi="宋体" w:cs="宋体" w:hint="eastAsia"/>
          <w:color w:val="000000"/>
          <w:lang w:eastAsia="zh-CN"/>
        </w:rPr>
        <w:t>8.8 施工设备和临时设施</w:t>
      </w:r>
      <w:bookmarkEnd w:id="1327"/>
      <w:bookmarkEnd w:id="1328"/>
      <w:bookmarkEnd w:id="1329"/>
    </w:p>
    <w:p w14:paraId="2E185B54">
      <w:pPr>
        <w:autoSpaceDE w:val="0"/>
        <w:autoSpaceDN w:val="0"/>
        <w:adjustRightIn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8.8.1 承包人提供的施工设备和临时设施</w:t>
      </w:r>
    </w:p>
    <w:p w14:paraId="5D9133F1">
      <w:pPr>
        <w:autoSpaceDE w:val="0"/>
        <w:autoSpaceDN w:val="0"/>
        <w:adjustRightInd w:val="0"/>
        <w:spacing w:line="360" w:lineRule="auto"/>
        <w:ind w:left="-240" w:right="-240" w:firstLine="480" w:leftChars="-100" w:rightChars="-100" w:firstLineChars="200"/>
        <w:rPr>
          <w:rFonts w:ascii="宋体" w:hAnsi="宋体" w:cs="宋体"/>
          <w:u w:val="single"/>
          <w:lang w:eastAsia="zh-CN"/>
        </w:rPr>
      </w:pPr>
      <w:r>
        <w:rPr>
          <w:rFonts w:ascii="宋体" w:hAnsi="宋体" w:cs="宋体" w:hint="eastAsia"/>
          <w:lang w:eastAsia="zh-CN"/>
        </w:rPr>
        <w:t>关于修建临时设施费用承担的约定：</w:t>
      </w:r>
      <w:r>
        <w:rPr>
          <w:rFonts w:ascii="宋体" w:hAnsi="宋体" w:cs="宋体" w:hint="eastAsia"/>
          <w:color w:val="00B0F0"/>
          <w:u w:val="single"/>
          <w:lang w:eastAsia="zh-CN"/>
        </w:rPr>
        <w:t xml:space="preserve">                             </w:t>
      </w:r>
      <w:r>
        <w:rPr>
          <w:rFonts w:ascii="宋体" w:hAnsi="宋体" w:cs="宋体" w:hint="eastAsia"/>
          <w:lang w:eastAsia="zh-CN"/>
        </w:rPr>
        <w:t>。</w:t>
      </w:r>
    </w:p>
    <w:p w14:paraId="55327E1F">
      <w:pPr>
        <w:pStyle w:val="Heading2"/>
        <w:ind w:left="-240" w:right="-240" w:leftChars="-100" w:rightChars="-100"/>
        <w:rPr>
          <w:rFonts w:ascii="宋体" w:hAnsi="宋体" w:cs="宋体"/>
          <w:b w:val="0"/>
          <w:color w:val="000000"/>
          <w:sz w:val="24"/>
          <w:szCs w:val="24"/>
        </w:rPr>
      </w:pPr>
      <w:bookmarkStart w:id="1330" w:name="_Toc1764962496"/>
      <w:bookmarkStart w:id="1331" w:name="_Toc242413721"/>
      <w:r>
        <w:rPr>
          <w:rFonts w:ascii="宋体" w:hAnsi="宋体" w:cs="宋体" w:hint="eastAsia"/>
          <w:b w:val="0"/>
          <w:color w:val="000000"/>
          <w:sz w:val="24"/>
          <w:szCs w:val="24"/>
        </w:rPr>
        <w:t>9. 试验与检验</w:t>
      </w:r>
      <w:bookmarkEnd w:id="1330"/>
      <w:bookmarkEnd w:id="1331"/>
    </w:p>
    <w:p w14:paraId="52C7E965">
      <w:pPr>
        <w:spacing w:line="360" w:lineRule="auto"/>
        <w:ind w:left="-240" w:right="-240" w:firstLine="480" w:leftChars="-100" w:rightChars="-100" w:firstLineChars="200"/>
        <w:outlineLvl w:val="2"/>
        <w:rPr>
          <w:rFonts w:ascii="宋体" w:hAnsi="宋体" w:cs="宋体"/>
          <w:color w:val="000000"/>
          <w:lang w:eastAsia="zh-CN"/>
        </w:rPr>
      </w:pPr>
      <w:bookmarkStart w:id="1332" w:name="_Toc653733895"/>
      <w:bookmarkStart w:id="1333" w:name="_Toc1351090379"/>
      <w:bookmarkStart w:id="1334" w:name="_Toc6956"/>
      <w:r>
        <w:rPr>
          <w:rFonts w:ascii="宋体" w:hAnsi="宋体" w:cs="宋体" w:hint="eastAsia"/>
          <w:color w:val="000000"/>
          <w:lang w:eastAsia="zh-CN"/>
        </w:rPr>
        <w:t>9.3 材料、工程设备和工程的试验和检验</w:t>
      </w:r>
      <w:bookmarkEnd w:id="1332"/>
      <w:bookmarkEnd w:id="1333"/>
    </w:p>
    <w:p w14:paraId="75D23047">
      <w:pPr>
        <w:autoSpaceDE w:val="0"/>
        <w:autoSpaceDN w:val="0"/>
        <w:adjustRightIn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本款补充9.3.4。</w:t>
      </w:r>
      <w:bookmarkEnd w:id="1334"/>
    </w:p>
    <w:p w14:paraId="082ED443">
      <w:pPr>
        <w:autoSpaceDE w:val="0"/>
        <w:autoSpaceDN w:val="0"/>
        <w:adjustRightIn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9.3.4 关于送检材料的约定：</w:t>
      </w:r>
      <w:r>
        <w:rPr>
          <w:rFonts w:ascii="宋体" w:hAnsi="宋体" w:cs="宋体" w:hint="eastAsia"/>
          <w:color w:val="00B0F0"/>
          <w:u w:val="single"/>
          <w:lang w:eastAsia="zh-CN"/>
        </w:rPr>
        <w:t xml:space="preserve">                             </w:t>
      </w:r>
      <w:r>
        <w:rPr>
          <w:rFonts w:ascii="宋体" w:hAnsi="宋体" w:cs="宋体" w:hint="eastAsia"/>
          <w:lang w:eastAsia="zh-CN"/>
        </w:rPr>
        <w:t>。</w:t>
      </w:r>
    </w:p>
    <w:p w14:paraId="148FE648">
      <w:pPr>
        <w:pStyle w:val="Heading2"/>
        <w:ind w:left="-240" w:right="-240" w:leftChars="-100" w:rightChars="-100"/>
        <w:rPr>
          <w:rFonts w:ascii="宋体" w:hAnsi="宋体" w:cs="宋体"/>
          <w:b w:val="0"/>
          <w:color w:val="000000"/>
          <w:sz w:val="24"/>
          <w:szCs w:val="24"/>
        </w:rPr>
      </w:pPr>
      <w:bookmarkStart w:id="1335" w:name="_Toc458560564"/>
      <w:bookmarkStart w:id="1336" w:name="_Toc334823199"/>
      <w:r>
        <w:rPr>
          <w:rFonts w:ascii="宋体" w:hAnsi="宋体" w:cs="宋体" w:hint="eastAsia"/>
          <w:b w:val="0"/>
          <w:color w:val="000000"/>
          <w:sz w:val="24"/>
          <w:szCs w:val="24"/>
        </w:rPr>
        <w:t>10. 变更</w:t>
      </w:r>
      <w:bookmarkEnd w:id="1335"/>
      <w:bookmarkEnd w:id="1336"/>
    </w:p>
    <w:p w14:paraId="3E1ED414">
      <w:pPr>
        <w:spacing w:line="360" w:lineRule="auto"/>
        <w:ind w:left="-240" w:right="-240" w:firstLine="480" w:leftChars="-100" w:rightChars="-100" w:firstLineChars="200"/>
        <w:outlineLvl w:val="2"/>
        <w:rPr>
          <w:rFonts w:ascii="宋体" w:hAnsi="宋体" w:cs="宋体"/>
          <w:color w:val="000000"/>
          <w:lang w:eastAsia="zh-CN"/>
        </w:rPr>
      </w:pPr>
      <w:bookmarkStart w:id="1337" w:name="_Toc2124203747"/>
      <w:bookmarkStart w:id="1338" w:name="_Toc7749"/>
      <w:bookmarkStart w:id="1339" w:name="_Toc893189784"/>
      <w:r>
        <w:rPr>
          <w:rFonts w:ascii="宋体" w:hAnsi="宋体" w:cs="宋体" w:hint="eastAsia"/>
          <w:color w:val="000000"/>
          <w:lang w:eastAsia="zh-CN"/>
        </w:rPr>
        <w:t>10.1 变更的范围</w:t>
      </w:r>
      <w:bookmarkEnd w:id="1337"/>
      <w:bookmarkEnd w:id="1338"/>
      <w:bookmarkEnd w:id="1339"/>
    </w:p>
    <w:p w14:paraId="6717F07C">
      <w:pPr>
        <w:spacing w:line="360" w:lineRule="auto"/>
        <w:ind w:left="-240" w:right="-240" w:firstLine="600" w:leftChars="-100" w:rightChars="-100"/>
        <w:rPr>
          <w:rFonts w:ascii="宋体" w:hAnsi="宋体" w:cs="宋体"/>
          <w:color w:val="000000"/>
          <w:u w:val="single"/>
          <w:lang w:eastAsia="zh-CN"/>
        </w:rPr>
      </w:pPr>
      <w:r>
        <w:rPr>
          <w:rFonts w:ascii="宋体" w:hAnsi="宋体" w:cs="宋体" w:hint="eastAsia"/>
          <w:color w:val="000000"/>
          <w:lang w:eastAsia="zh-CN"/>
        </w:rPr>
        <w:t>关于变更的范围的约定：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5121987">
      <w:pPr>
        <w:spacing w:line="360" w:lineRule="auto"/>
        <w:ind w:left="-240" w:right="-240" w:firstLine="480" w:leftChars="-100" w:rightChars="-100" w:firstLineChars="200"/>
        <w:outlineLvl w:val="2"/>
        <w:rPr>
          <w:rFonts w:ascii="宋体" w:hAnsi="宋体" w:cs="宋体"/>
          <w:color w:val="000000"/>
          <w:lang w:eastAsia="zh-CN"/>
        </w:rPr>
      </w:pPr>
      <w:bookmarkStart w:id="1340" w:name="_Toc1702387786"/>
      <w:bookmarkStart w:id="1341" w:name="_Toc16117"/>
      <w:bookmarkStart w:id="1342" w:name="_Toc345483340"/>
      <w:r>
        <w:rPr>
          <w:rFonts w:ascii="宋体" w:hAnsi="宋体" w:cs="宋体" w:hint="eastAsia"/>
          <w:color w:val="000000"/>
          <w:lang w:eastAsia="zh-CN"/>
        </w:rPr>
        <w:t>10.4 变更估价</w:t>
      </w:r>
      <w:bookmarkEnd w:id="1340"/>
      <w:bookmarkEnd w:id="1341"/>
      <w:bookmarkEnd w:id="1342"/>
    </w:p>
    <w:p w14:paraId="6900AD05">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本款补充10.4.3。</w:t>
      </w:r>
    </w:p>
    <w:p w14:paraId="1C85AA3E">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10.4.1 变更估价原则</w:t>
      </w:r>
    </w:p>
    <w:p w14:paraId="1FF25071">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 xml:space="preserve">关于变更估价的约定: </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F7EE666">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10.4.3 变更估价的支付方式及时间</w:t>
      </w:r>
    </w:p>
    <w:p w14:paraId="740185A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关于变更价款的支付方式及时间的约定：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82F4F8E">
      <w:pPr>
        <w:spacing w:line="360" w:lineRule="auto"/>
        <w:ind w:left="-240" w:right="-240" w:firstLine="480" w:leftChars="-100" w:rightChars="-100" w:firstLineChars="200"/>
        <w:outlineLvl w:val="2"/>
        <w:rPr>
          <w:rFonts w:ascii="宋体" w:hAnsi="宋体" w:cs="宋体"/>
          <w:color w:val="000000"/>
          <w:lang w:eastAsia="zh-CN"/>
        </w:rPr>
      </w:pPr>
      <w:bookmarkStart w:id="1343" w:name="_Toc2102284973"/>
      <w:bookmarkStart w:id="1344" w:name="_Toc900110438"/>
      <w:r>
        <w:rPr>
          <w:rFonts w:ascii="宋体" w:hAnsi="宋体" w:cs="宋体" w:hint="eastAsia"/>
          <w:color w:val="000000"/>
          <w:lang w:eastAsia="zh-CN"/>
        </w:rPr>
        <w:t>10.5 承包人的合理化建议</w:t>
      </w:r>
      <w:bookmarkEnd w:id="1343"/>
      <w:bookmarkEnd w:id="1344"/>
    </w:p>
    <w:p w14:paraId="1EFBBF33">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监理人审查承包人合理化建议的期限：</w:t>
      </w:r>
      <w:r>
        <w:rPr>
          <w:rFonts w:ascii="宋体" w:hAnsi="宋体" w:cs="宋体" w:hint="eastAsia"/>
          <w:color w:val="00B0F0"/>
          <w:u w:val="single"/>
          <w:lang w:eastAsia="zh-CN"/>
        </w:rPr>
        <w:t xml:space="preserve">                             </w:t>
      </w:r>
      <w:r>
        <w:rPr>
          <w:rFonts w:ascii="宋体" w:hAnsi="宋体" w:cs="宋体" w:hint="eastAsia"/>
          <w:lang w:eastAsia="zh-CN"/>
        </w:rPr>
        <w:t>。</w:t>
      </w:r>
    </w:p>
    <w:p w14:paraId="406B87DB">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发包人审批承包人合理化建议的期限：</w:t>
      </w:r>
      <w:r>
        <w:rPr>
          <w:rFonts w:ascii="宋体" w:hAnsi="宋体" w:cs="宋体" w:hint="eastAsia"/>
          <w:color w:val="00B0F0"/>
          <w:u w:val="single"/>
          <w:lang w:eastAsia="zh-CN"/>
        </w:rPr>
        <w:t xml:space="preserve">                             </w:t>
      </w:r>
      <w:r>
        <w:rPr>
          <w:rFonts w:ascii="宋体" w:hAnsi="宋体" w:cs="宋体" w:hint="eastAsia"/>
          <w:lang w:eastAsia="zh-CN"/>
        </w:rPr>
        <w:t>。</w:t>
      </w:r>
    </w:p>
    <w:p w14:paraId="797B8433">
      <w:pPr>
        <w:spacing w:line="360" w:lineRule="auto"/>
        <w:ind w:left="-240" w:right="-240" w:firstLine="480" w:leftChars="-100" w:rightChars="-100" w:firstLineChars="200"/>
        <w:rPr>
          <w:rFonts w:ascii="宋体" w:hAnsi="宋体" w:cs="宋体"/>
          <w:u w:val="single"/>
          <w:lang w:eastAsia="zh-CN"/>
        </w:rPr>
      </w:pPr>
      <w:r>
        <w:rPr>
          <w:rFonts w:ascii="宋体" w:hAnsi="宋体" w:cs="宋体" w:hint="eastAsia"/>
          <w:lang w:eastAsia="zh-CN"/>
        </w:rPr>
        <w:t>承包人提出的合理化建议降低了合同价格或者提高了工程经济效益的奖励的方法和金额为：</w:t>
      </w:r>
      <w:r>
        <w:rPr>
          <w:rFonts w:ascii="宋体" w:hAnsi="宋体" w:cs="宋体" w:hint="eastAsia"/>
          <w:color w:val="00B0F0"/>
          <w:u w:val="single"/>
          <w:lang w:eastAsia="zh-CN"/>
        </w:rPr>
        <w:t xml:space="preserve">                             </w:t>
      </w:r>
      <w:r>
        <w:rPr>
          <w:rFonts w:ascii="宋体" w:hAnsi="宋体" w:cs="宋体" w:hint="eastAsia"/>
          <w:lang w:eastAsia="zh-CN"/>
        </w:rPr>
        <w:t>。</w:t>
      </w:r>
    </w:p>
    <w:p w14:paraId="5412B7A5">
      <w:pPr>
        <w:spacing w:line="360" w:lineRule="auto"/>
        <w:ind w:left="-240" w:right="-240" w:firstLine="480" w:leftChars="-100" w:rightChars="-100" w:firstLineChars="200"/>
        <w:outlineLvl w:val="2"/>
        <w:rPr>
          <w:rFonts w:ascii="宋体" w:hAnsi="宋体" w:cs="宋体"/>
          <w:color w:val="000000"/>
          <w:lang w:eastAsia="zh-CN"/>
        </w:rPr>
      </w:pPr>
      <w:bookmarkStart w:id="1345" w:name="_Toc1569203092"/>
      <w:bookmarkStart w:id="1346" w:name="_Toc1821307230"/>
      <w:bookmarkStart w:id="1347" w:name="_Toc1308"/>
      <w:r>
        <w:rPr>
          <w:rFonts w:ascii="宋体" w:hAnsi="宋体" w:cs="宋体" w:hint="eastAsia"/>
          <w:color w:val="000000"/>
          <w:lang w:eastAsia="zh-CN"/>
        </w:rPr>
        <w:t>10.7 暂估价</w:t>
      </w:r>
      <w:bookmarkEnd w:id="1345"/>
      <w:bookmarkEnd w:id="1346"/>
      <w:bookmarkEnd w:id="1347"/>
    </w:p>
    <w:p w14:paraId="7F824DE7">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本款补充10.7.1、10.7.2。</w:t>
      </w:r>
    </w:p>
    <w:p w14:paraId="22611528">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暂估价材料的明细详见附件3：《暂估价一览表》。</w:t>
      </w:r>
    </w:p>
    <w:p w14:paraId="6FF2B98A">
      <w:pPr>
        <w:spacing w:line="360" w:lineRule="auto"/>
        <w:ind w:left="-240" w:right="-240" w:firstLine="480" w:leftChars="-100" w:rightChars="-100" w:firstLineChars="200"/>
        <w:rPr>
          <w:rFonts w:ascii="宋体" w:hAnsi="宋体" w:cs="宋体"/>
          <w:kern w:val="2"/>
          <w:lang w:eastAsia="zh-CN"/>
        </w:rPr>
      </w:pPr>
      <w:r>
        <w:rPr>
          <w:rFonts w:ascii="宋体" w:hAnsi="宋体" w:cs="宋体" w:hint="eastAsia"/>
          <w:lang w:eastAsia="zh-CN"/>
        </w:rPr>
        <w:t>10.7.1 依法必须招标的暂估价项目</w:t>
      </w:r>
    </w:p>
    <w:p w14:paraId="78616225">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对于依法必须招标的暂估价项目的确认和批准采取通用合同条款中第</w:t>
      </w:r>
      <w:r>
        <w:rPr>
          <w:rFonts w:ascii="宋体" w:hAnsi="宋体" w:cs="宋体" w:hint="eastAsia"/>
          <w:color w:val="00B0F0"/>
          <w:u w:val="single"/>
          <w:lang w:eastAsia="zh-CN"/>
        </w:rPr>
        <w:t xml:space="preserve">    </w:t>
      </w:r>
      <w:r>
        <w:rPr>
          <w:rFonts w:ascii="宋体" w:hAnsi="宋体" w:cs="宋体" w:hint="eastAsia"/>
          <w:lang w:eastAsia="zh-CN"/>
        </w:rPr>
        <w:t>种方式确定。</w:t>
      </w:r>
    </w:p>
    <w:p w14:paraId="0949018C">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10.7.2 不属于依法必须招标的暂估价项目</w:t>
      </w:r>
    </w:p>
    <w:p w14:paraId="699512D7">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对于不属于依法必须招标的暂估价项目的确认和批准采取通用合同条款中第</w:t>
      </w:r>
      <w:r>
        <w:rPr>
          <w:rFonts w:ascii="宋体" w:hAnsi="宋体" w:cs="宋体" w:hint="eastAsia"/>
          <w:u w:val="single"/>
          <w:lang w:eastAsia="zh-CN"/>
        </w:rPr>
        <w:t xml:space="preserve">    </w:t>
      </w:r>
      <w:r>
        <w:rPr>
          <w:rFonts w:ascii="宋体" w:hAnsi="宋体" w:cs="宋体" w:hint="eastAsia"/>
          <w:lang w:eastAsia="zh-CN"/>
        </w:rPr>
        <w:t>种方式确定。</w:t>
      </w:r>
    </w:p>
    <w:p w14:paraId="4170F0D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第3种方式：承包人直接实施的暂估价项目</w:t>
      </w:r>
    </w:p>
    <w:p w14:paraId="4A663F04">
      <w:pPr>
        <w:spacing w:line="360" w:lineRule="auto"/>
        <w:ind w:left="-240" w:right="-240" w:firstLine="480" w:leftChars="-100" w:rightChars="-100" w:firstLineChars="200"/>
        <w:rPr>
          <w:rFonts w:ascii="宋体" w:hAnsi="宋体" w:cs="宋体"/>
          <w:kern w:val="2"/>
          <w:lang w:eastAsia="zh-CN"/>
        </w:rPr>
      </w:pPr>
      <w:r>
        <w:rPr>
          <w:rFonts w:ascii="宋体" w:hAnsi="宋体" w:cs="宋体" w:hint="eastAsia"/>
          <w:lang w:eastAsia="zh-CN"/>
        </w:rPr>
        <w:t>承包人直接实施的暂估价项目的约定：</w:t>
      </w:r>
      <w:r>
        <w:rPr>
          <w:rFonts w:ascii="宋体" w:hAnsi="宋体" w:cs="宋体" w:hint="eastAsia"/>
          <w:color w:val="00B0F0"/>
          <w:u w:val="single"/>
          <w:lang w:eastAsia="zh-CN"/>
        </w:rPr>
        <w:t xml:space="preserve">                             </w:t>
      </w:r>
      <w:r>
        <w:rPr>
          <w:rFonts w:ascii="宋体" w:hAnsi="宋体" w:cs="宋体" w:hint="eastAsia"/>
          <w:lang w:eastAsia="zh-CN"/>
        </w:rPr>
        <w:t>。</w:t>
      </w:r>
    </w:p>
    <w:p w14:paraId="6BF2227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10.8 暂列金额</w:t>
      </w:r>
    </w:p>
    <w:p w14:paraId="3BF42198">
      <w:pPr>
        <w:autoSpaceDE w:val="0"/>
        <w:autoSpaceDN w:val="0"/>
        <w:adjustRightInd w:val="0"/>
        <w:spacing w:line="360" w:lineRule="auto"/>
        <w:ind w:left="-240" w:right="-240" w:firstLine="480" w:leftChars="-100" w:rightChars="-100" w:firstLineChars="200"/>
        <w:rPr>
          <w:rFonts w:ascii="宋体" w:hAnsi="宋体" w:cs="宋体"/>
          <w:u w:val="single"/>
          <w:lang w:eastAsia="zh-CN"/>
        </w:rPr>
      </w:pPr>
      <w:r>
        <w:rPr>
          <w:rFonts w:ascii="宋体" w:hAnsi="宋体" w:cs="宋体" w:hint="eastAsia"/>
          <w:color w:val="000000"/>
          <w:lang w:eastAsia="zh-CN"/>
        </w:rPr>
        <w:t>合同当事人关于暂列金额使用的约定：</w:t>
      </w:r>
      <w:r>
        <w:rPr>
          <w:rFonts w:ascii="宋体" w:hAnsi="宋体" w:cs="宋体" w:hint="eastAsia"/>
          <w:color w:val="00B0F0"/>
          <w:u w:val="single"/>
          <w:lang w:eastAsia="zh-CN"/>
        </w:rPr>
        <w:t xml:space="preserve">                             </w:t>
      </w:r>
      <w:r>
        <w:rPr>
          <w:rFonts w:ascii="宋体" w:hAnsi="宋体" w:cs="宋体" w:hint="eastAsia"/>
          <w:lang w:eastAsia="zh-CN"/>
        </w:rPr>
        <w:t>。</w:t>
      </w:r>
    </w:p>
    <w:p w14:paraId="4D21213C">
      <w:pPr>
        <w:pStyle w:val="Heading2"/>
        <w:ind w:left="-240" w:right="-240" w:leftChars="-100" w:rightChars="-100"/>
        <w:rPr>
          <w:rFonts w:ascii="宋体" w:hAnsi="宋体" w:cs="宋体"/>
          <w:b w:val="0"/>
          <w:color w:val="000000"/>
          <w:sz w:val="24"/>
          <w:szCs w:val="24"/>
        </w:rPr>
      </w:pPr>
      <w:bookmarkStart w:id="1348" w:name="_Toc17442182"/>
      <w:bookmarkStart w:id="1349" w:name="_Toc1637898606"/>
      <w:r>
        <w:rPr>
          <w:rFonts w:ascii="宋体" w:hAnsi="宋体" w:cs="宋体" w:hint="eastAsia"/>
          <w:b w:val="0"/>
          <w:color w:val="000000"/>
          <w:sz w:val="24"/>
          <w:szCs w:val="24"/>
        </w:rPr>
        <w:t>11. 价格调整</w:t>
      </w:r>
      <w:bookmarkEnd w:id="1348"/>
      <w:bookmarkEnd w:id="1349"/>
      <w:r>
        <w:rPr>
          <w:rFonts w:ascii="宋体" w:hAnsi="宋体" w:cs="宋体" w:hint="eastAsia"/>
          <w:b w:val="0"/>
          <w:color w:val="000000"/>
          <w:sz w:val="24"/>
          <w:szCs w:val="24"/>
        </w:rPr>
        <w:t xml:space="preserve"> </w:t>
      </w:r>
    </w:p>
    <w:p w14:paraId="5FB7599F">
      <w:pPr>
        <w:spacing w:line="360" w:lineRule="auto"/>
        <w:ind w:left="-240" w:right="-240" w:firstLine="480" w:leftChars="-100" w:rightChars="-100" w:firstLineChars="200"/>
        <w:outlineLvl w:val="2"/>
        <w:rPr>
          <w:rFonts w:ascii="宋体" w:hAnsi="宋体" w:cs="宋体"/>
          <w:color w:val="000000"/>
          <w:lang w:eastAsia="zh-CN"/>
        </w:rPr>
      </w:pPr>
      <w:bookmarkStart w:id="1350" w:name="_Toc31698"/>
      <w:bookmarkStart w:id="1351" w:name="_Toc1614717129"/>
      <w:bookmarkStart w:id="1352" w:name="_Toc1840417661"/>
      <w:r>
        <w:rPr>
          <w:rFonts w:ascii="宋体" w:hAnsi="宋体" w:cs="宋体" w:hint="eastAsia"/>
          <w:color w:val="000000"/>
          <w:lang w:eastAsia="zh-CN"/>
        </w:rPr>
        <w:t>11.1 市场价格波动引起的调整</w:t>
      </w:r>
      <w:bookmarkEnd w:id="1350"/>
      <w:bookmarkEnd w:id="1351"/>
      <w:bookmarkEnd w:id="1352"/>
    </w:p>
    <w:p w14:paraId="1ACC262D">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市场价格波动是否调整合同价格的约定：</w:t>
      </w:r>
      <w:r>
        <w:rPr>
          <w:rFonts w:ascii="宋体" w:hAnsi="宋体" w:cs="宋体" w:hint="eastAsia"/>
          <w:color w:val="00B0F0"/>
          <w:u w:val="single"/>
          <w:lang w:eastAsia="zh-CN"/>
        </w:rPr>
        <w:t xml:space="preserve">                             </w:t>
      </w:r>
      <w:r>
        <w:rPr>
          <w:rFonts w:ascii="宋体" w:hAnsi="宋体" w:cs="宋体" w:hint="eastAsia"/>
          <w:lang w:eastAsia="zh-CN"/>
        </w:rPr>
        <w:t>。</w:t>
      </w:r>
    </w:p>
    <w:p w14:paraId="3C15AE1D">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因市场价格波动调整合同价格，采用以下</w:t>
      </w:r>
      <w:r>
        <w:rPr>
          <w:rFonts w:ascii="宋体" w:hAnsi="宋体" w:cs="宋体" w:hint="eastAsia"/>
          <w:lang w:eastAsia="zh-CN"/>
        </w:rPr>
        <w:t>第</w:t>
      </w:r>
      <w:r>
        <w:rPr>
          <w:rFonts w:ascii="宋体" w:hAnsi="宋体" w:cs="宋体" w:hint="eastAsia"/>
          <w:color w:val="00B0F0"/>
          <w:u w:val="single"/>
          <w:lang w:eastAsia="zh-CN"/>
        </w:rPr>
        <w:t xml:space="preserve">    </w:t>
      </w:r>
      <w:r>
        <w:rPr>
          <w:rFonts w:ascii="宋体" w:hAnsi="宋体" w:cs="宋体" w:hint="eastAsia"/>
          <w:color w:val="000000"/>
          <w:lang w:eastAsia="zh-CN"/>
        </w:rPr>
        <w:t>种方式对合同价格进行调整：</w:t>
      </w:r>
    </w:p>
    <w:p w14:paraId="5DE7D85C">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第1种方式：采用价格指数进行价格调整。</w:t>
      </w:r>
    </w:p>
    <w:p w14:paraId="05167AA4">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关于各可调因子、定值和变值权重，以及基本价格指数及其来源的约定：</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w:t>
      </w:r>
    </w:p>
    <w:p w14:paraId="71BEB4AC">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 xml:space="preserve">第2种方式：采用造价信息进行价格调整。  </w:t>
      </w:r>
    </w:p>
    <w:p w14:paraId="571FD860">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（2）关于基准价格的约定：</w:t>
      </w:r>
      <w:r>
        <w:rPr>
          <w:rFonts w:ascii="宋体" w:hAnsi="宋体" w:cs="宋体" w:hint="eastAsia"/>
          <w:color w:val="00B0F0"/>
          <w:u w:val="single"/>
          <w:lang w:eastAsia="zh-CN"/>
        </w:rPr>
        <w:t xml:space="preserve">                             </w:t>
      </w:r>
      <w:r>
        <w:rPr>
          <w:rFonts w:ascii="宋体" w:hAnsi="宋体" w:cs="宋体" w:hint="eastAsia"/>
          <w:lang w:eastAsia="zh-CN"/>
        </w:rPr>
        <w:t>。</w:t>
      </w:r>
    </w:p>
    <w:p w14:paraId="727DE441">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①承包人在已标价工程量清单或预算书中载明的材料单价低于基准价格的：合同履行期间材料单价涨幅以基准价格为基础超过</w:t>
      </w:r>
      <w:r>
        <w:rPr>
          <w:rFonts w:ascii="宋体" w:hAnsi="宋体" w:cs="宋体" w:hint="eastAsia"/>
          <w:color w:val="00B0F0"/>
          <w:u w:val="single"/>
          <w:lang w:eastAsia="zh-CN"/>
        </w:rPr>
        <w:t xml:space="preserve">    </w:t>
      </w:r>
      <w:r>
        <w:rPr>
          <w:rFonts w:ascii="宋体" w:hAnsi="宋体" w:cs="宋体" w:hint="eastAsia"/>
          <w:color w:val="000000"/>
          <w:lang w:eastAsia="zh-CN"/>
        </w:rPr>
        <w:t>%时，或材料单价跌幅以已标价工程量清单或预算书中载明材料单价为基础超过</w:t>
      </w:r>
      <w:r>
        <w:rPr>
          <w:rFonts w:ascii="宋体" w:hAnsi="宋体" w:cs="宋体" w:hint="eastAsia"/>
          <w:color w:val="00B0F0"/>
          <w:u w:val="single"/>
          <w:lang w:eastAsia="zh-CN"/>
        </w:rPr>
        <w:t xml:space="preserve">    </w:t>
      </w:r>
      <w:r>
        <w:rPr>
          <w:rFonts w:ascii="宋体" w:hAnsi="宋体" w:cs="宋体" w:hint="eastAsia"/>
          <w:color w:val="000000"/>
          <w:lang w:eastAsia="zh-CN"/>
        </w:rPr>
        <w:t>%时，其超过部分据实调整。</w:t>
      </w:r>
    </w:p>
    <w:p w14:paraId="1BC1910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②承包人在已标价工程量清单或预算书中载明的材料单价高于基准价格的：合同履行期间材料单价跌幅以基准价格为基础超过</w:t>
      </w:r>
      <w:r>
        <w:rPr>
          <w:rFonts w:ascii="宋体" w:hAnsi="宋体" w:cs="宋体" w:hint="eastAsia"/>
          <w:color w:val="00B0F0"/>
          <w:u w:val="single"/>
          <w:lang w:eastAsia="zh-CN"/>
        </w:rPr>
        <w:t xml:space="preserve">   </w:t>
      </w:r>
      <w:r>
        <w:rPr>
          <w:rFonts w:ascii="宋体" w:hAnsi="宋体" w:cs="宋体" w:hint="eastAsia"/>
          <w:color w:val="000000"/>
          <w:lang w:eastAsia="zh-CN"/>
        </w:rPr>
        <w:t>%时，材料单价涨幅以已标价工程量清单或预算书中载明材料单价为基础超过</w:t>
      </w:r>
      <w:r>
        <w:rPr>
          <w:rFonts w:ascii="宋体" w:hAnsi="宋体" w:cs="宋体" w:hint="eastAsia"/>
          <w:color w:val="00B0F0"/>
          <w:u w:val="single"/>
          <w:lang w:eastAsia="zh-CN"/>
        </w:rPr>
        <w:t xml:space="preserve">   </w:t>
      </w:r>
      <w:r>
        <w:rPr>
          <w:rFonts w:ascii="宋体" w:hAnsi="宋体" w:cs="宋体" w:hint="eastAsia"/>
          <w:color w:val="000000"/>
          <w:lang w:eastAsia="zh-CN"/>
        </w:rPr>
        <w:t>%时，其超过部分据实调整。</w:t>
      </w:r>
    </w:p>
    <w:p w14:paraId="021A462D">
      <w:pPr>
        <w:spacing w:line="360" w:lineRule="auto"/>
        <w:ind w:left="-240" w:right="-240" w:firstLine="645" w:leftChars="-100" w:rightChars="-100"/>
        <w:rPr>
          <w:rFonts w:ascii="宋体" w:hAnsi="宋体" w:cs="宋体"/>
          <w:color w:val="000000"/>
          <w:lang w:eastAsia="zh-CN"/>
        </w:rPr>
      </w:pPr>
      <w:r>
        <w:rPr>
          <w:rFonts w:ascii="宋体" w:hAnsi="宋体" w:cs="宋体" w:hint="eastAsia"/>
          <w:color w:val="000000"/>
          <w:lang w:eastAsia="zh-CN"/>
        </w:rPr>
        <w:t>③承包人在已标价工程量清单或预算书中载明的材料单价等于基准单价的：合同履行期间材料单价涨跌幅以基准单价为基础超过±</w:t>
      </w:r>
      <w:r>
        <w:rPr>
          <w:rFonts w:ascii="宋体" w:hAnsi="宋体" w:cs="宋体" w:hint="eastAsia"/>
          <w:color w:val="00B0F0"/>
          <w:u w:val="single"/>
          <w:lang w:eastAsia="zh-CN"/>
        </w:rPr>
        <w:t xml:space="preserve">   </w:t>
      </w:r>
      <w:r>
        <w:rPr>
          <w:rFonts w:ascii="宋体" w:hAnsi="宋体" w:cs="宋体" w:hint="eastAsia"/>
          <w:color w:val="000000"/>
          <w:lang w:eastAsia="zh-CN"/>
        </w:rPr>
        <w:t>%时，其超过部分据实调整。</w:t>
      </w:r>
    </w:p>
    <w:p w14:paraId="597E970A">
      <w:pPr>
        <w:spacing w:line="360" w:lineRule="auto"/>
        <w:ind w:left="-240" w:right="-240" w:firstLine="645" w:leftChars="-100" w:rightChars="-100"/>
        <w:rPr>
          <w:rFonts w:ascii="宋体" w:hAnsi="宋体" w:cs="宋体"/>
          <w:color w:val="000000"/>
          <w:u w:val="single"/>
          <w:lang w:eastAsia="zh-CN"/>
        </w:rPr>
      </w:pPr>
      <w:r>
        <w:rPr>
          <w:rFonts w:ascii="宋体" w:hAnsi="宋体" w:cs="宋体" w:hint="eastAsia"/>
          <w:color w:val="000000"/>
          <w:lang w:eastAsia="zh-CN"/>
        </w:rPr>
        <w:t>第3种方式：其他价格调整方式：</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C81763D">
      <w:pPr>
        <w:pStyle w:val="Heading2"/>
        <w:ind w:left="-240" w:right="-240" w:leftChars="-100" w:rightChars="-100"/>
        <w:rPr>
          <w:rFonts w:ascii="宋体" w:hAnsi="宋体" w:cs="宋体"/>
          <w:b w:val="0"/>
          <w:color w:val="000000"/>
          <w:sz w:val="24"/>
          <w:szCs w:val="24"/>
        </w:rPr>
      </w:pPr>
      <w:bookmarkStart w:id="1353" w:name="_Toc2095751839"/>
      <w:bookmarkStart w:id="1354" w:name="_Toc226573127"/>
      <w:r>
        <w:rPr>
          <w:rFonts w:ascii="宋体" w:hAnsi="宋体" w:cs="宋体" w:hint="eastAsia"/>
          <w:b w:val="0"/>
          <w:color w:val="000000"/>
          <w:sz w:val="24"/>
          <w:szCs w:val="24"/>
        </w:rPr>
        <w:t>12. 合同价格、计量与支付</w:t>
      </w:r>
      <w:bookmarkEnd w:id="1353"/>
      <w:bookmarkEnd w:id="1354"/>
    </w:p>
    <w:p w14:paraId="4AA15C7B">
      <w:pPr>
        <w:spacing w:line="360" w:lineRule="auto"/>
        <w:ind w:left="-240" w:right="-240" w:firstLine="480" w:leftChars="-100" w:rightChars="-100" w:firstLineChars="200"/>
        <w:outlineLvl w:val="2"/>
        <w:rPr>
          <w:rFonts w:ascii="宋体" w:hAnsi="宋体" w:cs="宋体"/>
          <w:color w:val="000000"/>
          <w:lang w:eastAsia="zh-CN"/>
        </w:rPr>
      </w:pPr>
      <w:bookmarkStart w:id="1355" w:name="_Toc1734401749"/>
      <w:bookmarkStart w:id="1356" w:name="_Toc13589"/>
      <w:bookmarkStart w:id="1357" w:name="_Toc74869891"/>
      <w:r>
        <w:rPr>
          <w:rFonts w:ascii="宋体" w:hAnsi="宋体" w:cs="宋体" w:hint="eastAsia"/>
          <w:color w:val="000000"/>
          <w:lang w:eastAsia="zh-CN"/>
        </w:rPr>
        <w:t>12.1 合同价格形式</w:t>
      </w:r>
      <w:bookmarkEnd w:id="1355"/>
      <w:bookmarkEnd w:id="1356"/>
      <w:bookmarkEnd w:id="1357"/>
    </w:p>
    <w:p w14:paraId="12D296A9">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1.单价合同。</w:t>
      </w:r>
    </w:p>
    <w:p w14:paraId="5C3C6611">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综合单价包含的风险范围：</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F605A1C">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风险费用的计算方法：</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44CA22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风险范围以外合同价格的调整方法：</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w:t>
      </w:r>
    </w:p>
    <w:p w14:paraId="5009E08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2.总价合同。</w:t>
      </w:r>
    </w:p>
    <w:p w14:paraId="5855A65D">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总价包含的风险范围：</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2FA7A47">
      <w:pPr>
        <w:spacing w:line="360" w:lineRule="auto"/>
        <w:ind w:left="-240" w:right="-240" w:firstLine="480" w:leftChars="-100" w:rightChars="-100" w:firstLineChars="200"/>
        <w:rPr>
          <w:rFonts w:ascii="宋体" w:hAnsi="宋体" w:cs="宋体"/>
          <w:i/>
          <w:iCs/>
          <w:color w:val="000000"/>
          <w:u w:val="single"/>
          <w:lang w:eastAsia="zh-CN"/>
        </w:rPr>
      </w:pPr>
      <w:r>
        <w:rPr>
          <w:rFonts w:ascii="宋体" w:hAnsi="宋体" w:cs="宋体" w:hint="eastAsia"/>
          <w:color w:val="000000"/>
          <w:lang w:eastAsia="zh-CN"/>
        </w:rPr>
        <w:t>风险费用的计算方法：</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93DB66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风险范围以外合同价格的调整方法：</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2236CB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3.其他价格方式：</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207DBAB">
      <w:pPr>
        <w:spacing w:line="360" w:lineRule="auto"/>
        <w:ind w:left="-240" w:right="-240" w:firstLine="480" w:leftChars="-100" w:rightChars="-100" w:firstLineChars="200"/>
        <w:outlineLvl w:val="2"/>
        <w:rPr>
          <w:rFonts w:ascii="宋体" w:hAnsi="宋体" w:cs="宋体"/>
          <w:color w:val="000000"/>
          <w:lang w:eastAsia="zh-CN"/>
        </w:rPr>
      </w:pPr>
      <w:bookmarkStart w:id="1358" w:name="_Toc1924091423"/>
      <w:bookmarkStart w:id="1359" w:name="_Toc712673231"/>
      <w:r>
        <w:rPr>
          <w:rFonts w:ascii="宋体" w:hAnsi="宋体" w:cs="宋体" w:hint="eastAsia"/>
          <w:color w:val="000000"/>
          <w:lang w:eastAsia="zh-CN"/>
        </w:rPr>
        <w:t>12.2 预付款</w:t>
      </w:r>
      <w:bookmarkEnd w:id="1358"/>
      <w:bookmarkEnd w:id="1359"/>
    </w:p>
    <w:p w14:paraId="5BAC3652">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本款修改12.2.1、12.2.2。</w:t>
      </w:r>
    </w:p>
    <w:p w14:paraId="27287751">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12.2.1 预付款的支付</w:t>
      </w:r>
    </w:p>
    <w:p w14:paraId="4ED24D2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预付款扣回的方式：</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E5C3D2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12.2.2 预付款担保</w:t>
      </w:r>
    </w:p>
    <w:p w14:paraId="27634164">
      <w:pPr>
        <w:spacing w:line="360" w:lineRule="auto"/>
        <w:ind w:left="-240" w:right="-240" w:firstLine="480" w:leftChars="-100" w:rightChars="-100" w:firstLineChars="200"/>
        <w:rPr>
          <w:rFonts w:ascii="宋体" w:hAnsi="宋体" w:cs="宋体"/>
          <w:color w:val="00B0F0"/>
          <w:u w:val="single"/>
          <w:lang w:eastAsia="zh-CN"/>
        </w:rPr>
      </w:pPr>
      <w:r>
        <w:rPr>
          <w:rFonts w:ascii="宋体" w:hAnsi="宋体" w:cs="宋体" w:hint="eastAsia"/>
          <w:lang w:eastAsia="zh-CN"/>
        </w:rPr>
        <w:t>签订合同后</w:t>
      </w:r>
      <w:r>
        <w:rPr>
          <w:rFonts w:ascii="宋体" w:hAnsi="宋体" w:cs="宋体" w:hint="eastAsia"/>
          <w:color w:val="00B0F0"/>
          <w:u w:val="single"/>
          <w:lang w:eastAsia="zh-CN"/>
        </w:rPr>
        <w:t xml:space="preserve">    </w:t>
      </w:r>
      <w:r>
        <w:rPr>
          <w:rFonts w:ascii="宋体" w:hAnsi="宋体" w:cs="宋体" w:hint="eastAsia"/>
          <w:lang w:eastAsia="zh-CN"/>
        </w:rPr>
        <w:t>个工作日内，承包人需提交支付担保人民币</w:t>
      </w:r>
      <w:r>
        <w:rPr>
          <w:rFonts w:ascii="宋体" w:hAnsi="宋体" w:cs="宋体" w:hint="eastAsia"/>
          <w:color w:val="00B0F0"/>
          <w:u w:val="single"/>
          <w:lang w:eastAsia="zh-CN"/>
        </w:rPr>
        <w:t xml:space="preserve">          </w:t>
      </w:r>
    </w:p>
    <w:p w14:paraId="2945731B">
      <w:pPr>
        <w:spacing w:line="360" w:lineRule="auto"/>
        <w:ind w:left="-240" w:right="-240" w:leftChars="-100" w:rightChars="-100"/>
        <w:rPr>
          <w:rFonts w:ascii="宋体" w:hAnsi="宋体" w:cs="宋体"/>
          <w:lang w:eastAsia="zh-CN"/>
        </w:rPr>
      </w:pPr>
      <w:r>
        <w:rPr>
          <w:rFonts w:ascii="宋体" w:hAnsi="宋体" w:cs="宋体" w:hint="eastAsia"/>
          <w:color w:val="00B0F0"/>
          <w:u w:val="single"/>
          <w:lang w:eastAsia="zh-CN"/>
        </w:rPr>
        <w:t xml:space="preserve">    </w:t>
      </w:r>
      <w:r>
        <w:rPr>
          <w:rFonts w:ascii="宋体" w:hAnsi="宋体" w:cs="宋体" w:hint="eastAsia"/>
          <w:lang w:eastAsia="zh-CN"/>
        </w:rPr>
        <w:t>元（中标价的</w:t>
      </w:r>
      <w:r>
        <w:rPr>
          <w:rFonts w:ascii="宋体" w:hAnsi="宋体" w:cs="宋体" w:hint="eastAsia"/>
          <w:color w:val="00B0F0"/>
          <w:u w:val="single"/>
          <w:lang w:eastAsia="zh-CN"/>
        </w:rPr>
        <w:t xml:space="preserve">     </w:t>
      </w:r>
      <w:r>
        <w:rPr>
          <w:rFonts w:ascii="宋体" w:hAnsi="宋体" w:cs="宋体" w:hint="eastAsia"/>
          <w:lang w:eastAsia="zh-CN"/>
        </w:rPr>
        <w:t>%），以</w:t>
      </w:r>
      <w:r>
        <w:rPr>
          <w:rFonts w:ascii="Wingdings" w:hAnsi="Wingdings" w:cs="宋体"/>
        </w:rPr>
        <w:sym w:font="Wingdings" w:char="F0A8"/>
      </w:r>
      <w:r>
        <w:rPr>
          <w:rFonts w:ascii="宋体" w:hAnsi="宋体" w:cs="宋体" w:hint="eastAsia"/>
          <w:lang w:eastAsia="zh-CN"/>
        </w:rPr>
        <w:t>保函或</w:t>
      </w:r>
      <w:r>
        <w:rPr>
          <w:rFonts w:ascii="Wingdings" w:hAnsi="Wingdings" w:cs="宋体"/>
        </w:rPr>
        <w:sym w:font="Wingdings" w:char="F0A8"/>
      </w:r>
      <w:r>
        <w:rPr>
          <w:rFonts w:ascii="宋体" w:hAnsi="宋体" w:cs="宋体" w:hint="eastAsia"/>
          <w:lang w:eastAsia="zh-CN"/>
        </w:rPr>
        <w:t>保险形式执行。预付款担保的有效期至</w:t>
      </w:r>
      <w:r>
        <w:rPr>
          <w:rFonts w:ascii="宋体" w:hAnsi="宋体" w:cs="宋体" w:hint="eastAsia"/>
          <w:u w:val="single"/>
          <w:lang w:eastAsia="zh-CN"/>
        </w:rPr>
        <w:t xml:space="preserve">              </w:t>
      </w:r>
      <w:r>
        <w:rPr>
          <w:rFonts w:ascii="宋体" w:hAnsi="宋体" w:cs="宋体" w:hint="eastAsia"/>
          <w:lang w:eastAsia="zh-CN"/>
        </w:rPr>
        <w:t>为止。</w:t>
      </w:r>
    </w:p>
    <w:p w14:paraId="7E176E9A">
      <w:pPr>
        <w:spacing w:line="360" w:lineRule="auto"/>
        <w:ind w:left="-240" w:right="-240" w:firstLine="480" w:leftChars="-100" w:rightChars="-100" w:firstLineChars="200"/>
        <w:outlineLvl w:val="2"/>
        <w:rPr>
          <w:rFonts w:ascii="宋体" w:hAnsi="宋体" w:cs="宋体"/>
          <w:color w:val="000000"/>
          <w:lang w:eastAsia="zh-CN"/>
        </w:rPr>
      </w:pPr>
      <w:bookmarkStart w:id="1360" w:name="_Toc100272494"/>
      <w:bookmarkStart w:id="1361" w:name="_Toc13601"/>
      <w:bookmarkStart w:id="1362" w:name="_Toc1055625342"/>
      <w:r>
        <w:rPr>
          <w:rFonts w:ascii="宋体" w:hAnsi="宋体" w:cs="宋体" w:hint="eastAsia"/>
          <w:color w:val="000000"/>
          <w:lang w:eastAsia="zh-CN"/>
        </w:rPr>
        <w:t>12.3 计量</w:t>
      </w:r>
      <w:bookmarkEnd w:id="1360"/>
      <w:bookmarkEnd w:id="1361"/>
      <w:bookmarkEnd w:id="1362"/>
    </w:p>
    <w:p w14:paraId="489CE85B">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12.3.1 计量原则</w:t>
      </w:r>
    </w:p>
    <w:p w14:paraId="7D151C2B">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工程量计算规则：</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AC0341D">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12.3.2 计量周期</w:t>
      </w:r>
    </w:p>
    <w:p w14:paraId="4DA60D93">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关于计量周期的约定：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403B636">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12.3.3 单价合同的计量</w:t>
      </w:r>
    </w:p>
    <w:p w14:paraId="423D435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关于单价合同计量的约定：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516371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12.3.4 总价合同的计量</w:t>
      </w:r>
    </w:p>
    <w:p w14:paraId="5FE1BDC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关于总价合同计量的约定：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99F7A40">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12.3.5 总价合同采用支付分解表计量支付的，是否适用第12.3.4项〔总价合同的计量〕约定进行计量：</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8E80C9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12.3.6 其他价格形式合同的计量</w:t>
      </w:r>
    </w:p>
    <w:p w14:paraId="07F1CCC0">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其他价格形式的计量方式和程序：</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3E5C79D">
      <w:pPr>
        <w:spacing w:line="360" w:lineRule="auto"/>
        <w:ind w:left="-240" w:right="-240" w:firstLine="480" w:leftChars="-100" w:rightChars="-100" w:firstLineChars="200"/>
        <w:outlineLvl w:val="2"/>
        <w:rPr>
          <w:rFonts w:ascii="宋体" w:hAnsi="宋体" w:cs="宋体"/>
          <w:color w:val="000000"/>
          <w:lang w:eastAsia="zh-CN"/>
        </w:rPr>
      </w:pPr>
      <w:bookmarkStart w:id="1363" w:name="_Toc16186591"/>
      <w:bookmarkStart w:id="1364" w:name="_Toc1516403745"/>
      <w:bookmarkStart w:id="1365" w:name="_Toc27300"/>
      <w:r>
        <w:rPr>
          <w:rFonts w:ascii="宋体" w:hAnsi="宋体" w:cs="宋体" w:hint="eastAsia"/>
          <w:color w:val="000000"/>
          <w:lang w:eastAsia="zh-CN"/>
        </w:rPr>
        <w:t>12.4 工程进度款支付</w:t>
      </w:r>
      <w:bookmarkEnd w:id="1363"/>
      <w:bookmarkEnd w:id="1364"/>
      <w:bookmarkEnd w:id="1365"/>
    </w:p>
    <w:p w14:paraId="1B7D6713">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本款修改12.4.4。</w:t>
      </w:r>
    </w:p>
    <w:p w14:paraId="262CC84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12.4.2 进度付款申请单的编制</w:t>
      </w:r>
    </w:p>
    <w:p w14:paraId="4299ADCB">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关于进度付款申请单编制的约定：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50FCBFD">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12.4.3 进度付款申请单的提交</w:t>
      </w:r>
    </w:p>
    <w:p w14:paraId="22D64A5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（1）单价合同进度付款申请单提交的约定：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E8E246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（2）总价合同进度付款申请单提交的约定：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2B99C66">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（3）其他价格形式合同进度付款申请单提交的约定：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71B13D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12.4.4 进度款审核和支付</w:t>
      </w:r>
    </w:p>
    <w:p w14:paraId="3B8C108D">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（1）监理人审查并报送发包人的期限：</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7E401C1">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发包人完成审批并签发进度款支付证书的期限：</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7E6E70E">
      <w:pPr>
        <w:widowControl w:val="0"/>
        <w:numPr>
          <w:ilvl w:val="0"/>
          <w:numId w:val="5"/>
        </w:numPr>
        <w:spacing w:line="360" w:lineRule="auto"/>
        <w:ind w:left="-240" w:right="-240" w:firstLine="480" w:leftChars="-100" w:rightChars="-100" w:firstLineChars="200"/>
        <w:jc w:val="both"/>
        <w:rPr>
          <w:rFonts w:ascii="宋体" w:hAnsi="宋体" w:cs="宋体"/>
          <w:lang w:eastAsia="zh-CN"/>
        </w:rPr>
      </w:pPr>
      <w:r>
        <w:rPr>
          <w:rFonts w:ascii="宋体" w:hAnsi="宋体" w:cs="宋体" w:hint="eastAsia"/>
          <w:lang w:eastAsia="zh-CN"/>
        </w:rPr>
        <w:t>承包人根据工程进度申请支付工程款，每期工程进度款按以下方式选择支付：</w:t>
      </w:r>
    </w:p>
    <w:p w14:paraId="063D5434">
      <w:pPr>
        <w:spacing w:line="360" w:lineRule="auto"/>
        <w:ind w:left="-240" w:right="-240" w:firstLine="480" w:leftChars="-100" w:rightChars="-100" w:firstLineChars="200"/>
        <w:rPr>
          <w:rFonts w:ascii="宋体" w:hAnsi="宋体" w:cs="宋体"/>
          <w:lang w:eastAsia="zh-CN"/>
        </w:rPr>
      </w:pPr>
      <w:r>
        <w:rPr>
          <w:rFonts w:ascii="MS Gothic" w:eastAsia="MS Gothic" w:hAnsi="MS Gothic" w:cs="宋体" w:hint="eastAsia"/>
          <w:lang w:eastAsia="zh-CN"/>
        </w:rPr>
        <w:t>☐</w:t>
      </w:r>
      <w:r>
        <w:rPr>
          <w:rFonts w:ascii="宋体" w:hAnsi="宋体" w:cs="宋体" w:hint="eastAsia"/>
          <w:lang w:eastAsia="zh-CN"/>
        </w:rPr>
        <w:t>按实际完成工程量的百分比支付：</w:t>
      </w:r>
    </w:p>
    <w:p w14:paraId="75867233">
      <w:pPr>
        <w:spacing w:line="360" w:lineRule="auto"/>
        <w:ind w:left="-240" w:right="-240" w:firstLine="480" w:leftChars="-100" w:rightChars="-100" w:firstLineChars="200"/>
        <w:rPr>
          <w:rFonts w:ascii="宋体" w:hAnsi="宋体" w:cs="宋体"/>
          <w:lang w:eastAsia="zh-CN"/>
        </w:rPr>
      </w:pPr>
      <w:r>
        <w:rPr>
          <w:rFonts w:ascii="宋体" w:hAnsi="宋体" w:cs="宋体" w:hint="eastAsia"/>
          <w:color w:val="00B0F0"/>
          <w:u w:val="single"/>
          <w:lang w:eastAsia="zh-CN"/>
        </w:rPr>
        <w:t xml:space="preserve">            </w:t>
      </w:r>
      <w:r>
        <w:rPr>
          <w:rFonts w:ascii="宋体" w:hAnsi="宋体" w:cs="宋体" w:hint="eastAsia"/>
          <w:lang w:eastAsia="zh-CN"/>
        </w:rPr>
        <w:t>；</w:t>
      </w:r>
    </w:p>
    <w:p w14:paraId="537E8597">
      <w:pPr>
        <w:spacing w:line="360" w:lineRule="auto"/>
        <w:ind w:left="-240" w:right="-240" w:firstLine="480" w:leftChars="-100" w:rightChars="-100" w:firstLineChars="200"/>
        <w:rPr>
          <w:rFonts w:ascii="宋体" w:hAnsi="宋体" w:cs="宋体"/>
          <w:lang w:eastAsia="zh-CN"/>
        </w:rPr>
      </w:pPr>
      <w:r>
        <w:rPr>
          <w:rFonts w:ascii="MS Gothic" w:eastAsia="MS Gothic" w:hAnsi="MS Gothic" w:cs="宋体" w:hint="eastAsia"/>
          <w:lang w:eastAsia="zh-CN"/>
        </w:rPr>
        <w:t>☐</w:t>
      </w:r>
      <w:r>
        <w:rPr>
          <w:rFonts w:ascii="宋体" w:hAnsi="宋体" w:cs="宋体" w:hint="eastAsia"/>
          <w:lang w:eastAsia="zh-CN"/>
        </w:rPr>
        <w:t>按形象进度支付：</w:t>
      </w:r>
    </w:p>
    <w:p w14:paraId="4F91ACD9">
      <w:pPr>
        <w:spacing w:line="360" w:lineRule="auto"/>
        <w:ind w:left="-240" w:right="-240" w:firstLine="480" w:leftChars="-100" w:rightChars="-100" w:firstLineChars="200"/>
        <w:rPr>
          <w:rFonts w:ascii="宋体" w:hAnsi="宋体" w:cs="宋体"/>
          <w:lang w:eastAsia="zh-CN"/>
        </w:rPr>
      </w:pPr>
      <w:r>
        <w:rPr>
          <w:rFonts w:ascii="宋体" w:hAnsi="宋体" w:cs="宋体" w:hint="eastAsia"/>
          <w:color w:val="00B0F0"/>
          <w:u w:val="single"/>
          <w:lang w:eastAsia="zh-CN"/>
        </w:rPr>
        <w:t xml:space="preserve">            </w:t>
      </w:r>
      <w:r>
        <w:rPr>
          <w:rFonts w:ascii="宋体" w:hAnsi="宋体" w:cs="宋体" w:hint="eastAsia"/>
          <w:lang w:eastAsia="zh-CN"/>
        </w:rPr>
        <w:t>；</w:t>
      </w:r>
    </w:p>
    <w:p w14:paraId="1C2BDC7A">
      <w:pPr>
        <w:spacing w:line="360" w:lineRule="auto"/>
        <w:ind w:left="-240" w:right="-240" w:firstLine="480" w:leftChars="-100" w:rightChars="-100" w:firstLineChars="200"/>
        <w:rPr>
          <w:rFonts w:ascii="宋体" w:hAnsi="宋体" w:cs="宋体"/>
          <w:lang w:eastAsia="zh-CN"/>
        </w:rPr>
      </w:pPr>
      <w:r>
        <w:rPr>
          <w:rFonts w:ascii="MS Gothic" w:eastAsia="MS Gothic" w:hAnsi="MS Gothic" w:cs="宋体" w:hint="eastAsia"/>
          <w:lang w:eastAsia="zh-CN"/>
        </w:rPr>
        <w:t>☐</w:t>
      </w:r>
      <w:r>
        <w:rPr>
          <w:rFonts w:ascii="宋体" w:hAnsi="宋体" w:cs="宋体" w:hint="eastAsia"/>
          <w:lang w:eastAsia="zh-CN"/>
        </w:rPr>
        <w:t>按月实际完成工程量</w:t>
      </w:r>
      <w:r>
        <w:rPr>
          <w:rFonts w:ascii="宋体" w:hAnsi="宋体" w:cs="宋体" w:hint="eastAsia"/>
          <w:color w:val="00B0F0"/>
          <w:u w:val="single"/>
          <w:lang w:eastAsia="zh-CN"/>
        </w:rPr>
        <w:t xml:space="preserve">            </w:t>
      </w:r>
      <w:r>
        <w:rPr>
          <w:rFonts w:ascii="宋体" w:hAnsi="宋体" w:cs="宋体" w:hint="eastAsia"/>
          <w:lang w:eastAsia="zh-CN"/>
        </w:rPr>
        <w:t>%支付；</w:t>
      </w:r>
    </w:p>
    <w:p w14:paraId="251077AC">
      <w:pPr>
        <w:spacing w:line="360" w:lineRule="auto"/>
        <w:ind w:left="-240" w:right="-240" w:firstLine="480" w:leftChars="-100" w:rightChars="-100" w:firstLineChars="200"/>
        <w:rPr>
          <w:rFonts w:ascii="宋体" w:hAnsi="宋体" w:cs="宋体"/>
          <w:lang w:eastAsia="zh-CN"/>
        </w:rPr>
      </w:pPr>
      <w:r>
        <w:rPr>
          <w:rFonts w:ascii="MS Gothic" w:eastAsia="MS Gothic" w:hAnsi="MS Gothic" w:cs="宋体" w:hint="eastAsia"/>
          <w:lang w:eastAsia="zh-CN"/>
        </w:rPr>
        <w:t>☐</w:t>
      </w:r>
      <w:r>
        <w:rPr>
          <w:rFonts w:ascii="宋体" w:hAnsi="宋体" w:cs="宋体" w:hint="eastAsia"/>
          <w:lang w:eastAsia="zh-CN"/>
        </w:rPr>
        <w:t>其它：</w:t>
      </w:r>
      <w:r>
        <w:rPr>
          <w:rFonts w:ascii="宋体" w:hAnsi="宋体" w:cs="宋体" w:hint="eastAsia"/>
          <w:color w:val="00B0F0"/>
          <w:u w:val="single"/>
          <w:lang w:eastAsia="zh-CN"/>
        </w:rPr>
        <w:t xml:space="preserve">            </w:t>
      </w:r>
      <w:r>
        <w:rPr>
          <w:rFonts w:ascii="宋体" w:hAnsi="宋体" w:cs="宋体" w:hint="eastAsia"/>
          <w:lang w:eastAsia="zh-CN"/>
        </w:rPr>
        <w:t>。</w:t>
      </w:r>
    </w:p>
    <w:p w14:paraId="3AED24E0">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发包人在收到工程款进度申请后</w:t>
      </w:r>
      <w:r>
        <w:rPr>
          <w:rFonts w:ascii="宋体" w:hAnsi="宋体" w:cs="宋体" w:hint="eastAsia"/>
          <w:color w:val="00B0F0"/>
          <w:u w:val="single"/>
          <w:lang w:eastAsia="zh-CN"/>
        </w:rPr>
        <w:t xml:space="preserve">    </w:t>
      </w:r>
      <w:r>
        <w:rPr>
          <w:rFonts w:ascii="宋体" w:hAnsi="宋体" w:cs="宋体" w:hint="eastAsia"/>
          <w:lang w:eastAsia="zh-CN"/>
        </w:rPr>
        <w:t>个工作日内完成支付，累计支付达到合同价款的</w:t>
      </w:r>
      <w:r>
        <w:rPr>
          <w:rFonts w:ascii="宋体" w:hAnsi="宋体" w:cs="宋体" w:hint="eastAsia"/>
          <w:color w:val="00B0F0"/>
          <w:u w:val="single"/>
          <w:lang w:eastAsia="zh-CN"/>
        </w:rPr>
        <w:t xml:space="preserve">     </w:t>
      </w:r>
      <w:r>
        <w:rPr>
          <w:rFonts w:ascii="宋体" w:hAnsi="宋体" w:cs="宋体" w:hint="eastAsia"/>
          <w:lang w:eastAsia="zh-CN"/>
        </w:rPr>
        <w:t>%时，停止支付进度款。</w:t>
      </w:r>
    </w:p>
    <w:p w14:paraId="64EBE6E7">
      <w:pPr>
        <w:spacing w:line="360" w:lineRule="auto"/>
        <w:ind w:left="-240" w:right="-240" w:firstLine="480" w:leftChars="-100" w:rightChars="-100" w:firstLineChars="200"/>
        <w:rPr>
          <w:rFonts w:ascii="宋体" w:hAnsi="宋体" w:cs="宋体"/>
          <w:color w:val="00B0F0"/>
          <w:lang w:eastAsia="zh-CN"/>
        </w:rPr>
      </w:pPr>
      <w:r>
        <w:rPr>
          <w:rFonts w:ascii="宋体" w:hAnsi="宋体" w:cs="宋体" w:hint="eastAsia"/>
          <w:color w:val="000000"/>
          <w:lang w:eastAsia="zh-CN"/>
        </w:rPr>
        <w:t>发包人逾期支付进度款的违约金的计算方式：</w:t>
      </w:r>
      <w:r>
        <w:rPr>
          <w:rFonts w:ascii="宋体" w:hAnsi="宋体" w:cs="宋体" w:hint="eastAsia"/>
          <w:color w:val="00B0F0"/>
          <w:u w:val="single"/>
          <w:lang w:eastAsia="zh-CN"/>
        </w:rPr>
        <w:t xml:space="preserve">               </w:t>
      </w:r>
    </w:p>
    <w:p w14:paraId="4AA4C5FF">
      <w:pPr>
        <w:spacing w:line="360" w:lineRule="auto"/>
        <w:ind w:left="-240" w:right="-240" w:leftChars="-100" w:rightChars="-100"/>
        <w:rPr>
          <w:rFonts w:ascii="宋体" w:hAnsi="宋体" w:cs="宋体"/>
          <w:color w:val="000000"/>
          <w:lang w:eastAsia="zh-CN"/>
        </w:rPr>
      </w:pP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14170D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12.4.6 支付分解表的编制</w:t>
      </w:r>
    </w:p>
    <w:p w14:paraId="5435B253">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2.总价合同支付分解表的编制与审批：</w:t>
      </w:r>
      <w:r>
        <w:rPr>
          <w:rFonts w:ascii="宋体" w:hAnsi="宋体" w:cs="宋体" w:hint="eastAsia"/>
          <w:color w:val="00B0F0"/>
          <w:u w:val="single"/>
          <w:lang w:eastAsia="zh-CN"/>
        </w:rPr>
        <w:t xml:space="preserve">                     。</w:t>
      </w:r>
    </w:p>
    <w:p w14:paraId="041C30DF">
      <w:pPr>
        <w:spacing w:line="360" w:lineRule="auto"/>
        <w:ind w:left="-240" w:right="-240" w:firstLine="480" w:leftChars="-100" w:rightChars="-100" w:firstLineChars="200"/>
        <w:rPr>
          <w:rFonts w:ascii="宋体" w:hAnsi="宋体" w:cs="宋体"/>
          <w:color w:val="ED7D31"/>
          <w:lang w:eastAsia="zh-CN"/>
        </w:rPr>
      </w:pPr>
      <w:r>
        <w:rPr>
          <w:rFonts w:ascii="宋体" w:hAnsi="宋体" w:cs="宋体" w:hint="eastAsia"/>
          <w:color w:val="000000"/>
          <w:lang w:eastAsia="zh-CN"/>
        </w:rPr>
        <w:t>3.单价合同的总价项目支付分解表的编制与审批：</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A3DE510">
      <w:pPr>
        <w:pStyle w:val="Heading2"/>
        <w:ind w:left="-240" w:right="-240" w:leftChars="-100" w:rightChars="-100"/>
        <w:rPr>
          <w:rFonts w:ascii="宋体" w:hAnsi="宋体" w:cs="宋体"/>
          <w:b w:val="0"/>
          <w:color w:val="000000"/>
          <w:sz w:val="24"/>
          <w:szCs w:val="24"/>
        </w:rPr>
      </w:pPr>
      <w:bookmarkStart w:id="1366" w:name="_Toc1569476373"/>
      <w:bookmarkStart w:id="1367" w:name="_Toc1114100005"/>
      <w:r>
        <w:rPr>
          <w:rFonts w:ascii="宋体" w:hAnsi="宋体" w:cs="宋体" w:hint="eastAsia"/>
          <w:b w:val="0"/>
          <w:color w:val="000000"/>
          <w:sz w:val="24"/>
          <w:szCs w:val="24"/>
        </w:rPr>
        <w:t>13. 验收和工程试车</w:t>
      </w:r>
      <w:bookmarkEnd w:id="1366"/>
      <w:bookmarkEnd w:id="1367"/>
    </w:p>
    <w:p w14:paraId="2181E5F0">
      <w:pPr>
        <w:spacing w:line="360" w:lineRule="auto"/>
        <w:ind w:left="-240" w:right="-240" w:firstLine="480" w:leftChars="-100" w:rightChars="-100" w:firstLineChars="200"/>
        <w:outlineLvl w:val="2"/>
        <w:rPr>
          <w:rFonts w:ascii="宋体" w:hAnsi="宋体" w:cs="宋体"/>
          <w:color w:val="000000"/>
          <w:lang w:eastAsia="zh-CN"/>
        </w:rPr>
      </w:pPr>
      <w:bookmarkStart w:id="1368" w:name="_Toc396975010"/>
      <w:bookmarkStart w:id="1369" w:name="_Toc17144"/>
      <w:bookmarkStart w:id="1370" w:name="_Toc750296361"/>
      <w:r>
        <w:rPr>
          <w:rFonts w:ascii="宋体" w:hAnsi="宋体" w:cs="宋体" w:hint="eastAsia"/>
          <w:color w:val="000000"/>
          <w:lang w:eastAsia="zh-CN"/>
        </w:rPr>
        <w:t>13.1 分部分项工程验收</w:t>
      </w:r>
      <w:bookmarkEnd w:id="1368"/>
      <w:bookmarkEnd w:id="1369"/>
      <w:bookmarkEnd w:id="1370"/>
    </w:p>
    <w:p w14:paraId="4228FD76">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13.1.2 监理人不能按时进行验收时，应提前</w:t>
      </w:r>
      <w:r>
        <w:rPr>
          <w:rFonts w:ascii="宋体" w:hAnsi="宋体" w:cs="宋体" w:hint="eastAsia"/>
          <w:color w:val="00B0F0"/>
          <w:u w:val="single"/>
          <w:lang w:eastAsia="zh-CN"/>
        </w:rPr>
        <w:t xml:space="preserve">      </w:t>
      </w:r>
      <w:r>
        <w:rPr>
          <w:rFonts w:ascii="宋体" w:hAnsi="宋体" w:cs="宋体" w:hint="eastAsia"/>
          <w:lang w:eastAsia="zh-CN"/>
        </w:rPr>
        <w:t>小时提交书面延期要求。</w:t>
      </w:r>
    </w:p>
    <w:p w14:paraId="7A5A7A8D">
      <w:pPr>
        <w:spacing w:line="360" w:lineRule="auto"/>
        <w:ind w:left="-240" w:right="-240" w:firstLine="480" w:leftChars="-100" w:rightChars="-100" w:firstLineChars="200"/>
        <w:rPr>
          <w:rFonts w:ascii="宋体" w:hAnsi="宋体" w:cs="宋体"/>
          <w:b/>
          <w:color w:val="000000"/>
          <w:lang w:eastAsia="zh-CN"/>
        </w:rPr>
      </w:pPr>
      <w:r>
        <w:rPr>
          <w:rFonts w:ascii="宋体" w:hAnsi="宋体" w:cs="宋体" w:hint="eastAsia"/>
          <w:lang w:eastAsia="zh-CN"/>
        </w:rPr>
        <w:t>关于延期最长不得超过：</w:t>
      </w:r>
      <w:r>
        <w:rPr>
          <w:rFonts w:ascii="宋体" w:hAnsi="宋体" w:cs="宋体" w:hint="eastAsia"/>
          <w:color w:val="00B0F0"/>
          <w:u w:val="single"/>
          <w:lang w:eastAsia="zh-CN"/>
        </w:rPr>
        <w:t xml:space="preserve">     </w:t>
      </w:r>
      <w:r>
        <w:rPr>
          <w:rFonts w:ascii="宋体" w:hAnsi="宋体" w:cs="宋体" w:hint="eastAsia"/>
          <w:lang w:eastAsia="zh-CN"/>
        </w:rPr>
        <w:t>小时。</w:t>
      </w:r>
    </w:p>
    <w:p w14:paraId="239A2D31">
      <w:pPr>
        <w:spacing w:line="360" w:lineRule="auto"/>
        <w:ind w:left="-240" w:right="-240" w:firstLine="480" w:leftChars="-100" w:rightChars="-100" w:firstLineChars="200"/>
        <w:outlineLvl w:val="2"/>
        <w:rPr>
          <w:rFonts w:ascii="宋体" w:hAnsi="宋体" w:cs="宋体"/>
          <w:color w:val="000000"/>
          <w:lang w:eastAsia="zh-CN"/>
        </w:rPr>
      </w:pPr>
      <w:bookmarkStart w:id="1371" w:name="_Toc12180"/>
      <w:bookmarkStart w:id="1372" w:name="_Toc1898612073"/>
      <w:bookmarkStart w:id="1373" w:name="_Toc282243333"/>
      <w:r>
        <w:rPr>
          <w:rFonts w:ascii="宋体" w:hAnsi="宋体" w:cs="宋体" w:hint="eastAsia"/>
          <w:color w:val="000000"/>
          <w:lang w:eastAsia="zh-CN"/>
        </w:rPr>
        <w:t>13.2 竣工验收</w:t>
      </w:r>
      <w:bookmarkEnd w:id="1371"/>
      <w:bookmarkEnd w:id="1372"/>
      <w:bookmarkEnd w:id="1373"/>
    </w:p>
    <w:p w14:paraId="16442AD3">
      <w:pPr>
        <w:spacing w:line="360" w:lineRule="auto"/>
        <w:ind w:left="-240" w:right="-240" w:firstLine="480" w:leftChars="-100" w:rightChars="-100" w:firstLineChars="200"/>
        <w:outlineLvl w:val="2"/>
        <w:rPr>
          <w:rFonts w:ascii="宋体" w:hAnsi="宋体" w:cs="宋体"/>
          <w:color w:val="000000"/>
          <w:lang w:eastAsia="zh-CN"/>
        </w:rPr>
      </w:pPr>
      <w:bookmarkStart w:id="1374" w:name="_Toc559507805"/>
      <w:bookmarkStart w:id="1375" w:name="_Toc317308676"/>
      <w:r>
        <w:rPr>
          <w:rFonts w:ascii="宋体" w:hAnsi="宋体" w:cs="宋体" w:hint="eastAsia"/>
          <w:color w:val="000000"/>
          <w:lang w:eastAsia="zh-CN"/>
        </w:rPr>
        <w:t>本款补充13.2.1、修改13.2.5。</w:t>
      </w:r>
      <w:bookmarkEnd w:id="1374"/>
      <w:bookmarkEnd w:id="1375"/>
    </w:p>
    <w:p w14:paraId="3A6872A8">
      <w:pPr>
        <w:spacing w:line="360" w:lineRule="auto"/>
        <w:ind w:left="-240" w:right="-240" w:firstLine="480" w:leftChars="-100" w:rightChars="-100" w:firstLineChars="200"/>
        <w:outlineLvl w:val="2"/>
        <w:rPr>
          <w:rFonts w:ascii="宋体" w:hAnsi="宋体" w:cs="宋体"/>
          <w:color w:val="000000"/>
          <w:lang w:eastAsia="zh-CN"/>
        </w:rPr>
      </w:pPr>
      <w:bookmarkStart w:id="1376" w:name="_Toc1027479745"/>
      <w:bookmarkStart w:id="1377" w:name="_Toc276351635"/>
      <w:r>
        <w:rPr>
          <w:rFonts w:ascii="宋体" w:hAnsi="宋体" w:cs="宋体" w:hint="eastAsia"/>
          <w:color w:val="000000"/>
          <w:lang w:eastAsia="zh-CN"/>
        </w:rPr>
        <w:t>13.2.1 竣工验收条件</w:t>
      </w:r>
      <w:bookmarkEnd w:id="1376"/>
      <w:bookmarkEnd w:id="1377"/>
    </w:p>
    <w:p w14:paraId="75C2AD32">
      <w:pPr>
        <w:spacing w:line="360" w:lineRule="auto"/>
        <w:ind w:left="-240" w:right="-240" w:firstLine="480" w:leftChars="-100" w:rightChars="-100" w:firstLineChars="200"/>
        <w:outlineLvl w:val="2"/>
        <w:rPr>
          <w:rFonts w:ascii="宋体" w:hAnsi="宋体" w:cs="宋体"/>
          <w:color w:val="000000"/>
          <w:lang w:eastAsia="zh-CN"/>
        </w:rPr>
      </w:pPr>
      <w:bookmarkStart w:id="1378" w:name="_Toc1418190231"/>
      <w:bookmarkStart w:id="1379" w:name="_Toc1893941971"/>
      <w:r>
        <w:rPr>
          <w:rFonts w:ascii="宋体" w:hAnsi="宋体" w:cs="宋体" w:hint="eastAsia"/>
          <w:color w:val="000000"/>
          <w:lang w:eastAsia="zh-CN"/>
        </w:rPr>
        <w:t>（3）竣工资料内容和份数：</w:t>
      </w:r>
      <w:r>
        <w:rPr>
          <w:rFonts w:ascii="宋体" w:hAnsi="宋体" w:cs="宋体" w:hint="eastAsia"/>
          <w:color w:val="00B0F0"/>
          <w:u w:val="single"/>
          <w:lang w:eastAsia="zh-CN"/>
        </w:rPr>
        <w:t xml:space="preserve">                          </w:t>
      </w:r>
      <w:r>
        <w:rPr>
          <w:rFonts w:ascii="宋体" w:hAnsi="宋体" w:cs="宋体" w:hint="eastAsia"/>
          <w:color w:val="000000"/>
          <w:lang w:eastAsia="zh-CN"/>
        </w:rPr>
        <w:t>。</w:t>
      </w:r>
      <w:bookmarkEnd w:id="1378"/>
      <w:bookmarkEnd w:id="1379"/>
    </w:p>
    <w:p w14:paraId="6ECD87F8">
      <w:pPr>
        <w:spacing w:line="360" w:lineRule="auto"/>
        <w:ind w:left="-240" w:right="-240" w:firstLine="480" w:leftChars="-100" w:rightChars="-100" w:firstLineChars="200"/>
        <w:outlineLvl w:val="2"/>
        <w:rPr>
          <w:rFonts w:ascii="宋体" w:hAnsi="宋体" w:cs="宋体"/>
          <w:color w:val="000000"/>
          <w:kern w:val="2"/>
          <w:lang w:eastAsia="zh-CN"/>
        </w:rPr>
      </w:pPr>
      <w:bookmarkStart w:id="1380" w:name="_Toc1570375781"/>
      <w:bookmarkStart w:id="1381" w:name="_Toc1822546722"/>
      <w:r>
        <w:rPr>
          <w:rFonts w:ascii="宋体" w:hAnsi="宋体" w:cs="宋体" w:hint="eastAsia"/>
          <w:color w:val="000000"/>
          <w:lang w:eastAsia="zh-CN"/>
        </w:rPr>
        <w:t>13.2.2 竣工验收程序</w:t>
      </w:r>
      <w:bookmarkEnd w:id="1380"/>
      <w:bookmarkEnd w:id="1381"/>
    </w:p>
    <w:p w14:paraId="58E5569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关于竣工验收程序的约定：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995E150">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发包人不按照本项约定组织竣工验收、颁发工程接收证书的违约金的计算方法：</w:t>
      </w:r>
      <w:r>
        <w:rPr>
          <w:rFonts w:ascii="宋体" w:hAnsi="宋体" w:cs="宋体" w:hint="eastAsia"/>
          <w:color w:val="000000"/>
          <w:u w:val="single"/>
          <w:lang w:eastAsia="zh-CN"/>
        </w:rPr>
        <w:t xml:space="preserve">                                           </w:t>
      </w:r>
    </w:p>
    <w:p w14:paraId="2ED53D10">
      <w:pPr>
        <w:spacing w:line="360" w:lineRule="auto"/>
        <w:ind w:left="-240" w:right="-240" w:leftChars="-100" w:rightChars="-100"/>
        <w:rPr>
          <w:rFonts w:ascii="宋体" w:hAnsi="宋体" w:cs="宋体"/>
          <w:color w:val="000000"/>
          <w:kern w:val="2"/>
        </w:rPr>
      </w:pPr>
      <w:r>
        <w:rPr>
          <w:rFonts w:ascii="宋体" w:hAnsi="宋体" w:cs="宋体" w:hint="eastAsia"/>
          <w:color w:val="00B0F0"/>
          <w:u w:val="single"/>
          <w:lang w:eastAsia="zh-CN"/>
        </w:rPr>
        <w:t xml:space="preserve">                          </w:t>
      </w:r>
      <w:r>
        <w:rPr>
          <w:rFonts w:ascii="宋体" w:hAnsi="宋体" w:cs="宋体" w:hint="eastAsia"/>
          <w:color w:val="000000"/>
        </w:rPr>
        <w:t>。</w:t>
      </w:r>
    </w:p>
    <w:p w14:paraId="20740EA3">
      <w:pPr>
        <w:spacing w:line="360" w:lineRule="auto"/>
        <w:ind w:left="-240" w:right="-240" w:firstLine="480" w:leftChars="-100" w:rightChars="-100" w:firstLineChars="200"/>
        <w:rPr>
          <w:rFonts w:ascii="宋体" w:hAnsi="宋体" w:cs="宋体"/>
          <w:color w:val="000000"/>
        </w:rPr>
      </w:pPr>
      <w:r>
        <w:rPr>
          <w:rFonts w:ascii="宋体" w:hAnsi="宋体" w:cs="宋体" w:hint="eastAsia"/>
          <w:color w:val="000000"/>
        </w:rPr>
        <w:t>13.2.5 移交、接收全部与部分工程</w:t>
      </w:r>
    </w:p>
    <w:p w14:paraId="7224E5B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绿化工程移交期限：</w:t>
      </w:r>
      <w:r>
        <w:rPr>
          <w:rFonts w:ascii="宋体" w:hAnsi="宋体" w:cs="宋体" w:hint="eastAsia"/>
          <w:color w:val="00B0F0"/>
          <w:u w:val="single"/>
          <w:lang w:eastAsia="zh-CN"/>
        </w:rPr>
        <w:t xml:space="preserve">                          </w:t>
      </w:r>
    </w:p>
    <w:p w14:paraId="4D82158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其他工程移交期限：</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B21B8A8">
      <w:pPr>
        <w:spacing w:line="360" w:lineRule="auto"/>
        <w:ind w:left="-240" w:right="-240" w:firstLine="480" w:leftChars="-100" w:rightChars="-100" w:firstLineChars="200"/>
        <w:rPr>
          <w:rFonts w:ascii="宋体" w:hAnsi="宋体" w:cs="宋体"/>
          <w:color w:val="000000"/>
          <w:kern w:val="2"/>
          <w:u w:val="single"/>
          <w:lang w:eastAsia="zh-CN"/>
        </w:rPr>
      </w:pPr>
      <w:r>
        <w:rPr>
          <w:rFonts w:ascii="宋体" w:hAnsi="宋体" w:cs="宋体" w:hint="eastAsia"/>
          <w:color w:val="000000"/>
          <w:lang w:eastAsia="zh-CN"/>
        </w:rPr>
        <w:t>发包人未按本合同约定接收全部或部分工程的，违约金的计算方法为：</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3EE525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承包人未按时移交工程的，违约金的计算方法为：</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35ADE57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13.3 工程试车</w:t>
      </w:r>
    </w:p>
    <w:p w14:paraId="2B9CE727">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13.3.1 试车程序</w:t>
      </w:r>
    </w:p>
    <w:p w14:paraId="7E19D45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工程试车内容：</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342A81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（1）单机无负荷试车费用由</w:t>
      </w:r>
      <w:r>
        <w:rPr>
          <w:rFonts w:ascii="宋体" w:hAnsi="宋体" w:cs="宋体" w:hint="eastAsia"/>
          <w:color w:val="00B0F0"/>
          <w:u w:val="single"/>
          <w:lang w:eastAsia="zh-CN"/>
        </w:rPr>
        <w:t xml:space="preserve">                          </w:t>
      </w:r>
      <w:r>
        <w:rPr>
          <w:rFonts w:ascii="宋体" w:hAnsi="宋体" w:cs="宋体" w:hint="eastAsia"/>
          <w:color w:val="000000"/>
          <w:lang w:eastAsia="zh-CN"/>
        </w:rPr>
        <w:t>承担；</w:t>
      </w:r>
    </w:p>
    <w:p w14:paraId="3FD50B8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（2）无负荷联动试车费用由</w:t>
      </w:r>
      <w:r>
        <w:rPr>
          <w:rFonts w:ascii="宋体" w:hAnsi="宋体" w:cs="宋体" w:hint="eastAsia"/>
          <w:color w:val="00B0F0"/>
          <w:u w:val="single"/>
          <w:lang w:eastAsia="zh-CN"/>
        </w:rPr>
        <w:t xml:space="preserve">                          </w:t>
      </w:r>
      <w:r>
        <w:rPr>
          <w:rFonts w:ascii="宋体" w:hAnsi="宋体" w:cs="宋体" w:hint="eastAsia"/>
          <w:color w:val="000000"/>
          <w:lang w:eastAsia="zh-CN"/>
        </w:rPr>
        <w:t>承担。</w:t>
      </w:r>
    </w:p>
    <w:p w14:paraId="684DCB01">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13.3.3 投料试车</w:t>
      </w:r>
    </w:p>
    <w:p w14:paraId="5C662472">
      <w:pPr>
        <w:spacing w:line="360" w:lineRule="auto"/>
        <w:ind w:left="-240" w:right="-240" w:firstLine="480" w:leftChars="-100" w:rightChars="-100" w:firstLineChars="200"/>
        <w:rPr>
          <w:rFonts w:ascii="宋体" w:hAnsi="宋体" w:cs="宋体"/>
          <w:color w:val="000000"/>
          <w:kern w:val="2"/>
          <w:lang w:eastAsia="zh-CN"/>
        </w:rPr>
      </w:pPr>
      <w:r>
        <w:rPr>
          <w:rFonts w:ascii="宋体" w:hAnsi="宋体" w:cs="宋体" w:hint="eastAsia"/>
          <w:color w:val="000000"/>
          <w:lang w:eastAsia="zh-CN"/>
        </w:rPr>
        <w:t>关于投料试车相关事项的约定：</w:t>
      </w:r>
      <w:r>
        <w:rPr>
          <w:rFonts w:ascii="宋体" w:hAnsi="宋体" w:cs="宋体" w:hint="eastAsia"/>
          <w:color w:val="00B0F0"/>
          <w:u w:val="single"/>
          <w:lang w:eastAsia="zh-CN"/>
        </w:rPr>
        <w:t xml:space="preserve">                          </w:t>
      </w:r>
    </w:p>
    <w:p w14:paraId="03A04EA5">
      <w:pPr>
        <w:spacing w:line="360" w:lineRule="auto"/>
        <w:ind w:left="-240" w:right="-240" w:firstLine="480" w:leftChars="-100" w:rightChars="-100" w:firstLineChars="200"/>
        <w:rPr>
          <w:rFonts w:ascii="宋体" w:hAnsi="宋体" w:cs="宋体"/>
          <w:color w:val="000000"/>
          <w:lang w:eastAsia="zh-CN"/>
        </w:rPr>
      </w:pPr>
      <w:bookmarkStart w:id="1382" w:name="_Toc19772"/>
      <w:r>
        <w:rPr>
          <w:rFonts w:ascii="宋体" w:hAnsi="宋体" w:cs="宋体" w:hint="eastAsia"/>
          <w:color w:val="000000"/>
          <w:lang w:eastAsia="zh-CN"/>
        </w:rPr>
        <w:t>13.6 竣工退场</w:t>
      </w:r>
      <w:bookmarkEnd w:id="1382"/>
    </w:p>
    <w:p w14:paraId="4DF3824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13.6.1 竣工退场</w:t>
      </w:r>
    </w:p>
    <w:p w14:paraId="74426EB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承包人完成竣工退场的期限：</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85F4450">
      <w:pPr>
        <w:pStyle w:val="Heading2"/>
        <w:ind w:left="-240" w:right="-240" w:leftChars="-100" w:rightChars="-100"/>
        <w:rPr>
          <w:rFonts w:ascii="宋体" w:hAnsi="宋体" w:cs="宋体"/>
          <w:b w:val="0"/>
          <w:color w:val="000000"/>
          <w:sz w:val="24"/>
          <w:szCs w:val="24"/>
        </w:rPr>
      </w:pPr>
      <w:bookmarkStart w:id="1383" w:name="_Toc1123811034"/>
      <w:bookmarkStart w:id="1384" w:name="_Toc295889295"/>
      <w:r>
        <w:rPr>
          <w:rFonts w:ascii="宋体" w:hAnsi="宋体" w:cs="宋体" w:hint="eastAsia"/>
          <w:b w:val="0"/>
          <w:color w:val="000000"/>
          <w:sz w:val="24"/>
          <w:szCs w:val="24"/>
        </w:rPr>
        <w:t>14. 竣工结算</w:t>
      </w:r>
      <w:bookmarkEnd w:id="1383"/>
      <w:bookmarkEnd w:id="1384"/>
    </w:p>
    <w:p w14:paraId="44681DA7">
      <w:pPr>
        <w:spacing w:after="120" w:line="360" w:lineRule="auto"/>
        <w:ind w:left="-240" w:right="-240" w:firstLine="480" w:leftChars="-100" w:rightChars="-100" w:firstLineChars="200"/>
        <w:outlineLvl w:val="2"/>
        <w:rPr>
          <w:rFonts w:ascii="宋体" w:hAnsi="宋体" w:cs="宋体"/>
          <w:color w:val="000000"/>
          <w:lang w:eastAsia="zh-CN"/>
        </w:rPr>
      </w:pPr>
      <w:bookmarkStart w:id="1385" w:name="_Toc1257404679"/>
      <w:bookmarkStart w:id="1386" w:name="_Toc3577"/>
      <w:bookmarkStart w:id="1387" w:name="_Toc2011892871"/>
      <w:r>
        <w:rPr>
          <w:rFonts w:ascii="宋体" w:hAnsi="宋体" w:cs="宋体" w:hint="eastAsia"/>
          <w:color w:val="000000"/>
          <w:lang w:eastAsia="zh-CN"/>
        </w:rPr>
        <w:t>14.1 竣工结算申请</w:t>
      </w:r>
      <w:bookmarkEnd w:id="1385"/>
      <w:bookmarkEnd w:id="1386"/>
      <w:bookmarkEnd w:id="1387"/>
    </w:p>
    <w:p w14:paraId="03D3A073">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lang w:eastAsia="zh-CN"/>
        </w:rPr>
        <w:t>承包人提交竣工结算申请单的期限：</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22EFC61">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竣工结算申请单应包括的内容：</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B020AF8">
      <w:pPr>
        <w:spacing w:line="360" w:lineRule="auto"/>
        <w:ind w:left="-240" w:right="-240" w:firstLine="480" w:leftChars="-100" w:rightChars="-100" w:firstLineChars="200"/>
        <w:rPr>
          <w:rFonts w:ascii="宋体" w:hAnsi="宋体" w:cs="宋体"/>
          <w:color w:val="000000"/>
          <w:lang w:eastAsia="zh-CN"/>
        </w:rPr>
      </w:pPr>
      <w:bookmarkStart w:id="1388" w:name="_Toc30710"/>
      <w:r>
        <w:rPr>
          <w:rFonts w:ascii="宋体" w:hAnsi="宋体" w:cs="宋体" w:hint="eastAsia"/>
          <w:color w:val="000000"/>
          <w:lang w:eastAsia="zh-CN"/>
        </w:rPr>
        <w:t>14.2 竣工结算审核</w:t>
      </w:r>
      <w:bookmarkEnd w:id="1388"/>
    </w:p>
    <w:p w14:paraId="14363916">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本款修改为：</w:t>
      </w:r>
    </w:p>
    <w:p w14:paraId="474F3B03">
      <w:pPr>
        <w:spacing w:line="360" w:lineRule="auto"/>
        <w:ind w:left="-240" w:right="-240" w:firstLine="240" w:leftChars="-100" w:rightChars="-100" w:firstLineChars="100"/>
        <w:outlineLvl w:val="2"/>
        <w:rPr>
          <w:rFonts w:ascii="宋体" w:hAnsi="宋体" w:cs="宋体"/>
          <w:color w:val="000000"/>
          <w:lang w:eastAsia="zh-CN"/>
        </w:rPr>
      </w:pPr>
      <w:bookmarkStart w:id="1389" w:name="_Toc1509410444"/>
      <w:bookmarkStart w:id="1390" w:name="_Toc2011675479"/>
      <w:r>
        <w:rPr>
          <w:rFonts w:ascii="宋体" w:hAnsi="宋体" w:cs="宋体" w:hint="eastAsia"/>
          <w:lang w:eastAsia="zh-CN"/>
        </w:rPr>
        <w:t>发包人审批竣工付款申请单的期限：</w:t>
      </w:r>
      <w:r>
        <w:rPr>
          <w:rFonts w:ascii="宋体" w:hAnsi="宋体" w:cs="宋体" w:hint="eastAsia"/>
          <w:color w:val="00B0F0"/>
          <w:u w:val="single"/>
          <w:lang w:eastAsia="zh-CN"/>
        </w:rPr>
        <w:t xml:space="preserve">                          </w:t>
      </w:r>
      <w:r>
        <w:rPr>
          <w:rFonts w:ascii="宋体" w:hAnsi="宋体" w:cs="宋体" w:hint="eastAsia"/>
          <w:color w:val="000000"/>
          <w:lang w:eastAsia="zh-CN"/>
        </w:rPr>
        <w:t>。</w:t>
      </w:r>
      <w:bookmarkEnd w:id="1389"/>
      <w:bookmarkEnd w:id="1390"/>
    </w:p>
    <w:p w14:paraId="5E283BCB">
      <w:pPr>
        <w:spacing w:line="360" w:lineRule="auto"/>
        <w:ind w:left="-240" w:right="-240" w:firstLine="480" w:leftChars="-100" w:rightChars="-100" w:firstLineChars="200"/>
        <w:outlineLvl w:val="2"/>
        <w:rPr>
          <w:rFonts w:ascii="宋体" w:hAnsi="宋体" w:cs="宋体"/>
          <w:color w:val="00B0F0"/>
          <w:u w:val="single"/>
          <w:lang w:eastAsia="zh-CN"/>
        </w:rPr>
      </w:pPr>
      <w:bookmarkStart w:id="1391" w:name="_Toc53832719"/>
      <w:bookmarkStart w:id="1392" w:name="_Toc1520911565"/>
      <w:r>
        <w:rPr>
          <w:rFonts w:ascii="宋体" w:hAnsi="宋体" w:cs="宋体" w:hint="eastAsia"/>
          <w:lang w:eastAsia="zh-CN"/>
        </w:rPr>
        <w:t>结算款支付方式及时间：工程竣工验收合格后</w:t>
      </w:r>
      <w:r>
        <w:rPr>
          <w:rFonts w:ascii="宋体" w:hAnsi="宋体" w:cs="宋体" w:hint="eastAsia"/>
          <w:color w:val="00B0F0"/>
          <w:u w:val="single"/>
          <w:lang w:eastAsia="zh-CN"/>
        </w:rPr>
        <w:t xml:space="preserve">     </w:t>
      </w:r>
      <w:r>
        <w:rPr>
          <w:rFonts w:ascii="宋体" w:hAnsi="宋体" w:cs="宋体" w:hint="eastAsia"/>
          <w:lang w:eastAsia="zh-CN"/>
        </w:rPr>
        <w:t>个工作日内支付至</w:t>
      </w:r>
      <w:r>
        <w:rPr>
          <w:rFonts w:ascii="Wingdings" w:hAnsi="Wingdings" w:cs="宋体"/>
        </w:rPr>
        <w:sym w:font="Wingdings" w:char="F0A8"/>
      </w:r>
      <w:r>
        <w:rPr>
          <w:rFonts w:ascii="宋体" w:hAnsi="宋体" w:cs="宋体" w:hint="eastAsia"/>
          <w:lang w:eastAsia="zh-CN"/>
        </w:rPr>
        <w:t>合同价或</w:t>
      </w:r>
      <w:r>
        <w:rPr>
          <w:rFonts w:ascii="Wingdings" w:hAnsi="Wingdings" w:cs="宋体"/>
        </w:rPr>
        <w:sym w:font="Wingdings" w:char="F0A8"/>
      </w:r>
      <w:r>
        <w:rPr>
          <w:rFonts w:ascii="宋体" w:hAnsi="宋体" w:cs="宋体" w:hint="eastAsia"/>
          <w:lang w:eastAsia="zh-CN"/>
        </w:rPr>
        <w:t>已完工程量的总价的</w:t>
      </w:r>
      <w:r>
        <w:rPr>
          <w:rFonts w:ascii="宋体" w:hAnsi="宋体" w:cs="宋体" w:hint="eastAsia"/>
          <w:color w:val="00B0F0"/>
          <w:u w:val="single"/>
          <w:lang w:eastAsia="zh-CN"/>
        </w:rPr>
        <w:t xml:space="preserve">    </w:t>
      </w:r>
      <w:r>
        <w:rPr>
          <w:rFonts w:ascii="宋体" w:hAnsi="宋体" w:cs="宋体" w:hint="eastAsia"/>
          <w:lang w:eastAsia="zh-CN"/>
        </w:rPr>
        <w:t>%；结算完成后</w:t>
      </w:r>
      <w:r>
        <w:rPr>
          <w:rFonts w:ascii="宋体" w:hAnsi="宋体" w:cs="宋体" w:hint="eastAsia"/>
          <w:color w:val="00B0F0"/>
          <w:u w:val="single"/>
          <w:lang w:eastAsia="zh-CN"/>
        </w:rPr>
        <w:t xml:space="preserve">    </w:t>
      </w:r>
    </w:p>
    <w:p w14:paraId="440FE2EE">
      <w:pPr>
        <w:spacing w:line="360" w:lineRule="auto"/>
        <w:ind w:left="-240" w:right="-240" w:leftChars="-100" w:rightChars="-100"/>
        <w:outlineLvl w:val="2"/>
        <w:rPr>
          <w:rFonts w:ascii="宋体" w:hAnsi="宋体" w:cs="宋体"/>
          <w:color w:val="00B0F0"/>
          <w:u w:val="single"/>
          <w:lang w:eastAsia="zh-CN"/>
        </w:rPr>
      </w:pPr>
      <w:r>
        <w:rPr>
          <w:rFonts w:ascii="宋体" w:hAnsi="宋体" w:cs="宋体" w:hint="eastAsia"/>
          <w:color w:val="00B0F0"/>
          <w:u w:val="single"/>
          <w:lang w:eastAsia="zh-CN"/>
        </w:rPr>
        <w:t xml:space="preserve">      </w:t>
      </w:r>
      <w:r>
        <w:rPr>
          <w:rFonts w:ascii="宋体" w:hAnsi="宋体" w:cs="宋体" w:hint="eastAsia"/>
          <w:lang w:eastAsia="zh-CN"/>
        </w:rPr>
        <w:t>个工作日内支付至结算价的</w:t>
      </w:r>
      <w:r>
        <w:rPr>
          <w:rFonts w:ascii="宋体" w:hAnsi="宋体" w:cs="宋体" w:hint="eastAsia"/>
          <w:color w:val="00B0F0"/>
          <w:u w:val="single"/>
          <w:lang w:eastAsia="zh-CN"/>
        </w:rPr>
        <w:t xml:space="preserve">     </w:t>
      </w:r>
      <w:r>
        <w:rPr>
          <w:rFonts w:ascii="宋体" w:hAnsi="宋体" w:cs="宋体" w:hint="eastAsia"/>
          <w:lang w:eastAsia="zh-CN"/>
        </w:rPr>
        <w:t>%；工程归档档案移交后</w:t>
      </w:r>
      <w:r>
        <w:rPr>
          <w:rFonts w:ascii="宋体" w:hAnsi="宋体" w:cs="宋体" w:hint="eastAsia"/>
          <w:color w:val="00B0F0"/>
          <w:u w:val="single"/>
          <w:lang w:eastAsia="zh-CN"/>
        </w:rPr>
        <w:t xml:space="preserve">    </w:t>
      </w:r>
    </w:p>
    <w:p w14:paraId="0AD74B37">
      <w:pPr>
        <w:spacing w:line="360" w:lineRule="auto"/>
        <w:ind w:left="-240" w:right="-240" w:leftChars="-100" w:rightChars="-100"/>
        <w:outlineLvl w:val="2"/>
        <w:rPr>
          <w:rFonts w:ascii="宋体" w:hAnsi="宋体" w:cs="宋体"/>
          <w:color w:val="000000"/>
          <w:lang w:eastAsia="zh-CN"/>
        </w:rPr>
      </w:pPr>
      <w:r>
        <w:rPr>
          <w:rFonts w:ascii="宋体" w:hAnsi="宋体" w:cs="宋体" w:hint="eastAsia"/>
          <w:color w:val="00B0F0"/>
          <w:u w:val="single"/>
          <w:lang w:eastAsia="zh-CN"/>
        </w:rPr>
        <w:t xml:space="preserve">      </w:t>
      </w:r>
      <w:r>
        <w:rPr>
          <w:rFonts w:ascii="宋体" w:hAnsi="宋体" w:cs="宋体" w:hint="eastAsia"/>
          <w:lang w:eastAsia="zh-CN"/>
        </w:rPr>
        <w:t>个工作日内支付至结算价的</w:t>
      </w:r>
      <w:r>
        <w:rPr>
          <w:rFonts w:ascii="宋体" w:hAnsi="宋体" w:cs="宋体" w:hint="eastAsia"/>
          <w:color w:val="00B0F0"/>
          <w:u w:val="single"/>
          <w:lang w:eastAsia="zh-CN"/>
        </w:rPr>
        <w:t xml:space="preserve">     </w:t>
      </w:r>
      <w:r>
        <w:rPr>
          <w:rFonts w:ascii="宋体" w:hAnsi="宋体" w:cs="宋体" w:hint="eastAsia"/>
          <w:lang w:eastAsia="zh-CN"/>
        </w:rPr>
        <w:t>%。</w:t>
      </w:r>
      <w:bookmarkEnd w:id="1391"/>
      <w:bookmarkEnd w:id="1392"/>
    </w:p>
    <w:p w14:paraId="49567A5E">
      <w:pPr>
        <w:spacing w:line="360" w:lineRule="auto"/>
        <w:ind w:left="-240" w:right="-240" w:firstLine="480" w:leftChars="-100" w:rightChars="-100" w:firstLineChars="200"/>
        <w:rPr>
          <w:rFonts w:ascii="宋体" w:hAnsi="宋体" w:cs="宋体"/>
          <w:color w:val="00B0F0"/>
          <w:u w:val="single"/>
          <w:lang w:eastAsia="zh-CN"/>
        </w:rPr>
      </w:pPr>
      <w:r>
        <w:rPr>
          <w:rFonts w:ascii="宋体" w:hAnsi="宋体" w:cs="宋体" w:hint="eastAsia"/>
          <w:color w:val="000000"/>
          <w:lang w:eastAsia="zh-CN"/>
        </w:rPr>
        <w:t>关于竣工付款证书异议部分复核的方式和程序：</w:t>
      </w:r>
      <w:r>
        <w:rPr>
          <w:rFonts w:ascii="宋体" w:hAnsi="宋体" w:cs="宋体" w:hint="eastAsia"/>
          <w:color w:val="00B0F0"/>
          <w:u w:val="single"/>
          <w:lang w:eastAsia="zh-CN"/>
        </w:rPr>
        <w:t xml:space="preserve">             </w:t>
      </w:r>
    </w:p>
    <w:p w14:paraId="7AEB0BDB">
      <w:pPr>
        <w:spacing w:line="360" w:lineRule="auto"/>
        <w:ind w:left="-240" w:right="-240" w:leftChars="-100" w:rightChars="-100"/>
        <w:rPr>
          <w:rFonts w:ascii="宋体" w:hAnsi="宋体" w:cs="宋体"/>
          <w:color w:val="000000"/>
          <w:lang w:eastAsia="zh-CN"/>
        </w:rPr>
      </w:pP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8968B73">
      <w:pPr>
        <w:spacing w:line="360" w:lineRule="auto"/>
        <w:ind w:left="-240" w:right="-240" w:firstLine="480" w:leftChars="-100" w:rightChars="-100" w:firstLineChars="200"/>
        <w:rPr>
          <w:rFonts w:ascii="宋体" w:hAnsi="宋体" w:cs="宋体"/>
          <w:color w:val="000000"/>
          <w:lang w:eastAsia="zh-CN"/>
        </w:rPr>
      </w:pPr>
      <w:bookmarkStart w:id="1393" w:name="_Toc10781"/>
      <w:r>
        <w:rPr>
          <w:rFonts w:ascii="宋体" w:hAnsi="宋体" w:cs="宋体" w:hint="eastAsia"/>
          <w:color w:val="000000"/>
          <w:lang w:eastAsia="zh-CN"/>
        </w:rPr>
        <w:t>14.4 最终结清</w:t>
      </w:r>
      <w:bookmarkEnd w:id="1393"/>
    </w:p>
    <w:p w14:paraId="1A75D803">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14.4.1 最终结清申请单</w:t>
      </w:r>
    </w:p>
    <w:p w14:paraId="6BD0B93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承包人提交最终结清申请单的份数：</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18B2ED3">
      <w:pPr>
        <w:spacing w:line="360" w:lineRule="auto"/>
        <w:ind w:left="-240" w:right="-240" w:firstLine="480" w:leftChars="-100" w:rightChars="-100" w:firstLineChars="200"/>
        <w:rPr>
          <w:rFonts w:ascii="宋体" w:hAnsi="宋体" w:cs="宋体"/>
          <w:kern w:val="2"/>
          <w:lang w:eastAsia="zh-CN"/>
        </w:rPr>
      </w:pPr>
      <w:r>
        <w:rPr>
          <w:rFonts w:ascii="宋体" w:hAnsi="宋体" w:cs="宋体" w:hint="eastAsia"/>
          <w:color w:val="000000"/>
          <w:lang w:eastAsia="zh-CN"/>
        </w:rPr>
        <w:t>承包人提交最终结算申请单的期限：</w:t>
      </w:r>
      <w:r>
        <w:rPr>
          <w:rFonts w:ascii="宋体" w:hAnsi="宋体" w:cs="宋体" w:hint="eastAsia"/>
          <w:color w:val="00B0F0"/>
          <w:u w:val="single"/>
          <w:lang w:eastAsia="zh-CN"/>
        </w:rPr>
        <w:t xml:space="preserve">                   </w:t>
      </w:r>
      <w:r>
        <w:rPr>
          <w:rFonts w:ascii="宋体" w:hAnsi="宋体" w:cs="宋体" w:hint="eastAsia"/>
          <w:color w:val="000000"/>
          <w:lang w:eastAsia="zh-CN"/>
        </w:rPr>
        <w:t>。</w:t>
      </w:r>
      <w:r>
        <w:rPr>
          <w:rFonts w:ascii="宋体" w:hAnsi="宋体" w:cs="宋体" w:hint="eastAsia"/>
          <w:lang w:eastAsia="zh-CN"/>
        </w:rPr>
        <w:t xml:space="preserve"> </w:t>
      </w:r>
    </w:p>
    <w:p w14:paraId="023F5896">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14.4.2 最终结清证书和支付</w:t>
      </w:r>
    </w:p>
    <w:p w14:paraId="23A5BFDF">
      <w:pPr>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（1）发包人完成最终结清申请单的审批并颁发最终结清证书的期限：</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59FE47D">
      <w:pPr>
        <w:spacing w:line="360" w:lineRule="auto"/>
        <w:ind w:left="-240" w:right="-240" w:firstLine="480" w:leftChars="-100" w:rightChars="-100" w:firstLineChars="200"/>
        <w:rPr>
          <w:rFonts w:ascii="宋体" w:hAnsi="宋体" w:cs="宋体"/>
          <w:color w:val="000000"/>
          <w:lang w:eastAsia="zh-CN"/>
        </w:rPr>
      </w:pPr>
      <w:bookmarkStart w:id="1394" w:name="_Toc19199"/>
      <w:r>
        <w:rPr>
          <w:rFonts w:ascii="宋体" w:hAnsi="宋体" w:cs="宋体" w:hint="eastAsia"/>
          <w:color w:val="000000"/>
          <w:lang w:eastAsia="zh-CN"/>
        </w:rPr>
        <w:t>14.5 竣工归档资料</w:t>
      </w:r>
      <w:bookmarkEnd w:id="1394"/>
    </w:p>
    <w:p w14:paraId="4DC1A013">
      <w:pPr>
        <w:spacing w:line="360" w:lineRule="auto"/>
        <w:ind w:left="-240" w:right="-240" w:firstLine="480" w:leftChars="-100" w:rightChars="-100" w:firstLineChars="200"/>
        <w:rPr>
          <w:rFonts w:ascii="宋体" w:hAnsi="宋体" w:cs="宋体"/>
          <w:color w:val="0C0C0C"/>
          <w:lang w:eastAsia="zh-CN"/>
        </w:rPr>
      </w:pPr>
      <w:r>
        <w:rPr>
          <w:rFonts w:ascii="宋体" w:hAnsi="宋体" w:cs="宋体" w:hint="eastAsia"/>
          <w:color w:val="0C0C0C"/>
          <w:lang w:eastAsia="zh-CN"/>
        </w:rPr>
        <w:t>本款补充：</w:t>
      </w:r>
    </w:p>
    <w:p w14:paraId="5A963C39">
      <w:pPr>
        <w:spacing w:line="360" w:lineRule="auto"/>
        <w:ind w:left="-240" w:right="-240" w:firstLine="480" w:leftChars="-100" w:rightChars="-100" w:firstLineChars="200"/>
        <w:rPr>
          <w:rFonts w:ascii="宋体" w:hAnsi="宋体" w:cs="宋体"/>
          <w:color w:val="0C0C0C"/>
          <w:lang w:eastAsia="zh-CN"/>
        </w:rPr>
      </w:pPr>
      <w:r>
        <w:rPr>
          <w:rFonts w:ascii="宋体" w:hAnsi="宋体" w:cs="宋体" w:hint="eastAsia"/>
          <w:color w:val="0C0C0C"/>
          <w:lang w:eastAsia="zh-CN"/>
        </w:rPr>
        <w:t>（1）施工中未发生设计变更，施工后由承包人在发包人提供的施工图纸加盖竣工图章提交发包人。</w:t>
      </w:r>
    </w:p>
    <w:p w14:paraId="641583F8">
      <w:pPr>
        <w:spacing w:line="360" w:lineRule="auto"/>
        <w:ind w:left="-240" w:right="-240" w:firstLine="480" w:leftChars="-100" w:rightChars="-100" w:firstLineChars="200"/>
        <w:rPr>
          <w:rFonts w:ascii="宋体" w:hAnsi="宋体" w:cs="宋体"/>
          <w:color w:val="0C0C0C"/>
          <w:lang w:eastAsia="zh-CN"/>
        </w:rPr>
      </w:pPr>
      <w:r>
        <w:rPr>
          <w:rFonts w:ascii="宋体" w:hAnsi="宋体" w:cs="宋体" w:hint="eastAsia"/>
          <w:color w:val="0C0C0C"/>
          <w:lang w:eastAsia="zh-CN"/>
        </w:rPr>
        <w:t>（2）施工过程中发生设计变更的，需经相关方书面确认后由设计单位出具设计变更材料，由承包人提供加盖竣工图章的竣工图给发包人。</w:t>
      </w:r>
    </w:p>
    <w:p w14:paraId="7F160CAF">
      <w:pPr>
        <w:spacing w:line="360" w:lineRule="auto"/>
        <w:ind w:left="-240" w:right="-240" w:firstLine="480" w:leftChars="-100" w:rightChars="-100" w:firstLineChars="200"/>
        <w:rPr>
          <w:rFonts w:ascii="宋体" w:hAnsi="宋体" w:cs="宋体"/>
          <w:color w:val="00B0F0"/>
          <w:lang w:eastAsia="zh-CN"/>
        </w:rPr>
      </w:pPr>
      <w:r>
        <w:rPr>
          <w:rFonts w:ascii="宋体" w:hAnsi="宋体" w:cs="宋体" w:hint="eastAsia"/>
          <w:color w:val="0C0C0C"/>
          <w:lang w:eastAsia="zh-CN"/>
        </w:rPr>
        <w:t>（3）工程竣工验收结算后</w:t>
      </w:r>
      <w:r>
        <w:rPr>
          <w:rFonts w:ascii="宋体" w:hAnsi="宋体" w:cs="宋体" w:hint="eastAsia"/>
          <w:color w:val="0C0C0C"/>
          <w:u w:val="single"/>
          <w:lang w:eastAsia="zh-CN"/>
        </w:rPr>
        <w:t xml:space="preserve">   </w:t>
      </w:r>
      <w:r>
        <w:rPr>
          <w:rFonts w:ascii="宋体" w:hAnsi="宋体" w:cs="宋体" w:hint="eastAsia"/>
          <w:color w:val="0C0C0C"/>
          <w:lang w:eastAsia="zh-CN"/>
        </w:rPr>
        <w:t>天内，承包人应提供给发包人</w:t>
      </w:r>
      <w:r>
        <w:rPr>
          <w:rFonts w:ascii="宋体" w:hAnsi="宋体" w:cs="宋体" w:hint="eastAsia"/>
          <w:color w:val="00B0F0"/>
          <w:u w:val="single"/>
          <w:lang w:eastAsia="zh-CN"/>
        </w:rPr>
        <w:t xml:space="preserve">    </w:t>
      </w:r>
    </w:p>
    <w:p w14:paraId="22A40BF3">
      <w:pPr>
        <w:spacing w:line="360" w:lineRule="auto"/>
        <w:ind w:left="-240" w:right="-240" w:leftChars="-100" w:rightChars="-100"/>
        <w:rPr>
          <w:rFonts w:ascii="宋体" w:hAnsi="宋体" w:cs="宋体"/>
          <w:color w:val="0C0C0C"/>
          <w:lang w:eastAsia="zh-CN"/>
        </w:rPr>
      </w:pPr>
      <w:r>
        <w:rPr>
          <w:rFonts w:ascii="宋体" w:hAnsi="宋体" w:cs="宋体" w:hint="eastAsia"/>
          <w:color w:val="00B0F0"/>
          <w:u w:val="single"/>
          <w:lang w:eastAsia="zh-CN"/>
        </w:rPr>
        <w:t xml:space="preserve">   </w:t>
      </w:r>
      <w:r>
        <w:rPr>
          <w:rFonts w:ascii="宋体" w:hAnsi="宋体" w:cs="宋体" w:hint="eastAsia"/>
          <w:color w:val="0C0C0C"/>
          <w:lang w:eastAsia="zh-CN"/>
        </w:rPr>
        <w:t>套完整符合要求的竣工图、竣工归档资料。</w:t>
      </w:r>
    </w:p>
    <w:p w14:paraId="086702BB">
      <w:pPr>
        <w:spacing w:line="360" w:lineRule="auto"/>
        <w:ind w:left="-240" w:right="-240" w:firstLine="480" w:leftChars="-100" w:rightChars="-100" w:firstLineChars="200"/>
        <w:rPr>
          <w:rFonts w:ascii="宋体" w:hAnsi="宋体" w:cs="宋体"/>
          <w:color w:val="0C0C0C"/>
          <w:u w:val="single"/>
          <w:lang w:eastAsia="zh-CN"/>
        </w:rPr>
      </w:pPr>
      <w:r>
        <w:rPr>
          <w:rFonts w:ascii="宋体" w:hAnsi="宋体" w:cs="宋体" w:hint="eastAsia"/>
          <w:color w:val="0C0C0C"/>
          <w:lang w:eastAsia="zh-CN"/>
        </w:rPr>
        <w:t>竣工归档资料的形式和格式：</w:t>
      </w:r>
      <w:r>
        <w:rPr>
          <w:rFonts w:ascii="宋体" w:hAnsi="宋体" w:cs="宋体" w:hint="eastAsia"/>
          <w:color w:val="00B0F0"/>
          <w:u w:val="single"/>
          <w:lang w:eastAsia="zh-CN"/>
        </w:rPr>
        <w:t xml:space="preserve">                         </w:t>
      </w:r>
      <w:r>
        <w:rPr>
          <w:rFonts w:ascii="宋体" w:hAnsi="宋体" w:cs="宋体" w:hint="eastAsia"/>
          <w:color w:val="0C0C0C"/>
          <w:lang w:eastAsia="zh-CN"/>
        </w:rPr>
        <w:t>。</w:t>
      </w:r>
    </w:p>
    <w:p w14:paraId="02519FC3">
      <w:pPr>
        <w:spacing w:line="360" w:lineRule="auto"/>
        <w:ind w:left="-240" w:right="-240" w:firstLine="480" w:leftChars="-100" w:rightChars="-100" w:firstLineChars="200"/>
        <w:rPr>
          <w:rFonts w:ascii="宋体" w:hAnsi="宋体" w:cs="宋体"/>
          <w:color w:val="0C0C0C"/>
          <w:lang w:eastAsia="zh-CN"/>
        </w:rPr>
      </w:pPr>
      <w:r>
        <w:rPr>
          <w:rFonts w:ascii="宋体" w:hAnsi="宋体" w:cs="宋体" w:hint="eastAsia"/>
          <w:color w:val="0C0C0C"/>
          <w:lang w:eastAsia="zh-CN"/>
        </w:rPr>
        <w:t>（4）因承包人拖延或不办理竣工归档资料时，经发包人催告，</w:t>
      </w:r>
      <w:r>
        <w:rPr>
          <w:rFonts w:ascii="宋体" w:hAnsi="宋体" w:cs="宋体" w:hint="eastAsia"/>
          <w:color w:val="00B0F0"/>
          <w:u w:val="single"/>
          <w:lang w:eastAsia="zh-CN"/>
        </w:rPr>
        <w:t xml:space="preserve">    </w:t>
      </w:r>
      <w:r>
        <w:rPr>
          <w:rFonts w:ascii="宋体" w:hAnsi="宋体" w:cs="宋体" w:hint="eastAsia"/>
          <w:color w:val="0C0C0C"/>
          <w:lang w:eastAsia="zh-CN"/>
        </w:rPr>
        <w:t>个月内未按发包人要求提供相关竣工归档资料的，发包人有权委托第三方机构整理，相关费用由</w:t>
      </w:r>
      <w:r>
        <w:rPr>
          <w:rFonts w:ascii="宋体" w:hAnsi="宋体" w:cs="宋体" w:hint="eastAsia"/>
          <w:color w:val="0C0C0C"/>
          <w:u w:val="single"/>
          <w:lang w:eastAsia="zh-CN"/>
        </w:rPr>
        <w:t xml:space="preserve">          </w:t>
      </w:r>
      <w:r>
        <w:rPr>
          <w:rFonts w:ascii="宋体" w:hAnsi="宋体" w:cs="宋体" w:hint="eastAsia"/>
          <w:color w:val="0C0C0C"/>
          <w:lang w:eastAsia="zh-CN"/>
        </w:rPr>
        <w:t>承担。</w:t>
      </w:r>
    </w:p>
    <w:p w14:paraId="374FE452">
      <w:pPr>
        <w:pStyle w:val="Heading2"/>
        <w:ind w:left="-240" w:right="-240" w:leftChars="-100" w:rightChars="-100"/>
        <w:rPr>
          <w:rFonts w:ascii="宋体" w:hAnsi="宋体" w:cs="宋体"/>
          <w:color w:val="000000"/>
          <w:sz w:val="24"/>
          <w:szCs w:val="24"/>
          <w:highlight w:val="yellow"/>
        </w:rPr>
      </w:pPr>
      <w:bookmarkStart w:id="1395" w:name="_Toc490192013"/>
      <w:bookmarkStart w:id="1396" w:name="_Toc1320788901"/>
      <w:r>
        <w:rPr>
          <w:rFonts w:ascii="宋体" w:hAnsi="宋体" w:cs="宋体" w:hint="eastAsia"/>
          <w:b w:val="0"/>
          <w:color w:val="000000"/>
          <w:sz w:val="24"/>
          <w:szCs w:val="24"/>
        </w:rPr>
        <w:t>15. 缺陷责任期与保修</w:t>
      </w:r>
      <w:bookmarkEnd w:id="1395"/>
      <w:bookmarkEnd w:id="1396"/>
    </w:p>
    <w:p w14:paraId="56B13B16">
      <w:pPr>
        <w:spacing w:line="360" w:lineRule="auto"/>
        <w:ind w:left="-240" w:right="-240" w:firstLine="480" w:leftChars="-100" w:rightChars="-100" w:firstLineChars="200"/>
        <w:rPr>
          <w:rFonts w:ascii="宋体" w:hAnsi="宋体" w:cs="宋体"/>
          <w:color w:val="0C0C0C"/>
          <w:lang w:eastAsia="zh-CN"/>
        </w:rPr>
      </w:pPr>
      <w:bookmarkStart w:id="1397" w:name="_Toc18125"/>
      <w:r>
        <w:rPr>
          <w:rFonts w:ascii="宋体" w:hAnsi="宋体" w:cs="宋体" w:hint="eastAsia"/>
          <w:color w:val="0C0C0C"/>
          <w:lang w:eastAsia="zh-CN"/>
        </w:rPr>
        <w:t>本条补充15.5。</w:t>
      </w:r>
    </w:p>
    <w:p w14:paraId="490C6EA1">
      <w:pPr>
        <w:spacing w:line="360" w:lineRule="auto"/>
        <w:ind w:left="-240" w:right="-240" w:firstLine="480" w:leftChars="-100" w:rightChars="-100" w:firstLineChars="200"/>
        <w:rPr>
          <w:rFonts w:ascii="宋体" w:hAnsi="宋体" w:cs="宋体"/>
          <w:color w:val="000000"/>
          <w:kern w:val="2"/>
          <w:lang w:eastAsia="zh-CN"/>
        </w:rPr>
      </w:pPr>
      <w:r>
        <w:rPr>
          <w:rFonts w:ascii="宋体" w:hAnsi="宋体" w:cs="宋体" w:hint="eastAsia"/>
          <w:color w:val="000000"/>
          <w:lang w:eastAsia="zh-CN"/>
        </w:rPr>
        <w:t>15.2 缺陷责任期</w:t>
      </w:r>
      <w:bookmarkEnd w:id="1397"/>
    </w:p>
    <w:p w14:paraId="5C13CDC1">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缺陷责任期的具体期限：</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5B7254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15.3 质量保证金</w:t>
      </w:r>
    </w:p>
    <w:p w14:paraId="7915EC57">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本款修改为：</w:t>
      </w:r>
    </w:p>
    <w:p w14:paraId="72288A1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工程质量保证金的支付方式和时间：工程质量保证金为结算款的</w:t>
      </w:r>
      <w:r>
        <w:rPr>
          <w:rFonts w:ascii="宋体" w:hAnsi="宋体" w:cs="宋体" w:hint="eastAsia"/>
          <w:color w:val="00B0F0"/>
          <w:u w:val="single"/>
          <w:lang w:eastAsia="zh-CN"/>
        </w:rPr>
        <w:t xml:space="preserve">     </w:t>
      </w:r>
      <w:r>
        <w:rPr>
          <w:rFonts w:ascii="宋体" w:hAnsi="宋体" w:cs="宋体" w:hint="eastAsia"/>
          <w:color w:val="000000"/>
          <w:lang w:eastAsia="zh-CN"/>
        </w:rPr>
        <w:t>%（≤3%），采用以下方式执行：</w:t>
      </w:r>
    </w:p>
    <w:p w14:paraId="5C01077F">
      <w:pPr>
        <w:spacing w:line="360" w:lineRule="auto"/>
        <w:ind w:left="-240" w:right="-240" w:firstLine="480" w:leftChars="-100" w:rightChars="-100" w:firstLineChars="200"/>
        <w:rPr>
          <w:rFonts w:ascii="宋体" w:hAnsi="宋体" w:cs="宋体"/>
          <w:color w:val="000000"/>
          <w:lang w:eastAsia="zh-CN"/>
        </w:rPr>
      </w:pPr>
      <w:r>
        <w:rPr>
          <w:rFonts w:ascii="MS Gothic" w:eastAsia="MS Gothic" w:hAnsi="MS Gothic" w:cs="宋体" w:hint="eastAsia"/>
          <w:color w:val="000000"/>
          <w:lang w:eastAsia="zh-CN"/>
        </w:rPr>
        <w:t>☐</w:t>
      </w:r>
      <w:r>
        <w:rPr>
          <w:rFonts w:ascii="宋体" w:hAnsi="宋体" w:cs="宋体" w:hint="eastAsia"/>
          <w:color w:val="000000"/>
          <w:lang w:eastAsia="zh-CN"/>
        </w:rPr>
        <w:t>担保；</w:t>
      </w:r>
    </w:p>
    <w:p w14:paraId="1C53A998">
      <w:pPr>
        <w:spacing w:line="360" w:lineRule="auto"/>
        <w:ind w:left="-240" w:right="-240" w:firstLine="480" w:leftChars="-100" w:rightChars="-100" w:firstLineChars="200"/>
        <w:rPr>
          <w:rFonts w:ascii="宋体" w:hAnsi="宋体" w:cs="宋体"/>
          <w:color w:val="000000"/>
          <w:lang w:eastAsia="zh-CN"/>
        </w:rPr>
      </w:pPr>
      <w:r>
        <w:rPr>
          <w:rFonts w:ascii="MS Gothic" w:eastAsia="MS Gothic" w:hAnsi="MS Gothic" w:cs="宋体" w:hint="eastAsia"/>
          <w:color w:val="000000"/>
          <w:lang w:eastAsia="zh-CN"/>
        </w:rPr>
        <w:t>☐</w:t>
      </w:r>
      <w:r>
        <w:rPr>
          <w:rFonts w:ascii="宋体" w:hAnsi="宋体" w:cs="宋体" w:hint="eastAsia"/>
          <w:color w:val="000000"/>
          <w:lang w:eastAsia="zh-CN"/>
        </w:rPr>
        <w:t>保险；</w:t>
      </w:r>
    </w:p>
    <w:p w14:paraId="2B72AECD">
      <w:pPr>
        <w:spacing w:line="360" w:lineRule="auto"/>
        <w:ind w:left="-240" w:right="-240" w:firstLine="480" w:leftChars="-100" w:rightChars="-100" w:firstLineChars="200"/>
        <w:rPr>
          <w:rFonts w:ascii="宋体" w:hAnsi="宋体" w:cs="宋体"/>
          <w:color w:val="000000"/>
          <w:lang w:eastAsia="zh-CN"/>
        </w:rPr>
      </w:pPr>
      <w:r>
        <w:rPr>
          <w:rFonts w:ascii="MS Gothic" w:eastAsia="MS Gothic" w:hAnsi="MS Gothic" w:cs="宋体" w:hint="eastAsia"/>
          <w:color w:val="000000"/>
          <w:lang w:eastAsia="zh-CN"/>
        </w:rPr>
        <w:t>☐</w:t>
      </w:r>
      <w:r>
        <w:rPr>
          <w:rFonts w:ascii="宋体" w:hAnsi="宋体" w:cs="宋体" w:hint="eastAsia"/>
          <w:color w:val="000000"/>
          <w:lang w:eastAsia="zh-CN"/>
        </w:rPr>
        <w:t>其他：</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A02741C">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工程缺陷责任期满，承包人履行缺陷责任期内质量保修义务及绿化养护义务且合格移交后，在</w:t>
      </w:r>
      <w:r>
        <w:rPr>
          <w:rFonts w:ascii="宋体" w:hAnsi="宋体" w:cs="宋体" w:hint="eastAsia"/>
          <w:color w:val="00B0F0"/>
          <w:u w:val="single"/>
          <w:lang w:eastAsia="zh-CN"/>
        </w:rPr>
        <w:t xml:space="preserve">    </w:t>
      </w:r>
      <w:r>
        <w:rPr>
          <w:rFonts w:ascii="宋体" w:hAnsi="宋体" w:cs="宋体" w:hint="eastAsia"/>
          <w:color w:val="000000"/>
          <w:lang w:eastAsia="zh-CN"/>
        </w:rPr>
        <w:t>天内结清工程质量保证金。在工程项目竣工验收前，承包人提供履约担保的，发包人不得同时预留工程质量保证金。</w:t>
      </w:r>
    </w:p>
    <w:p w14:paraId="467E8BBF">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15.4 保修</w:t>
      </w:r>
    </w:p>
    <w:p w14:paraId="51746A19">
      <w:pPr>
        <w:spacing w:line="360" w:lineRule="auto"/>
        <w:ind w:left="-240" w:right="-240" w:firstLine="468" w:leftChars="-100" w:rightChars="-100" w:firstLineChars="195"/>
        <w:rPr>
          <w:rFonts w:ascii="宋体" w:hAnsi="宋体" w:cs="宋体"/>
          <w:color w:val="000000"/>
          <w:lang w:eastAsia="zh-CN"/>
        </w:rPr>
      </w:pPr>
      <w:r>
        <w:rPr>
          <w:rFonts w:ascii="宋体" w:hAnsi="宋体" w:cs="宋体" w:hint="eastAsia"/>
          <w:color w:val="000000"/>
          <w:lang w:eastAsia="zh-CN"/>
        </w:rPr>
        <w:t>15.4.1 保修责任</w:t>
      </w:r>
    </w:p>
    <w:p w14:paraId="31A253B6">
      <w:pPr>
        <w:spacing w:line="360" w:lineRule="auto"/>
        <w:ind w:left="-240" w:right="-240" w:firstLine="468" w:leftChars="-100" w:rightChars="-100" w:firstLineChars="195"/>
        <w:rPr>
          <w:rFonts w:ascii="宋体" w:hAnsi="宋体" w:cs="宋体"/>
          <w:color w:val="000000"/>
          <w:u w:val="single"/>
          <w:lang w:eastAsia="zh-CN"/>
        </w:rPr>
      </w:pPr>
      <w:r>
        <w:rPr>
          <w:rFonts w:ascii="宋体" w:hAnsi="宋体" w:cs="宋体" w:hint="eastAsia"/>
          <w:color w:val="000000"/>
          <w:lang w:eastAsia="zh-CN"/>
        </w:rPr>
        <w:t>工程保修期为：</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w:t>
      </w:r>
    </w:p>
    <w:p w14:paraId="53EC5D3B">
      <w:pPr>
        <w:spacing w:line="360" w:lineRule="auto"/>
        <w:ind w:left="-240" w:right="-240" w:firstLine="468" w:leftChars="-100" w:rightChars="-100" w:firstLineChars="195"/>
        <w:rPr>
          <w:rFonts w:ascii="宋体" w:hAnsi="宋体" w:cs="宋体"/>
          <w:color w:val="000000"/>
          <w:kern w:val="2"/>
          <w:lang w:eastAsia="zh-CN"/>
        </w:rPr>
      </w:pPr>
      <w:r>
        <w:rPr>
          <w:rFonts w:ascii="宋体" w:hAnsi="宋体" w:cs="宋体" w:hint="eastAsia"/>
          <w:color w:val="000000"/>
          <w:lang w:eastAsia="zh-CN"/>
        </w:rPr>
        <w:t>15.4.3 修复通知</w:t>
      </w:r>
    </w:p>
    <w:p w14:paraId="51FEE0CF">
      <w:pPr>
        <w:spacing w:line="360" w:lineRule="auto"/>
        <w:ind w:left="-240" w:right="-240" w:firstLine="468" w:leftChars="-100" w:rightChars="-100" w:firstLineChars="195"/>
        <w:rPr>
          <w:rFonts w:ascii="宋体" w:hAnsi="宋体" w:cs="宋体"/>
          <w:color w:val="00B0F0"/>
          <w:u w:val="single"/>
          <w:lang w:eastAsia="zh-CN"/>
        </w:rPr>
      </w:pPr>
      <w:r>
        <w:rPr>
          <w:rFonts w:ascii="宋体" w:hAnsi="宋体" w:cs="宋体" w:hint="eastAsia"/>
          <w:color w:val="000000"/>
          <w:lang w:eastAsia="zh-CN"/>
        </w:rPr>
        <w:t>承包人收到保修通知并到达工程现场的合理时间：</w:t>
      </w:r>
      <w:r>
        <w:rPr>
          <w:rFonts w:ascii="宋体" w:hAnsi="宋体" w:cs="宋体" w:hint="eastAsia"/>
          <w:color w:val="00B0F0"/>
          <w:u w:val="single"/>
          <w:lang w:eastAsia="zh-CN"/>
        </w:rPr>
        <w:t xml:space="preserve">           </w:t>
      </w:r>
    </w:p>
    <w:p w14:paraId="348B3B7B">
      <w:pPr>
        <w:spacing w:line="360" w:lineRule="auto"/>
        <w:ind w:left="-240" w:right="-240" w:leftChars="-100" w:rightChars="-100"/>
        <w:rPr>
          <w:rFonts w:ascii="宋体" w:hAnsi="宋体" w:cs="宋体"/>
          <w:color w:val="000000"/>
          <w:lang w:eastAsia="zh-CN"/>
        </w:rPr>
      </w:pP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A073B4C">
      <w:pPr>
        <w:spacing w:line="360" w:lineRule="auto"/>
        <w:ind w:left="-240" w:right="-240" w:firstLine="480" w:leftChars="-100" w:rightChars="-100" w:firstLineChars="200"/>
        <w:outlineLvl w:val="2"/>
        <w:rPr>
          <w:rFonts w:ascii="宋体" w:hAnsi="宋体" w:cs="宋体"/>
          <w:color w:val="000000"/>
          <w:kern w:val="2"/>
          <w:lang w:eastAsia="zh-CN"/>
        </w:rPr>
      </w:pPr>
      <w:bookmarkStart w:id="1398" w:name="_Toc652859120"/>
      <w:bookmarkStart w:id="1399" w:name="_Toc1846040712"/>
      <w:r>
        <w:rPr>
          <w:rFonts w:ascii="宋体" w:hAnsi="宋体" w:cs="宋体" w:hint="eastAsia"/>
          <w:color w:val="000000"/>
          <w:lang w:eastAsia="zh-CN"/>
        </w:rPr>
        <w:t>15.5 绿化养护期</w:t>
      </w:r>
      <w:bookmarkEnd w:id="1398"/>
      <w:bookmarkEnd w:id="1399"/>
    </w:p>
    <w:p w14:paraId="45B7F021">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绿化养护期的具体期限：</w:t>
      </w:r>
      <w:r>
        <w:rPr>
          <w:rFonts w:ascii="宋体" w:hAnsi="宋体" w:cs="宋体" w:hint="eastAsia"/>
          <w:color w:val="00B0F0"/>
          <w:u w:val="single"/>
          <w:lang w:eastAsia="zh-CN"/>
        </w:rPr>
        <w:t xml:space="preserve">                                     </w:t>
      </w:r>
    </w:p>
    <w:p w14:paraId="394DD4A5">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绿化养护期内双方责任约定：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26FCD6B">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绿化养护期内水电费支付：</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4337171">
      <w:pPr>
        <w:pStyle w:val="Heading2"/>
        <w:ind w:left="-240" w:right="-240" w:leftChars="-100" w:rightChars="-100"/>
        <w:rPr>
          <w:rFonts w:ascii="宋体" w:hAnsi="宋体" w:cs="宋体"/>
          <w:b w:val="0"/>
          <w:color w:val="000000"/>
          <w:sz w:val="24"/>
          <w:szCs w:val="24"/>
        </w:rPr>
      </w:pPr>
      <w:bookmarkStart w:id="1400" w:name="_Toc543386448"/>
      <w:bookmarkStart w:id="1401" w:name="_Toc922596978"/>
      <w:r>
        <w:rPr>
          <w:rFonts w:ascii="宋体" w:hAnsi="宋体" w:cs="宋体" w:hint="eastAsia"/>
          <w:b w:val="0"/>
          <w:color w:val="000000"/>
          <w:sz w:val="24"/>
          <w:szCs w:val="24"/>
        </w:rPr>
        <w:t>16. 违约</w:t>
      </w:r>
      <w:bookmarkEnd w:id="1400"/>
      <w:bookmarkEnd w:id="1401"/>
    </w:p>
    <w:p w14:paraId="5FF41E13">
      <w:pPr>
        <w:spacing w:line="360" w:lineRule="auto"/>
        <w:ind w:left="-240" w:right="-240" w:firstLine="480" w:leftChars="-100" w:rightChars="-100" w:firstLineChars="200"/>
        <w:outlineLvl w:val="2"/>
        <w:rPr>
          <w:rFonts w:ascii="宋体" w:hAnsi="宋体" w:cs="宋体"/>
          <w:color w:val="000000"/>
          <w:lang w:eastAsia="zh-CN"/>
        </w:rPr>
      </w:pPr>
      <w:bookmarkStart w:id="1402" w:name="_Toc776232141"/>
      <w:bookmarkStart w:id="1403" w:name="_Toc12830"/>
      <w:bookmarkStart w:id="1404" w:name="_Toc41673421"/>
      <w:r>
        <w:rPr>
          <w:rFonts w:ascii="宋体" w:hAnsi="宋体" w:cs="宋体" w:hint="eastAsia"/>
          <w:color w:val="000000"/>
          <w:lang w:eastAsia="zh-CN"/>
        </w:rPr>
        <w:t>16.1 发包人违约</w:t>
      </w:r>
      <w:bookmarkEnd w:id="1402"/>
      <w:bookmarkEnd w:id="1403"/>
      <w:bookmarkEnd w:id="1404"/>
    </w:p>
    <w:p w14:paraId="58FF27C1">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16.1.1 发包人违约的情形</w:t>
      </w:r>
    </w:p>
    <w:p w14:paraId="14E05D5C">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发包人违约的其他情形：</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6A78E15">
      <w:pPr>
        <w:spacing w:line="360" w:lineRule="auto"/>
        <w:ind w:left="960" w:right="-240" w:hanging="1200" w:leftChars="-100" w:rightChars="-100" w:hangingChars="500"/>
        <w:rPr>
          <w:rFonts w:ascii="宋体" w:hAnsi="宋体" w:cs="宋体"/>
          <w:color w:val="000000"/>
          <w:lang w:eastAsia="zh-CN"/>
        </w:rPr>
      </w:pPr>
      <w:r>
        <w:rPr>
          <w:rFonts w:ascii="宋体" w:hAnsi="宋体" w:cs="宋体" w:hint="eastAsia"/>
          <w:color w:val="000000"/>
          <w:lang w:eastAsia="zh-CN"/>
        </w:rPr>
        <w:t xml:space="preserve">    16.1.2 发包人违约的责任</w:t>
      </w:r>
    </w:p>
    <w:p w14:paraId="022E57C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发包人违约责任的承担方式和计算方法：</w:t>
      </w:r>
    </w:p>
    <w:p w14:paraId="2075E46F">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（1）因发包人原因未能在计划开工日期前7天内下达开工通知的违约责任：</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FFE300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（2）因发包人原因未能按合同约定支付合同价款的违约责任：</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2D9CB3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（3）发包人违反第10.1款〔变更的范围〕第（2）项约定，自行实施被取消的工作或转由他人实施的违约责任：</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F5546C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（4）发包人提供的材料、工程设备的规格、数量或质量不符合合同约定，或因发包人原因导致交货日期延误或交货地点变更等情况的违约责任：</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76076D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（5）因发包人违反合同约定造成暂停施工的违约责任：</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1586513">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（6）发包人无正当理由没有在约定期限内发出复工指示，导致承包人无法复工的违约责任：</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0B87B77A">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（7）其他：</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619F379F">
      <w:pPr>
        <w:spacing w:line="360" w:lineRule="auto"/>
        <w:ind w:left="-240" w:right="-240" w:firstLine="480" w:leftChars="-100" w:rightChars="-100" w:firstLineChars="200"/>
        <w:rPr>
          <w:rFonts w:ascii="宋体" w:hAnsi="宋体" w:cs="宋体"/>
          <w:color w:val="000000"/>
          <w:kern w:val="2"/>
          <w:lang w:eastAsia="zh-CN"/>
        </w:rPr>
      </w:pPr>
      <w:r>
        <w:rPr>
          <w:rFonts w:ascii="宋体" w:hAnsi="宋体" w:cs="宋体" w:hint="eastAsia"/>
          <w:color w:val="000000"/>
          <w:lang w:eastAsia="zh-CN"/>
        </w:rPr>
        <w:t>16.1.3 因发包人违约解除合同</w:t>
      </w:r>
    </w:p>
    <w:p w14:paraId="6B8BCC5F">
      <w:pPr>
        <w:autoSpaceDE w:val="0"/>
        <w:autoSpaceDN w:val="0"/>
        <w:adjustRightInd w:val="0"/>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承包人按16.1.1项〔发包人违约的情形〕约定暂停施工满</w:t>
      </w:r>
      <w:r>
        <w:rPr>
          <w:rFonts w:ascii="宋体" w:hAnsi="宋体" w:cs="宋体" w:hint="eastAsia"/>
          <w:color w:val="000000"/>
          <w:u w:val="single"/>
          <w:lang w:eastAsia="zh-CN"/>
        </w:rPr>
        <w:t xml:space="preserve">    </w:t>
      </w:r>
    </w:p>
    <w:p w14:paraId="2CBF978B">
      <w:pPr>
        <w:autoSpaceDE w:val="0"/>
        <w:autoSpaceDN w:val="0"/>
        <w:adjustRightInd w:val="0"/>
        <w:spacing w:line="360" w:lineRule="auto"/>
        <w:ind w:left="-240" w:right="-240" w:leftChars="-100" w:rightChars="-100"/>
        <w:rPr>
          <w:rFonts w:ascii="宋体" w:hAnsi="宋体" w:cs="宋体"/>
          <w:color w:val="000000"/>
          <w:lang w:eastAsia="zh-CN"/>
        </w:rPr>
      </w:pPr>
      <w:r>
        <w:rPr>
          <w:rFonts w:ascii="宋体" w:hAnsi="宋体" w:cs="宋体" w:hint="eastAsia"/>
          <w:u w:val="single"/>
          <w:lang w:eastAsia="zh-CN"/>
        </w:rPr>
        <w:t xml:space="preserve">  </w:t>
      </w:r>
      <w:r>
        <w:rPr>
          <w:rFonts w:ascii="宋体" w:hAnsi="宋体" w:cs="宋体" w:hint="eastAsia"/>
          <w:color w:val="000000"/>
          <w:lang w:eastAsia="zh-CN"/>
        </w:rPr>
        <w:t>天后发包人仍不纠正其违约行为并致使合同目的不能实现的，承包人有权解除合同。</w:t>
      </w:r>
    </w:p>
    <w:p w14:paraId="01E89103">
      <w:pPr>
        <w:spacing w:line="360" w:lineRule="auto"/>
        <w:ind w:left="-240" w:right="-240" w:firstLine="480" w:leftChars="-100" w:rightChars="-100" w:firstLineChars="200"/>
        <w:outlineLvl w:val="2"/>
        <w:rPr>
          <w:rFonts w:ascii="宋体" w:hAnsi="宋体" w:cs="宋体"/>
          <w:color w:val="000000"/>
          <w:kern w:val="2"/>
          <w:lang w:eastAsia="zh-CN"/>
        </w:rPr>
      </w:pPr>
      <w:bookmarkStart w:id="1405" w:name="_Toc356979891"/>
      <w:bookmarkStart w:id="1406" w:name="_Toc10226"/>
      <w:bookmarkStart w:id="1407" w:name="_Toc808083520"/>
      <w:r>
        <w:rPr>
          <w:rFonts w:ascii="宋体" w:hAnsi="宋体" w:cs="宋体" w:hint="eastAsia"/>
          <w:color w:val="000000"/>
          <w:lang w:eastAsia="zh-CN"/>
        </w:rPr>
        <w:t>16.2 承包人违约</w:t>
      </w:r>
      <w:bookmarkEnd w:id="1405"/>
      <w:bookmarkEnd w:id="1406"/>
      <w:bookmarkEnd w:id="1407"/>
    </w:p>
    <w:p w14:paraId="1970BDCD">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16.2.1 承包人违约的情形</w:t>
      </w:r>
    </w:p>
    <w:p w14:paraId="0B02518E">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承包人违约的其他情形：</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7533143">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16.2.2 承包人违约的责任</w:t>
      </w:r>
    </w:p>
    <w:p w14:paraId="0F623DF2">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承包人违约责任的承担方式和计算方法：</w:t>
      </w:r>
      <w:r>
        <w:rPr>
          <w:rFonts w:ascii="宋体" w:hAnsi="宋体" w:cs="宋体" w:hint="eastAsia"/>
          <w:color w:val="00B0F0"/>
          <w:u w:val="single"/>
          <w:lang w:eastAsia="zh-CN"/>
        </w:rPr>
        <w:t xml:space="preserve">               </w:t>
      </w:r>
      <w:r>
        <w:rPr>
          <w:rFonts w:ascii="宋体" w:hAnsi="宋体" w:cs="宋体" w:hint="eastAsia"/>
          <w:color w:val="000000"/>
          <w:lang w:eastAsia="zh-CN"/>
        </w:rPr>
        <w:t xml:space="preserve">。   </w:t>
      </w:r>
    </w:p>
    <w:p w14:paraId="688932B0">
      <w:pPr>
        <w:spacing w:line="360" w:lineRule="auto"/>
        <w:ind w:left="-240" w:right="-240" w:firstLine="480" w:leftChars="-100" w:rightChars="-100" w:firstLineChars="200"/>
        <w:rPr>
          <w:rFonts w:ascii="宋体" w:hAnsi="宋体" w:cs="宋体"/>
          <w:color w:val="000000"/>
          <w:kern w:val="2"/>
          <w:lang w:eastAsia="zh-CN"/>
        </w:rPr>
      </w:pPr>
      <w:r>
        <w:rPr>
          <w:rFonts w:ascii="宋体" w:hAnsi="宋体" w:cs="宋体" w:hint="eastAsia"/>
          <w:color w:val="000000"/>
          <w:lang w:eastAsia="zh-CN"/>
        </w:rPr>
        <w:t>16.2.3 因承包人违约解除合同</w:t>
      </w:r>
    </w:p>
    <w:p w14:paraId="507910D6">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关于承包人违约解除合同的特别约定：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CB6C53E">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发包人继续使用承包人在施工现场的材料、设备、临时工程、承包人文件和由承包人或以其名义编制的其他文件的费用承担方式：</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544FF1A">
      <w:pPr>
        <w:pStyle w:val="Heading2"/>
        <w:ind w:left="-240" w:right="-240" w:leftChars="-100" w:rightChars="-100"/>
        <w:rPr>
          <w:rFonts w:ascii="宋体" w:hAnsi="宋体" w:cs="宋体"/>
          <w:b w:val="0"/>
          <w:color w:val="000000"/>
          <w:sz w:val="24"/>
          <w:szCs w:val="24"/>
        </w:rPr>
      </w:pPr>
      <w:bookmarkStart w:id="1408" w:name="_Toc812123563"/>
      <w:bookmarkStart w:id="1409" w:name="_Toc2079114017"/>
      <w:r>
        <w:rPr>
          <w:rFonts w:ascii="宋体" w:hAnsi="宋体" w:cs="宋体" w:hint="eastAsia"/>
          <w:b w:val="0"/>
          <w:color w:val="000000"/>
          <w:sz w:val="24"/>
          <w:szCs w:val="24"/>
        </w:rPr>
        <w:t>17. 不可抗力</w:t>
      </w:r>
      <w:bookmarkEnd w:id="1408"/>
      <w:bookmarkEnd w:id="1409"/>
      <w:r>
        <w:rPr>
          <w:rFonts w:ascii="宋体" w:hAnsi="宋体" w:cs="宋体" w:hint="eastAsia"/>
          <w:b w:val="0"/>
          <w:color w:val="000000"/>
          <w:sz w:val="24"/>
          <w:szCs w:val="24"/>
        </w:rPr>
        <w:t xml:space="preserve"> </w:t>
      </w:r>
    </w:p>
    <w:p w14:paraId="210056C1">
      <w:pPr>
        <w:spacing w:line="360" w:lineRule="auto"/>
        <w:ind w:left="-240" w:right="-240" w:firstLine="480" w:leftChars="-100" w:rightChars="-100" w:firstLineChars="200"/>
        <w:outlineLvl w:val="2"/>
        <w:rPr>
          <w:rFonts w:ascii="宋体" w:hAnsi="宋体" w:cs="宋体"/>
          <w:color w:val="000000"/>
          <w:lang w:eastAsia="zh-CN"/>
        </w:rPr>
      </w:pPr>
      <w:bookmarkStart w:id="1410" w:name="_Toc1018645862"/>
      <w:bookmarkStart w:id="1411" w:name="_Toc1806635917"/>
      <w:bookmarkStart w:id="1412" w:name="_Toc9363"/>
      <w:r>
        <w:rPr>
          <w:rFonts w:ascii="宋体" w:hAnsi="宋体" w:cs="宋体" w:hint="eastAsia"/>
          <w:color w:val="000000"/>
          <w:lang w:eastAsia="zh-CN"/>
        </w:rPr>
        <w:t>17.1 不可抗力的确认</w:t>
      </w:r>
      <w:bookmarkEnd w:id="1410"/>
      <w:bookmarkEnd w:id="1411"/>
      <w:bookmarkEnd w:id="1412"/>
    </w:p>
    <w:p w14:paraId="0254AB3F">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除通用合同条款约定的不可抗力事件之外，视为不可抗力的其他情形：</w:t>
      </w:r>
      <w:r>
        <w:rPr>
          <w:rFonts w:ascii="宋体" w:hAnsi="宋体" w:cs="宋体" w:hint="eastAsia"/>
          <w:color w:val="00B0F0"/>
          <w:u w:val="single"/>
          <w:lang w:eastAsia="zh-CN"/>
        </w:rPr>
        <w:t xml:space="preserve">                                     </w:t>
      </w:r>
      <w:r>
        <w:rPr>
          <w:rFonts w:ascii="宋体" w:hAnsi="宋体" w:cs="宋体" w:hint="eastAsia"/>
          <w:color w:val="000000"/>
          <w:u w:val="single"/>
          <w:lang w:eastAsia="zh-CN"/>
        </w:rPr>
        <w:t xml:space="preserve"> </w:t>
      </w:r>
      <w:r>
        <w:rPr>
          <w:rFonts w:ascii="宋体" w:hAnsi="宋体" w:cs="宋体" w:hint="eastAsia"/>
          <w:color w:val="000000"/>
          <w:lang w:eastAsia="zh-CN"/>
        </w:rPr>
        <w:t>。</w:t>
      </w:r>
    </w:p>
    <w:p w14:paraId="0A7F7E6B">
      <w:pPr>
        <w:spacing w:line="360" w:lineRule="auto"/>
        <w:ind w:left="-240" w:right="-240" w:firstLine="480" w:leftChars="-100" w:rightChars="-100" w:firstLineChars="200"/>
        <w:outlineLvl w:val="2"/>
        <w:rPr>
          <w:rFonts w:ascii="宋体" w:hAnsi="宋体" w:cs="宋体"/>
          <w:color w:val="000000"/>
          <w:kern w:val="2"/>
          <w:lang w:eastAsia="zh-CN"/>
        </w:rPr>
      </w:pPr>
      <w:bookmarkStart w:id="1413" w:name="_Toc1010713786"/>
      <w:bookmarkStart w:id="1414" w:name="_Toc24645"/>
      <w:bookmarkStart w:id="1415" w:name="_Toc11690251"/>
      <w:r>
        <w:rPr>
          <w:rFonts w:ascii="宋体" w:hAnsi="宋体" w:cs="宋体" w:hint="eastAsia"/>
          <w:color w:val="000000"/>
          <w:lang w:eastAsia="zh-CN"/>
        </w:rPr>
        <w:t>17.4 因不可抗力解除合同</w:t>
      </w:r>
      <w:bookmarkEnd w:id="1413"/>
      <w:bookmarkEnd w:id="1414"/>
      <w:bookmarkEnd w:id="1415"/>
    </w:p>
    <w:p w14:paraId="59BFE85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合同解除后，发包人应在商定或确定发包人应支付款项后</w:t>
      </w:r>
      <w:r>
        <w:rPr>
          <w:rFonts w:ascii="宋体" w:hAnsi="宋体" w:cs="宋体" w:hint="eastAsia"/>
          <w:color w:val="000000"/>
          <w:u w:val="single"/>
          <w:lang w:eastAsia="zh-CN"/>
        </w:rPr>
        <w:t xml:space="preserve">   </w:t>
      </w:r>
      <w:r>
        <w:rPr>
          <w:rFonts w:ascii="宋体" w:hAnsi="宋体" w:cs="宋体" w:hint="eastAsia"/>
          <w:color w:val="000000"/>
          <w:lang w:eastAsia="zh-CN"/>
        </w:rPr>
        <w:t>天内完成款项的支付。</w:t>
      </w:r>
    </w:p>
    <w:p w14:paraId="1FAFF8AF">
      <w:pPr>
        <w:pStyle w:val="Heading2"/>
        <w:ind w:left="-240" w:right="-240" w:leftChars="-100" w:rightChars="-100"/>
        <w:rPr>
          <w:rFonts w:ascii="宋体" w:hAnsi="宋体" w:cs="宋体"/>
          <w:b w:val="0"/>
          <w:color w:val="000000"/>
          <w:sz w:val="24"/>
          <w:szCs w:val="24"/>
        </w:rPr>
      </w:pPr>
      <w:bookmarkStart w:id="1416" w:name="_Toc266453569"/>
      <w:bookmarkStart w:id="1417" w:name="_Toc1270684127"/>
      <w:r>
        <w:rPr>
          <w:rFonts w:ascii="宋体" w:hAnsi="宋体" w:cs="宋体" w:hint="eastAsia"/>
          <w:b w:val="0"/>
          <w:color w:val="000000"/>
          <w:sz w:val="24"/>
          <w:szCs w:val="24"/>
        </w:rPr>
        <w:t>18. 保险</w:t>
      </w:r>
      <w:bookmarkEnd w:id="1416"/>
      <w:bookmarkEnd w:id="1417"/>
    </w:p>
    <w:p w14:paraId="440DC45F">
      <w:pPr>
        <w:spacing w:line="360" w:lineRule="auto"/>
        <w:ind w:left="-240" w:right="-240" w:firstLine="480" w:leftChars="-100" w:rightChars="-100" w:firstLineChars="200"/>
        <w:outlineLvl w:val="2"/>
        <w:rPr>
          <w:rFonts w:ascii="宋体" w:hAnsi="宋体" w:cs="宋体"/>
          <w:color w:val="000000"/>
          <w:lang w:eastAsia="zh-CN"/>
        </w:rPr>
      </w:pPr>
      <w:bookmarkStart w:id="1418" w:name="_Toc29058"/>
      <w:bookmarkStart w:id="1419" w:name="_Toc552342053"/>
      <w:bookmarkStart w:id="1420" w:name="_Toc995365961"/>
      <w:r>
        <w:rPr>
          <w:rFonts w:ascii="宋体" w:hAnsi="宋体" w:cs="宋体" w:hint="eastAsia"/>
          <w:color w:val="000000"/>
          <w:lang w:eastAsia="zh-CN"/>
        </w:rPr>
        <w:t>18.1 工程保险</w:t>
      </w:r>
      <w:bookmarkEnd w:id="1418"/>
      <w:bookmarkEnd w:id="1419"/>
      <w:bookmarkEnd w:id="1420"/>
    </w:p>
    <w:p w14:paraId="0AFC6EEC">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关于工程保险的特别约定：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EF162CE">
      <w:pPr>
        <w:spacing w:line="360" w:lineRule="auto"/>
        <w:ind w:left="-240" w:right="-240" w:firstLine="480" w:leftChars="-100" w:rightChars="-100" w:firstLineChars="200"/>
        <w:outlineLvl w:val="2"/>
        <w:rPr>
          <w:rFonts w:ascii="宋体" w:hAnsi="宋体" w:cs="宋体"/>
          <w:color w:val="000000"/>
          <w:kern w:val="2"/>
          <w:lang w:eastAsia="zh-CN"/>
        </w:rPr>
      </w:pPr>
      <w:bookmarkStart w:id="1421" w:name="_Toc1356197126"/>
      <w:bookmarkStart w:id="1422" w:name="_Toc11083"/>
      <w:bookmarkStart w:id="1423" w:name="_Toc1714078037"/>
      <w:r>
        <w:rPr>
          <w:rFonts w:ascii="宋体" w:hAnsi="宋体" w:cs="宋体" w:hint="eastAsia"/>
          <w:color w:val="000000"/>
          <w:lang w:eastAsia="zh-CN"/>
        </w:rPr>
        <w:t>18.3 其他保险</w:t>
      </w:r>
      <w:bookmarkEnd w:id="1421"/>
      <w:bookmarkEnd w:id="1422"/>
      <w:bookmarkEnd w:id="1423"/>
    </w:p>
    <w:p w14:paraId="517B126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关于其他保险的约定：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2680EB12">
      <w:pPr>
        <w:spacing w:line="360" w:lineRule="auto"/>
        <w:ind w:left="-240" w:right="-240" w:firstLine="480" w:leftChars="-100" w:rightChars="-100" w:firstLineChars="200"/>
        <w:rPr>
          <w:rFonts w:ascii="宋体" w:hAnsi="宋体" w:cs="宋体"/>
          <w:color w:val="000000"/>
          <w:kern w:val="2"/>
          <w:u w:val="single"/>
          <w:lang w:eastAsia="zh-CN"/>
        </w:rPr>
      </w:pPr>
      <w:r>
        <w:rPr>
          <w:rFonts w:ascii="宋体" w:hAnsi="宋体" w:cs="宋体" w:hint="eastAsia"/>
          <w:color w:val="000000"/>
          <w:lang w:eastAsia="zh-CN"/>
        </w:rPr>
        <w:t>承包人是否应为其施工设备等办理财产保险：</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FE803E5">
      <w:pPr>
        <w:spacing w:line="360" w:lineRule="auto"/>
        <w:ind w:left="-240" w:right="-240" w:firstLine="480" w:leftChars="-100" w:rightChars="-100" w:firstLineChars="200"/>
        <w:outlineLvl w:val="2"/>
        <w:rPr>
          <w:rFonts w:ascii="宋体" w:hAnsi="宋体" w:cs="宋体"/>
          <w:color w:val="000000"/>
          <w:lang w:eastAsia="zh-CN"/>
        </w:rPr>
      </w:pPr>
      <w:bookmarkStart w:id="1424" w:name="_Toc4543"/>
      <w:bookmarkStart w:id="1425" w:name="_Toc221254894"/>
      <w:bookmarkStart w:id="1426" w:name="_Toc23310917"/>
      <w:r>
        <w:rPr>
          <w:rFonts w:ascii="宋体" w:hAnsi="宋体" w:cs="宋体" w:hint="eastAsia"/>
          <w:color w:val="000000"/>
          <w:lang w:eastAsia="zh-CN"/>
        </w:rPr>
        <w:t>18.7 通知义务</w:t>
      </w:r>
      <w:bookmarkEnd w:id="1424"/>
      <w:bookmarkEnd w:id="1425"/>
      <w:bookmarkEnd w:id="1426"/>
    </w:p>
    <w:p w14:paraId="437D0297">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关于变更保险合同时的通知义务的约定：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8669828">
      <w:pPr>
        <w:pStyle w:val="Heading2"/>
        <w:ind w:left="-240" w:right="-240" w:leftChars="-100" w:rightChars="-100"/>
        <w:rPr>
          <w:rFonts w:ascii="宋体" w:hAnsi="宋体" w:cs="宋体"/>
          <w:b w:val="0"/>
          <w:color w:val="000000"/>
          <w:sz w:val="24"/>
          <w:szCs w:val="24"/>
        </w:rPr>
      </w:pPr>
      <w:bookmarkStart w:id="1427" w:name="_Toc417085405"/>
      <w:bookmarkStart w:id="1428" w:name="_Toc226165635"/>
      <w:r>
        <w:rPr>
          <w:rFonts w:ascii="宋体" w:hAnsi="宋体" w:cs="宋体" w:hint="eastAsia"/>
          <w:b w:val="0"/>
          <w:color w:val="000000"/>
          <w:sz w:val="24"/>
          <w:szCs w:val="24"/>
        </w:rPr>
        <w:t>20. 争议解决</w:t>
      </w:r>
      <w:bookmarkEnd w:id="1427"/>
      <w:bookmarkEnd w:id="1428"/>
    </w:p>
    <w:p w14:paraId="6F970D0A">
      <w:pPr>
        <w:spacing w:line="360" w:lineRule="auto"/>
        <w:ind w:left="-240" w:right="-240" w:firstLine="480" w:leftChars="-100" w:rightChars="-100" w:firstLineChars="200"/>
        <w:outlineLvl w:val="2"/>
        <w:rPr>
          <w:rFonts w:ascii="宋体" w:hAnsi="宋体" w:cs="宋体"/>
          <w:color w:val="000000"/>
          <w:lang w:eastAsia="zh-CN"/>
        </w:rPr>
      </w:pPr>
      <w:bookmarkStart w:id="1429" w:name="_Toc4610"/>
      <w:bookmarkStart w:id="1430" w:name="_Toc846612084"/>
      <w:bookmarkStart w:id="1431" w:name="_Toc1731520220"/>
      <w:r>
        <w:rPr>
          <w:rFonts w:ascii="宋体" w:hAnsi="宋体" w:cs="宋体" w:hint="eastAsia"/>
          <w:color w:val="000000"/>
          <w:lang w:eastAsia="zh-CN"/>
        </w:rPr>
        <w:t>20.3 争议评审</w:t>
      </w:r>
      <w:bookmarkEnd w:id="1429"/>
      <w:bookmarkEnd w:id="1430"/>
      <w:bookmarkEnd w:id="1431"/>
    </w:p>
    <w:p w14:paraId="749577A6">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本款补充20.3.1。</w:t>
      </w:r>
    </w:p>
    <w:p w14:paraId="0C55FF9B">
      <w:pPr>
        <w:spacing w:line="360" w:lineRule="auto"/>
        <w:ind w:left="-240" w:right="-240" w:firstLine="360" w:leftChars="-100" w:rightChars="-100" w:firstLineChars="150"/>
        <w:rPr>
          <w:rFonts w:ascii="宋体" w:hAnsi="宋体" w:cs="宋体"/>
          <w:color w:val="00B0F0"/>
          <w:u w:val="single"/>
          <w:lang w:eastAsia="zh-CN"/>
        </w:rPr>
      </w:pPr>
      <w:r>
        <w:rPr>
          <w:rFonts w:ascii="宋体" w:hAnsi="宋体" w:cs="宋体" w:hint="eastAsia"/>
          <w:color w:val="000000"/>
          <w:lang w:eastAsia="zh-CN"/>
        </w:rPr>
        <w:t>合同当事人是否同意将工程争议提交争议评审小组决定：</w:t>
      </w:r>
      <w:r>
        <w:rPr>
          <w:rFonts w:ascii="宋体" w:hAnsi="宋体" w:cs="宋体" w:hint="eastAsia"/>
          <w:color w:val="00B0F0"/>
          <w:u w:val="single"/>
          <w:lang w:eastAsia="zh-CN"/>
        </w:rPr>
        <w:t xml:space="preserve">     </w:t>
      </w:r>
    </w:p>
    <w:p w14:paraId="37B4FEC1">
      <w:pPr>
        <w:spacing w:line="360" w:lineRule="auto"/>
        <w:ind w:left="-240" w:right="-240" w:leftChars="-100" w:rightChars="-100"/>
        <w:rPr>
          <w:rFonts w:ascii="宋体" w:hAnsi="宋体" w:cs="宋体"/>
          <w:lang w:eastAsia="zh-CN"/>
        </w:rPr>
      </w:pP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B76E667">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20.3.1 争议评审小组的确定</w:t>
      </w:r>
    </w:p>
    <w:p w14:paraId="3BDB4880">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关于评审机构的约定：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7B870015">
      <w:pPr>
        <w:spacing w:line="360" w:lineRule="auto"/>
        <w:ind w:left="-240" w:right="-240" w:firstLine="480" w:leftChars="-100" w:rightChars="-100" w:firstLineChars="200"/>
        <w:rPr>
          <w:rFonts w:ascii="宋体" w:hAnsi="宋体" w:cs="宋体"/>
          <w:color w:val="000000"/>
          <w:u w:val="single"/>
          <w:lang w:eastAsia="zh-CN"/>
        </w:rPr>
      </w:pPr>
      <w:r>
        <w:rPr>
          <w:rFonts w:ascii="宋体" w:hAnsi="宋体" w:cs="宋体" w:hint="eastAsia"/>
          <w:color w:val="000000"/>
          <w:lang w:eastAsia="zh-CN"/>
        </w:rPr>
        <w:t>争议评审小组成员的确定：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22C8558">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选定争议评审员的期限：</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186F2403">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争议评审小组成员的报酬承担方式：</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08C7762">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其他事项的约定：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4CAD5F04">
      <w:pPr>
        <w:autoSpaceDE w:val="0"/>
        <w:autoSpaceDN w:val="0"/>
        <w:adjustRightInd w:val="0"/>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20.3.2 争议评审小组的决定</w:t>
      </w:r>
    </w:p>
    <w:p w14:paraId="2CD99EA8">
      <w:pPr>
        <w:spacing w:line="360" w:lineRule="auto"/>
        <w:ind w:left="-240" w:right="-240" w:firstLine="480" w:leftChars="-100" w:rightChars="-100" w:firstLineChars="200"/>
        <w:rPr>
          <w:rFonts w:ascii="宋体" w:hAnsi="宋体" w:cs="宋体"/>
          <w:color w:val="000000"/>
          <w:kern w:val="2"/>
          <w:u w:val="single"/>
          <w:lang w:eastAsia="zh-CN"/>
        </w:rPr>
      </w:pPr>
      <w:r>
        <w:rPr>
          <w:rFonts w:ascii="宋体" w:hAnsi="宋体" w:cs="宋体" w:hint="eastAsia"/>
          <w:color w:val="000000"/>
          <w:lang w:eastAsia="zh-CN"/>
        </w:rPr>
        <w:t>合同当事人关于本项的约定：</w:t>
      </w:r>
      <w:r>
        <w:rPr>
          <w:rFonts w:ascii="宋体" w:hAnsi="宋体" w:cs="宋体" w:hint="eastAsia"/>
          <w:color w:val="00B0F0"/>
          <w:u w:val="single"/>
          <w:lang w:eastAsia="zh-CN"/>
        </w:rPr>
        <w:t xml:space="preserve">                                     </w:t>
      </w:r>
      <w:r>
        <w:rPr>
          <w:rFonts w:ascii="宋体" w:hAnsi="宋体" w:cs="宋体" w:hint="eastAsia"/>
          <w:color w:val="000000"/>
          <w:lang w:eastAsia="zh-CN"/>
        </w:rPr>
        <w:t>。</w:t>
      </w:r>
    </w:p>
    <w:p w14:paraId="5447B1F8">
      <w:pPr>
        <w:spacing w:line="360" w:lineRule="auto"/>
        <w:ind w:left="-240" w:right="-240" w:firstLine="480" w:leftChars="-100" w:rightChars="-100" w:firstLineChars="200"/>
        <w:outlineLvl w:val="2"/>
        <w:rPr>
          <w:rFonts w:ascii="宋体" w:hAnsi="宋体" w:cs="宋体"/>
          <w:color w:val="000000"/>
          <w:lang w:eastAsia="zh-CN"/>
        </w:rPr>
      </w:pPr>
      <w:bookmarkStart w:id="1432" w:name="_Toc30811"/>
      <w:bookmarkStart w:id="1433" w:name="_Toc1638028047"/>
      <w:bookmarkStart w:id="1434" w:name="_Toc2061672555"/>
      <w:r>
        <w:rPr>
          <w:rFonts w:ascii="宋体" w:hAnsi="宋体" w:cs="宋体" w:hint="eastAsia"/>
          <w:color w:val="000000"/>
          <w:lang w:eastAsia="zh-CN"/>
        </w:rPr>
        <w:t>20.4 仲裁或诉讼</w:t>
      </w:r>
      <w:bookmarkEnd w:id="1432"/>
      <w:bookmarkEnd w:id="1433"/>
      <w:bookmarkEnd w:id="1434"/>
    </w:p>
    <w:p w14:paraId="2E6354E2">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本款修改为：</w:t>
      </w:r>
    </w:p>
    <w:p w14:paraId="4AE1F4F2">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因合同及合同有关事项发生的争议，按下列第</w:t>
      </w:r>
      <w:r>
        <w:rPr>
          <w:rFonts w:ascii="宋体" w:hAnsi="宋体" w:cs="宋体" w:hint="eastAsia"/>
          <w:color w:val="00B0F0"/>
          <w:u w:val="single"/>
          <w:lang w:eastAsia="zh-CN"/>
        </w:rPr>
        <w:t xml:space="preserve">    </w:t>
      </w:r>
      <w:r>
        <w:rPr>
          <w:rFonts w:ascii="宋体" w:hAnsi="宋体" w:cs="宋体" w:hint="eastAsia"/>
          <w:color w:val="000000"/>
          <w:lang w:eastAsia="zh-CN"/>
        </w:rPr>
        <w:t>种方式解决：</w:t>
      </w:r>
    </w:p>
    <w:p w14:paraId="551EBDAC">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（1）向</w:t>
      </w:r>
      <w:r>
        <w:rPr>
          <w:rFonts w:ascii="宋体" w:hAnsi="宋体" w:cs="宋体" w:hint="eastAsia"/>
          <w:color w:val="00B0F0"/>
          <w:u w:val="single"/>
          <w:lang w:eastAsia="zh-CN"/>
        </w:rPr>
        <w:t xml:space="preserve">                     </w:t>
      </w:r>
      <w:r>
        <w:rPr>
          <w:rFonts w:ascii="宋体" w:hAnsi="宋体" w:cs="宋体" w:hint="eastAsia"/>
          <w:color w:val="000000"/>
          <w:lang w:eastAsia="zh-CN"/>
        </w:rPr>
        <w:t>仲裁委员会申请仲裁；</w:t>
      </w:r>
    </w:p>
    <w:p w14:paraId="65E32E14">
      <w:pPr>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（2）依法向</w:t>
      </w:r>
      <w:r>
        <w:rPr>
          <w:rFonts w:ascii="宋体" w:hAnsi="宋体" w:cs="宋体" w:hint="eastAsia"/>
          <w:color w:val="00B0F0"/>
          <w:u w:val="single"/>
          <w:lang w:eastAsia="zh-CN"/>
        </w:rPr>
        <w:t xml:space="preserve">                 </w:t>
      </w:r>
      <w:r>
        <w:rPr>
          <w:rFonts w:ascii="宋体" w:hAnsi="宋体" w:cs="宋体" w:hint="eastAsia"/>
          <w:color w:val="000000"/>
          <w:lang w:eastAsia="zh-CN"/>
        </w:rPr>
        <w:t>人民法院起诉。</w:t>
      </w:r>
    </w:p>
    <w:p w14:paraId="0A40756B">
      <w:pPr>
        <w:spacing w:line="360" w:lineRule="auto"/>
        <w:ind w:left="-240" w:right="-240" w:firstLine="480" w:leftChars="-100" w:rightChars="-100" w:firstLineChars="200"/>
        <w:outlineLvl w:val="2"/>
        <w:rPr>
          <w:rFonts w:ascii="宋体" w:hAnsi="宋体" w:cs="宋体"/>
          <w:color w:val="000000"/>
          <w:lang w:eastAsia="zh-CN"/>
        </w:rPr>
      </w:pPr>
      <w:bookmarkStart w:id="1435" w:name="_Toc6183"/>
      <w:bookmarkStart w:id="1436" w:name="_Toc452738762"/>
      <w:bookmarkStart w:id="1437" w:name="_Toc365353596"/>
      <w:r>
        <w:rPr>
          <w:rFonts w:ascii="宋体" w:hAnsi="宋体" w:cs="宋体" w:hint="eastAsia"/>
          <w:color w:val="000000"/>
          <w:lang w:eastAsia="zh-CN"/>
        </w:rPr>
        <w:t>20.6 通知送达</w:t>
      </w:r>
      <w:bookmarkEnd w:id="1435"/>
      <w:bookmarkEnd w:id="1436"/>
      <w:bookmarkEnd w:id="1437"/>
    </w:p>
    <w:p w14:paraId="59F48DDE">
      <w:pPr>
        <w:spacing w:line="360" w:lineRule="auto"/>
        <w:ind w:left="-240" w:right="-240" w:firstLine="480" w:leftChars="-100" w:rightChars="-100" w:firstLineChars="200"/>
        <w:outlineLvl w:val="2"/>
        <w:rPr>
          <w:rFonts w:ascii="宋体" w:hAnsi="宋体" w:cs="宋体"/>
          <w:lang w:eastAsia="zh-CN"/>
        </w:rPr>
      </w:pPr>
      <w:bookmarkStart w:id="1438" w:name="_Toc1318438321"/>
      <w:bookmarkStart w:id="1439" w:name="_Toc921481975"/>
      <w:r>
        <w:rPr>
          <w:rFonts w:ascii="宋体" w:hAnsi="宋体" w:cs="宋体" w:hint="eastAsia"/>
          <w:lang w:eastAsia="zh-CN"/>
        </w:rPr>
        <w:t>本款补充：</w:t>
      </w:r>
      <w:bookmarkEnd w:id="1438"/>
      <w:bookmarkEnd w:id="1439"/>
      <w:bookmarkStart w:id="1440" w:name="_Toc18712"/>
    </w:p>
    <w:p w14:paraId="035E4052">
      <w:pPr>
        <w:spacing w:line="360" w:lineRule="auto"/>
        <w:ind w:left="-240" w:right="-240" w:firstLine="480" w:leftChars="-100" w:rightChars="-100" w:firstLineChars="200"/>
        <w:outlineLvl w:val="2"/>
        <w:rPr>
          <w:rFonts w:ascii="宋体" w:hAnsi="宋体" w:cs="宋体"/>
          <w:lang w:eastAsia="zh-CN"/>
        </w:rPr>
      </w:pPr>
      <w:bookmarkStart w:id="1441" w:name="_Toc626862138"/>
      <w:bookmarkStart w:id="1442" w:name="_Toc1414635822"/>
      <w:r>
        <w:rPr>
          <w:rFonts w:ascii="宋体" w:hAnsi="宋体" w:cs="宋体" w:hint="eastAsia"/>
          <w:lang w:eastAsia="zh-CN"/>
        </w:rPr>
        <w:t>双方确认本合同载明的联系方式（联系电话、电子信箱、传真号码及通信地址）准确无误，如有变更应以书面方式及时通知另一方。由于一方联系方式错误、不详或者无法识别等导致无法送达，或者联系方式变更未及时通知另一方，以及其他不可归责于送达方原因造成相关通知或者文件无法送达、拒绝签收，则相关通知或文件自寄送或发送后第</w:t>
      </w:r>
      <w:r>
        <w:rPr>
          <w:rFonts w:ascii="宋体" w:hAnsi="宋体" w:cs="宋体" w:hint="eastAsia"/>
          <w:color w:val="00B0F0"/>
          <w:u w:val="single"/>
          <w:lang w:eastAsia="zh-CN"/>
        </w:rPr>
        <w:t xml:space="preserve">    </w:t>
      </w:r>
      <w:r>
        <w:rPr>
          <w:rFonts w:ascii="宋体" w:hAnsi="宋体" w:cs="宋体" w:hint="eastAsia"/>
          <w:lang w:eastAsia="zh-CN"/>
        </w:rPr>
        <w:t>天起视为已送达。</w:t>
      </w:r>
      <w:bookmarkEnd w:id="1441"/>
      <w:bookmarkEnd w:id="1442"/>
    </w:p>
    <w:p w14:paraId="514FBA61">
      <w:pPr>
        <w:spacing w:line="360" w:lineRule="auto"/>
        <w:rPr>
          <w:rFonts w:ascii="宋体" w:hAnsi="宋体" w:cs="宋体"/>
          <w:lang w:eastAsia="zh-CN"/>
        </w:rPr>
        <w:sectPr>
          <w:pgSz w:w="11906" w:h="16838"/>
          <w:pgMar w:top="2098" w:right="1757" w:bottom="1984" w:left="1757" w:header="851" w:footer="1417" w:gutter="0"/>
          <w:cols w:num="1" w:space="720"/>
          <w:docGrid w:type="lines" w:linePitch="312" w:charSpace="0"/>
        </w:sectPr>
      </w:pPr>
    </w:p>
    <w:p w14:paraId="0CB26214">
      <w:pPr>
        <w:spacing w:line="360" w:lineRule="auto"/>
        <w:ind w:left="-240" w:right="-240" w:leftChars="-100" w:rightChars="-100"/>
        <w:outlineLvl w:val="1"/>
        <w:rPr>
          <w:rFonts w:ascii="宋体" w:hAnsi="宋体" w:cs="宋体"/>
          <w:b/>
          <w:bCs/>
          <w:color w:val="000000"/>
          <w:kern w:val="2"/>
          <w:lang w:eastAsia="zh-CN"/>
        </w:rPr>
      </w:pPr>
      <w:bookmarkStart w:id="1443" w:name="_Toc372503870"/>
      <w:bookmarkStart w:id="1444" w:name="_Toc1508364105"/>
      <w:bookmarkStart w:id="1445" w:name="_Toc465626090"/>
      <w:r>
        <w:rPr>
          <w:rFonts w:ascii="宋体" w:hAnsi="宋体" w:cs="宋体" w:hint="eastAsia"/>
          <w:b/>
          <w:bCs/>
          <w:color w:val="000000"/>
          <w:lang w:eastAsia="zh-CN"/>
        </w:rPr>
        <w:t>附件1：</w:t>
      </w:r>
      <w:bookmarkEnd w:id="1443"/>
      <w:bookmarkEnd w:id="1444"/>
      <w:bookmarkEnd w:id="1445"/>
    </w:p>
    <w:p w14:paraId="6B39F5F6">
      <w:pPr>
        <w:autoSpaceDE w:val="0"/>
        <w:autoSpaceDN w:val="0"/>
        <w:adjustRightInd w:val="0"/>
        <w:snapToGrid w:val="0"/>
        <w:spacing w:line="360" w:lineRule="auto"/>
        <w:ind w:left="-240" w:right="-240" w:leftChars="-100" w:rightChars="-100"/>
        <w:jc w:val="center"/>
        <w:outlineLvl w:val="1"/>
        <w:rPr>
          <w:rFonts w:ascii="宋体" w:hAnsi="宋体" w:cs="宋体"/>
          <w:color w:val="000000"/>
          <w:lang w:eastAsia="zh-CN"/>
        </w:rPr>
      </w:pPr>
      <w:bookmarkStart w:id="1446" w:name="_Toc1334624912"/>
      <w:bookmarkStart w:id="1447" w:name="_Toc19812"/>
      <w:bookmarkStart w:id="1448" w:name="_Toc290402072"/>
      <w:bookmarkStart w:id="1449" w:name="_Toc26207"/>
      <w:bookmarkStart w:id="1450" w:name="_Toc30667"/>
      <w:bookmarkStart w:id="1451" w:name="_Toc24448"/>
      <w:bookmarkStart w:id="1452" w:name="_Toc25532"/>
      <w:bookmarkStart w:id="1453" w:name="_Toc8135"/>
      <w:r>
        <w:rPr>
          <w:rFonts w:ascii="宋体" w:hAnsi="宋体" w:cs="宋体" w:hint="eastAsia"/>
          <w:color w:val="000000"/>
          <w:lang w:eastAsia="zh-CN"/>
        </w:rPr>
        <w:t>承包人承揽工程项目一览表</w:t>
      </w:r>
      <w:bookmarkEnd w:id="1446"/>
      <w:bookmarkEnd w:id="1447"/>
      <w:bookmarkEnd w:id="1448"/>
      <w:bookmarkEnd w:id="1449"/>
      <w:bookmarkEnd w:id="1450"/>
      <w:bookmarkEnd w:id="1451"/>
      <w:bookmarkEnd w:id="1452"/>
      <w:bookmarkEnd w:id="1453"/>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
      <w:tblGrid>
        <w:gridCol w:w="1419"/>
        <w:gridCol w:w="1701"/>
        <w:gridCol w:w="4961"/>
        <w:gridCol w:w="2126"/>
        <w:gridCol w:w="1843"/>
        <w:gridCol w:w="1701"/>
      </w:tblGrid>
      <w:tr w14:paraId="7D85B353">
        <w:tblPrEx>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28" w:type="dxa"/>
            <w:bottom w:w="0" w:type="dxa"/>
            <w:right w:w="28" w:type="dxa"/>
          </w:tblCellMar>
        </w:tblPrEx>
        <w:trPr>
          <w:trHeight w:val="567"/>
          <w:jc w:val="center"/>
        </w:trPr>
        <w:tc>
          <w:tcPr>
            <w:tcW w:w="1419" w:type="dxa"/>
            <w:tcBorders>
              <w:top w:val="single" w:sz="12" w:space="0" w:color="auto"/>
              <w:left w:val="single" w:sz="12" w:space="0" w:color="auto"/>
              <w:bottom w:val="single" w:sz="4" w:space="0" w:color="auto"/>
              <w:right w:val="single" w:sz="4" w:space="0" w:color="auto"/>
            </w:tcBorders>
            <w:vAlign w:val="center"/>
          </w:tcPr>
          <w:p w14:paraId="78BC38B4">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单位工程名    称</w:t>
            </w:r>
          </w:p>
        </w:tc>
        <w:tc>
          <w:tcPr>
            <w:tcW w:w="1701" w:type="dxa"/>
            <w:tcBorders>
              <w:top w:val="single" w:sz="12" w:space="0" w:color="auto"/>
              <w:left w:val="single" w:sz="4" w:space="0" w:color="auto"/>
              <w:bottom w:val="single" w:sz="4" w:space="0" w:color="auto"/>
              <w:right w:val="single" w:sz="4" w:space="0" w:color="auto"/>
            </w:tcBorders>
            <w:vAlign w:val="center"/>
          </w:tcPr>
          <w:p w14:paraId="2C0E8F06">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建设规模</w:t>
            </w:r>
          </w:p>
        </w:tc>
        <w:tc>
          <w:tcPr>
            <w:tcW w:w="4961" w:type="dxa"/>
            <w:tcBorders>
              <w:top w:val="single" w:sz="12" w:space="0" w:color="auto"/>
              <w:left w:val="single" w:sz="4" w:space="0" w:color="auto"/>
              <w:bottom w:val="single" w:sz="4" w:space="0" w:color="auto"/>
              <w:right w:val="single" w:sz="4" w:space="0" w:color="auto"/>
            </w:tcBorders>
            <w:vAlign w:val="center"/>
          </w:tcPr>
          <w:p w14:paraId="6EA9D65D">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主要内容</w:t>
            </w:r>
          </w:p>
        </w:tc>
        <w:tc>
          <w:tcPr>
            <w:tcW w:w="2126" w:type="dxa"/>
            <w:tcBorders>
              <w:top w:val="single" w:sz="12" w:space="0" w:color="auto"/>
              <w:left w:val="single" w:sz="4" w:space="0" w:color="auto"/>
              <w:bottom w:val="single" w:sz="4" w:space="0" w:color="auto"/>
              <w:right w:val="single" w:sz="4" w:space="0" w:color="auto"/>
            </w:tcBorders>
            <w:vAlign w:val="center"/>
          </w:tcPr>
          <w:p w14:paraId="6054BB1D">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合同价格（元）</w:t>
            </w:r>
          </w:p>
        </w:tc>
        <w:tc>
          <w:tcPr>
            <w:tcW w:w="1843" w:type="dxa"/>
            <w:tcBorders>
              <w:top w:val="single" w:sz="12" w:space="0" w:color="auto"/>
              <w:left w:val="single" w:sz="4" w:space="0" w:color="auto"/>
              <w:bottom w:val="single" w:sz="4" w:space="0" w:color="auto"/>
              <w:right w:val="single" w:sz="4" w:space="0" w:color="auto"/>
            </w:tcBorders>
            <w:vAlign w:val="center"/>
          </w:tcPr>
          <w:p w14:paraId="446AD002">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开工日期</w:t>
            </w:r>
          </w:p>
        </w:tc>
        <w:tc>
          <w:tcPr>
            <w:tcW w:w="1701" w:type="dxa"/>
            <w:tcBorders>
              <w:top w:val="single" w:sz="12" w:space="0" w:color="auto"/>
              <w:left w:val="single" w:sz="4" w:space="0" w:color="auto"/>
              <w:bottom w:val="single" w:sz="4" w:space="0" w:color="auto"/>
              <w:right w:val="single" w:sz="12" w:space="0" w:color="auto"/>
            </w:tcBorders>
            <w:vAlign w:val="center"/>
          </w:tcPr>
          <w:p w14:paraId="67079BF6">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竣工日期</w:t>
            </w:r>
          </w:p>
        </w:tc>
      </w:tr>
      <w:tr w14:paraId="5A63FF34">
        <w:tblPrEx>
          <w:tblW w:w="0" w:type="auto"/>
          <w:jc w:val="center"/>
          <w:tblLayout w:type="fixed"/>
          <w:tblCellMar>
            <w:top w:w="0" w:type="dxa"/>
            <w:left w:w="28" w:type="dxa"/>
            <w:bottom w:w="0" w:type="dxa"/>
            <w:right w:w="28" w:type="dxa"/>
          </w:tblCellMar>
        </w:tblPrEx>
        <w:trPr>
          <w:trHeight w:val="567"/>
          <w:jc w:val="center"/>
        </w:trPr>
        <w:tc>
          <w:tcPr>
            <w:tcW w:w="1419" w:type="dxa"/>
            <w:tcBorders>
              <w:top w:val="single" w:sz="4" w:space="0" w:color="auto"/>
              <w:left w:val="single" w:sz="12" w:space="0" w:color="auto"/>
              <w:bottom w:val="single" w:sz="4" w:space="0" w:color="auto"/>
              <w:right w:val="single" w:sz="4" w:space="0" w:color="auto"/>
            </w:tcBorders>
            <w:vAlign w:val="center"/>
          </w:tcPr>
          <w:p w14:paraId="1C1802E0">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70F484A">
            <w:pPr>
              <w:pStyle w:val="BodyText"/>
              <w:keepNext/>
              <w:spacing w:after="0" w:line="360" w:lineRule="auto"/>
              <w:ind w:left="-240" w:right="-240" w:leftChars="-100" w:rightChars="-100"/>
              <w:rPr>
                <w:rFonts w:ascii="宋体" w:hAnsi="宋体" w:cs="宋体"/>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72721C34">
            <w:pPr>
              <w:pStyle w:val="BodyText"/>
              <w:keepNext/>
              <w:spacing w:after="0" w:line="360" w:lineRule="auto"/>
              <w:ind w:left="-240" w:right="-240" w:leftChars="-100" w:rightChars="-100"/>
              <w:rPr>
                <w:rFonts w:ascii="宋体" w:hAnsi="宋体" w:cs="宋体"/>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2306E7F">
            <w:pPr>
              <w:pStyle w:val="BodyText"/>
              <w:keepNext/>
              <w:spacing w:after="0" w:line="360" w:lineRule="auto"/>
              <w:ind w:left="-240" w:right="-240" w:leftChars="-100" w:rightChars="-100"/>
              <w:rPr>
                <w:rFonts w:ascii="宋体" w:hAnsi="宋体" w:cs="宋体"/>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3BECCB0D">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12" w:space="0" w:color="auto"/>
            </w:tcBorders>
            <w:vAlign w:val="center"/>
          </w:tcPr>
          <w:p w14:paraId="4731D457">
            <w:pPr>
              <w:pStyle w:val="BodyText"/>
              <w:keepNext/>
              <w:spacing w:after="0" w:line="360" w:lineRule="auto"/>
              <w:ind w:left="-240" w:right="-240" w:leftChars="-100" w:rightChars="-100"/>
              <w:rPr>
                <w:rFonts w:ascii="宋体" w:hAnsi="宋体" w:cs="宋体"/>
                <w:color w:val="000000"/>
                <w:sz w:val="24"/>
                <w:szCs w:val="24"/>
              </w:rPr>
            </w:pPr>
          </w:p>
        </w:tc>
      </w:tr>
      <w:tr w14:paraId="75CF891F">
        <w:tblPrEx>
          <w:tblW w:w="0" w:type="auto"/>
          <w:jc w:val="center"/>
          <w:tblLayout w:type="fixed"/>
          <w:tblCellMar>
            <w:top w:w="0" w:type="dxa"/>
            <w:left w:w="28" w:type="dxa"/>
            <w:bottom w:w="0" w:type="dxa"/>
            <w:right w:w="28" w:type="dxa"/>
          </w:tblCellMar>
        </w:tblPrEx>
        <w:trPr>
          <w:trHeight w:val="567"/>
          <w:jc w:val="center"/>
        </w:trPr>
        <w:tc>
          <w:tcPr>
            <w:tcW w:w="1419" w:type="dxa"/>
            <w:tcBorders>
              <w:top w:val="single" w:sz="4" w:space="0" w:color="auto"/>
              <w:left w:val="single" w:sz="12" w:space="0" w:color="auto"/>
              <w:bottom w:val="single" w:sz="4" w:space="0" w:color="auto"/>
              <w:right w:val="single" w:sz="4" w:space="0" w:color="auto"/>
            </w:tcBorders>
            <w:vAlign w:val="center"/>
          </w:tcPr>
          <w:p w14:paraId="6C9AC97C">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3CA24DC1">
            <w:pPr>
              <w:pStyle w:val="BodyText"/>
              <w:keepNext/>
              <w:spacing w:after="0" w:line="360" w:lineRule="auto"/>
              <w:ind w:left="-240" w:right="-240" w:leftChars="-100" w:rightChars="-100"/>
              <w:rPr>
                <w:rFonts w:ascii="宋体" w:hAnsi="宋体" w:cs="宋体"/>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6436836D">
            <w:pPr>
              <w:pStyle w:val="BodyText"/>
              <w:keepNext/>
              <w:spacing w:after="0" w:line="360" w:lineRule="auto"/>
              <w:ind w:left="-240" w:right="-240" w:leftChars="-100" w:rightChars="-100"/>
              <w:rPr>
                <w:rFonts w:ascii="宋体" w:hAnsi="宋体" w:cs="宋体"/>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F77E847">
            <w:pPr>
              <w:pStyle w:val="BodyText"/>
              <w:keepNext/>
              <w:spacing w:after="0" w:line="360" w:lineRule="auto"/>
              <w:ind w:left="-240" w:right="-240" w:leftChars="-100" w:rightChars="-100"/>
              <w:rPr>
                <w:rFonts w:ascii="宋体" w:hAnsi="宋体" w:cs="宋体"/>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39E3F31C">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12" w:space="0" w:color="auto"/>
            </w:tcBorders>
            <w:vAlign w:val="center"/>
          </w:tcPr>
          <w:p w14:paraId="737D781B">
            <w:pPr>
              <w:pStyle w:val="BodyText"/>
              <w:keepNext/>
              <w:spacing w:after="0" w:line="360" w:lineRule="auto"/>
              <w:ind w:left="-240" w:right="-240" w:leftChars="-100" w:rightChars="-100"/>
              <w:rPr>
                <w:rFonts w:ascii="宋体" w:hAnsi="宋体" w:cs="宋体"/>
                <w:color w:val="000000"/>
                <w:sz w:val="24"/>
                <w:szCs w:val="24"/>
              </w:rPr>
            </w:pPr>
          </w:p>
        </w:tc>
      </w:tr>
      <w:tr w14:paraId="27CED54D">
        <w:tblPrEx>
          <w:tblW w:w="0" w:type="auto"/>
          <w:jc w:val="center"/>
          <w:tblLayout w:type="fixed"/>
          <w:tblCellMar>
            <w:top w:w="0" w:type="dxa"/>
            <w:left w:w="28" w:type="dxa"/>
            <w:bottom w:w="0" w:type="dxa"/>
            <w:right w:w="28" w:type="dxa"/>
          </w:tblCellMar>
        </w:tblPrEx>
        <w:trPr>
          <w:trHeight w:val="567"/>
          <w:jc w:val="center"/>
        </w:trPr>
        <w:tc>
          <w:tcPr>
            <w:tcW w:w="1419" w:type="dxa"/>
            <w:tcBorders>
              <w:top w:val="single" w:sz="4" w:space="0" w:color="auto"/>
              <w:left w:val="single" w:sz="12" w:space="0" w:color="auto"/>
              <w:bottom w:val="single" w:sz="4" w:space="0" w:color="auto"/>
              <w:right w:val="single" w:sz="4" w:space="0" w:color="auto"/>
            </w:tcBorders>
            <w:vAlign w:val="center"/>
          </w:tcPr>
          <w:p w14:paraId="30893BCD">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3E2262CD">
            <w:pPr>
              <w:pStyle w:val="BodyText"/>
              <w:keepNext/>
              <w:spacing w:after="0" w:line="360" w:lineRule="auto"/>
              <w:ind w:left="-240" w:right="-240" w:leftChars="-100" w:rightChars="-100"/>
              <w:rPr>
                <w:rFonts w:ascii="宋体" w:hAnsi="宋体" w:cs="宋体"/>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0BFEED36">
            <w:pPr>
              <w:pStyle w:val="BodyText"/>
              <w:keepNext/>
              <w:spacing w:after="0" w:line="360" w:lineRule="auto"/>
              <w:ind w:left="-240" w:right="-240" w:leftChars="-100" w:rightChars="-100"/>
              <w:rPr>
                <w:rFonts w:ascii="宋体" w:hAnsi="宋体" w:cs="宋体"/>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D81E4F7">
            <w:pPr>
              <w:pStyle w:val="BodyText"/>
              <w:keepNext/>
              <w:spacing w:after="0" w:line="360" w:lineRule="auto"/>
              <w:ind w:left="-240" w:right="-240" w:leftChars="-100" w:rightChars="-100"/>
              <w:rPr>
                <w:rFonts w:ascii="宋体" w:hAnsi="宋体" w:cs="宋体"/>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52B03E56">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12" w:space="0" w:color="auto"/>
            </w:tcBorders>
            <w:vAlign w:val="center"/>
          </w:tcPr>
          <w:p w14:paraId="4F5F3FF3">
            <w:pPr>
              <w:pStyle w:val="BodyText"/>
              <w:keepNext/>
              <w:spacing w:after="0" w:line="360" w:lineRule="auto"/>
              <w:ind w:left="-240" w:right="-240" w:leftChars="-100" w:rightChars="-100"/>
              <w:rPr>
                <w:rFonts w:ascii="宋体" w:hAnsi="宋体" w:cs="宋体"/>
                <w:color w:val="000000"/>
                <w:sz w:val="24"/>
                <w:szCs w:val="24"/>
              </w:rPr>
            </w:pPr>
          </w:p>
        </w:tc>
      </w:tr>
      <w:tr w14:paraId="6D8D2227">
        <w:tblPrEx>
          <w:tblW w:w="0" w:type="auto"/>
          <w:jc w:val="center"/>
          <w:tblLayout w:type="fixed"/>
          <w:tblCellMar>
            <w:top w:w="0" w:type="dxa"/>
            <w:left w:w="28" w:type="dxa"/>
            <w:bottom w:w="0" w:type="dxa"/>
            <w:right w:w="28" w:type="dxa"/>
          </w:tblCellMar>
        </w:tblPrEx>
        <w:trPr>
          <w:trHeight w:val="567"/>
          <w:jc w:val="center"/>
        </w:trPr>
        <w:tc>
          <w:tcPr>
            <w:tcW w:w="1419" w:type="dxa"/>
            <w:tcBorders>
              <w:top w:val="single" w:sz="4" w:space="0" w:color="auto"/>
              <w:left w:val="single" w:sz="12" w:space="0" w:color="auto"/>
              <w:bottom w:val="single" w:sz="4" w:space="0" w:color="auto"/>
              <w:right w:val="single" w:sz="4" w:space="0" w:color="auto"/>
            </w:tcBorders>
            <w:vAlign w:val="center"/>
          </w:tcPr>
          <w:p w14:paraId="1E683280">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7D95FCA5">
            <w:pPr>
              <w:pStyle w:val="BodyText"/>
              <w:keepNext/>
              <w:spacing w:after="0" w:line="360" w:lineRule="auto"/>
              <w:ind w:left="-240" w:right="-240" w:leftChars="-100" w:rightChars="-100"/>
              <w:rPr>
                <w:rFonts w:ascii="宋体" w:hAnsi="宋体" w:cs="宋体"/>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0085DCFF">
            <w:pPr>
              <w:pStyle w:val="BodyText"/>
              <w:keepNext/>
              <w:spacing w:after="0" w:line="360" w:lineRule="auto"/>
              <w:ind w:left="-240" w:right="-240" w:leftChars="-100" w:rightChars="-100"/>
              <w:rPr>
                <w:rFonts w:ascii="宋体" w:hAnsi="宋体" w:cs="宋体"/>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0F7556F">
            <w:pPr>
              <w:pStyle w:val="BodyText"/>
              <w:keepNext/>
              <w:spacing w:after="0" w:line="360" w:lineRule="auto"/>
              <w:ind w:left="-240" w:right="-240" w:leftChars="-100" w:rightChars="-100"/>
              <w:rPr>
                <w:rFonts w:ascii="宋体" w:hAnsi="宋体" w:cs="宋体"/>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99BA66E">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12" w:space="0" w:color="auto"/>
            </w:tcBorders>
            <w:vAlign w:val="center"/>
          </w:tcPr>
          <w:p w14:paraId="233A321D">
            <w:pPr>
              <w:pStyle w:val="BodyText"/>
              <w:keepNext/>
              <w:spacing w:after="0" w:line="360" w:lineRule="auto"/>
              <w:ind w:left="-240" w:right="-240" w:leftChars="-100" w:rightChars="-100"/>
              <w:rPr>
                <w:rFonts w:ascii="宋体" w:hAnsi="宋体" w:cs="宋体"/>
                <w:color w:val="000000"/>
                <w:sz w:val="24"/>
                <w:szCs w:val="24"/>
              </w:rPr>
            </w:pPr>
          </w:p>
        </w:tc>
      </w:tr>
      <w:tr w14:paraId="537892B1">
        <w:tblPrEx>
          <w:tblW w:w="0" w:type="auto"/>
          <w:jc w:val="center"/>
          <w:tblLayout w:type="fixed"/>
          <w:tblCellMar>
            <w:top w:w="0" w:type="dxa"/>
            <w:left w:w="28" w:type="dxa"/>
            <w:bottom w:w="0" w:type="dxa"/>
            <w:right w:w="28" w:type="dxa"/>
          </w:tblCellMar>
        </w:tblPrEx>
        <w:trPr>
          <w:trHeight w:val="567"/>
          <w:jc w:val="center"/>
        </w:trPr>
        <w:tc>
          <w:tcPr>
            <w:tcW w:w="1419" w:type="dxa"/>
            <w:tcBorders>
              <w:top w:val="single" w:sz="4" w:space="0" w:color="auto"/>
              <w:left w:val="single" w:sz="12" w:space="0" w:color="auto"/>
              <w:bottom w:val="single" w:sz="4" w:space="0" w:color="auto"/>
              <w:right w:val="single" w:sz="4" w:space="0" w:color="auto"/>
            </w:tcBorders>
            <w:vAlign w:val="center"/>
          </w:tcPr>
          <w:p w14:paraId="55076BAE">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12953B0">
            <w:pPr>
              <w:pStyle w:val="BodyText"/>
              <w:keepNext/>
              <w:spacing w:after="0" w:line="360" w:lineRule="auto"/>
              <w:ind w:left="-240" w:right="-240" w:leftChars="-100" w:rightChars="-100"/>
              <w:rPr>
                <w:rFonts w:ascii="宋体" w:hAnsi="宋体" w:cs="宋体"/>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0B79E297">
            <w:pPr>
              <w:pStyle w:val="BodyText"/>
              <w:keepNext/>
              <w:spacing w:after="0" w:line="360" w:lineRule="auto"/>
              <w:ind w:left="-240" w:right="-240" w:leftChars="-100" w:rightChars="-100"/>
              <w:rPr>
                <w:rFonts w:ascii="宋体" w:hAnsi="宋体" w:cs="宋体"/>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8E7E054">
            <w:pPr>
              <w:pStyle w:val="BodyText"/>
              <w:keepNext/>
              <w:spacing w:after="0" w:line="360" w:lineRule="auto"/>
              <w:ind w:left="-240" w:right="-240" w:leftChars="-100" w:rightChars="-100"/>
              <w:rPr>
                <w:rFonts w:ascii="宋体" w:hAnsi="宋体" w:cs="宋体"/>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76F526FB">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12" w:space="0" w:color="auto"/>
            </w:tcBorders>
            <w:vAlign w:val="center"/>
          </w:tcPr>
          <w:p w14:paraId="38B43F0F">
            <w:pPr>
              <w:pStyle w:val="BodyText"/>
              <w:keepNext/>
              <w:spacing w:after="0" w:line="360" w:lineRule="auto"/>
              <w:ind w:left="-240" w:right="-240" w:leftChars="-100" w:rightChars="-100"/>
              <w:rPr>
                <w:rFonts w:ascii="宋体" w:hAnsi="宋体" w:cs="宋体"/>
                <w:color w:val="000000"/>
                <w:sz w:val="24"/>
                <w:szCs w:val="24"/>
              </w:rPr>
            </w:pPr>
          </w:p>
        </w:tc>
      </w:tr>
      <w:tr w14:paraId="3E1AA1EC">
        <w:tblPrEx>
          <w:tblW w:w="0" w:type="auto"/>
          <w:jc w:val="center"/>
          <w:tblLayout w:type="fixed"/>
          <w:tblCellMar>
            <w:top w:w="0" w:type="dxa"/>
            <w:left w:w="28" w:type="dxa"/>
            <w:bottom w:w="0" w:type="dxa"/>
            <w:right w:w="28" w:type="dxa"/>
          </w:tblCellMar>
        </w:tblPrEx>
        <w:trPr>
          <w:trHeight w:val="567"/>
          <w:jc w:val="center"/>
        </w:trPr>
        <w:tc>
          <w:tcPr>
            <w:tcW w:w="1419" w:type="dxa"/>
            <w:tcBorders>
              <w:top w:val="single" w:sz="4" w:space="0" w:color="auto"/>
              <w:left w:val="single" w:sz="12" w:space="0" w:color="auto"/>
              <w:bottom w:val="single" w:sz="4" w:space="0" w:color="auto"/>
              <w:right w:val="single" w:sz="4" w:space="0" w:color="auto"/>
            </w:tcBorders>
            <w:vAlign w:val="center"/>
          </w:tcPr>
          <w:p w14:paraId="4EAC9E6B">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0146F3B">
            <w:pPr>
              <w:pStyle w:val="BodyText"/>
              <w:keepNext/>
              <w:spacing w:after="0" w:line="360" w:lineRule="auto"/>
              <w:ind w:left="-240" w:right="-240" w:leftChars="-100" w:rightChars="-100"/>
              <w:rPr>
                <w:rFonts w:ascii="宋体" w:hAnsi="宋体" w:cs="宋体"/>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5E7DECEB">
            <w:pPr>
              <w:pStyle w:val="BodyText"/>
              <w:keepNext/>
              <w:spacing w:after="0" w:line="360" w:lineRule="auto"/>
              <w:ind w:left="-240" w:right="-240" w:leftChars="-100" w:rightChars="-100"/>
              <w:rPr>
                <w:rFonts w:ascii="宋体" w:hAnsi="宋体" w:cs="宋体"/>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7E29227">
            <w:pPr>
              <w:pStyle w:val="BodyText"/>
              <w:keepNext/>
              <w:spacing w:after="0" w:line="360" w:lineRule="auto"/>
              <w:ind w:left="-240" w:right="-240" w:leftChars="-100" w:rightChars="-100"/>
              <w:rPr>
                <w:rFonts w:ascii="宋体" w:hAnsi="宋体" w:cs="宋体"/>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B604423">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12" w:space="0" w:color="auto"/>
            </w:tcBorders>
            <w:vAlign w:val="center"/>
          </w:tcPr>
          <w:p w14:paraId="75F4A298">
            <w:pPr>
              <w:pStyle w:val="BodyText"/>
              <w:keepNext/>
              <w:spacing w:after="0" w:line="360" w:lineRule="auto"/>
              <w:ind w:left="-240" w:right="-240" w:leftChars="-100" w:rightChars="-100"/>
              <w:rPr>
                <w:rFonts w:ascii="宋体" w:hAnsi="宋体" w:cs="宋体"/>
                <w:color w:val="000000"/>
                <w:sz w:val="24"/>
                <w:szCs w:val="24"/>
              </w:rPr>
            </w:pPr>
          </w:p>
        </w:tc>
      </w:tr>
      <w:tr w14:paraId="357AC19E">
        <w:tblPrEx>
          <w:tblW w:w="0" w:type="auto"/>
          <w:jc w:val="center"/>
          <w:tblLayout w:type="fixed"/>
          <w:tblCellMar>
            <w:top w:w="0" w:type="dxa"/>
            <w:left w:w="28" w:type="dxa"/>
            <w:bottom w:w="0" w:type="dxa"/>
            <w:right w:w="28" w:type="dxa"/>
          </w:tblCellMar>
        </w:tblPrEx>
        <w:trPr>
          <w:trHeight w:val="567"/>
          <w:jc w:val="center"/>
        </w:trPr>
        <w:tc>
          <w:tcPr>
            <w:tcW w:w="1419" w:type="dxa"/>
            <w:tcBorders>
              <w:top w:val="single" w:sz="4" w:space="0" w:color="auto"/>
              <w:left w:val="single" w:sz="12" w:space="0" w:color="auto"/>
              <w:bottom w:val="single" w:sz="4" w:space="0" w:color="auto"/>
              <w:right w:val="single" w:sz="4" w:space="0" w:color="auto"/>
            </w:tcBorders>
            <w:vAlign w:val="center"/>
          </w:tcPr>
          <w:p w14:paraId="25F2DE1C">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A3183E1">
            <w:pPr>
              <w:pStyle w:val="BodyText"/>
              <w:keepNext/>
              <w:spacing w:after="0" w:line="360" w:lineRule="auto"/>
              <w:ind w:left="-240" w:right="-240" w:leftChars="-100" w:rightChars="-100"/>
              <w:rPr>
                <w:rFonts w:ascii="宋体" w:hAnsi="宋体" w:cs="宋体"/>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13392554">
            <w:pPr>
              <w:pStyle w:val="BodyText"/>
              <w:keepNext/>
              <w:spacing w:after="0" w:line="360" w:lineRule="auto"/>
              <w:ind w:left="-240" w:right="-240" w:leftChars="-100" w:rightChars="-100"/>
              <w:rPr>
                <w:rFonts w:ascii="宋体" w:hAnsi="宋体" w:cs="宋体"/>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6E21CFC">
            <w:pPr>
              <w:pStyle w:val="BodyText"/>
              <w:keepNext/>
              <w:spacing w:after="0" w:line="360" w:lineRule="auto"/>
              <w:ind w:left="-240" w:right="-240" w:leftChars="-100" w:rightChars="-100"/>
              <w:rPr>
                <w:rFonts w:ascii="宋体" w:hAnsi="宋体" w:cs="宋体"/>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CBB0D21">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12" w:space="0" w:color="auto"/>
            </w:tcBorders>
            <w:vAlign w:val="center"/>
          </w:tcPr>
          <w:p w14:paraId="61D158CE">
            <w:pPr>
              <w:pStyle w:val="BodyText"/>
              <w:keepNext/>
              <w:spacing w:after="0" w:line="360" w:lineRule="auto"/>
              <w:ind w:left="-240" w:right="-240" w:leftChars="-100" w:rightChars="-100"/>
              <w:rPr>
                <w:rFonts w:ascii="宋体" w:hAnsi="宋体" w:cs="宋体"/>
                <w:color w:val="000000"/>
                <w:sz w:val="24"/>
                <w:szCs w:val="24"/>
              </w:rPr>
            </w:pPr>
          </w:p>
        </w:tc>
      </w:tr>
      <w:tr w14:paraId="64BC02C2">
        <w:tblPrEx>
          <w:tblW w:w="0" w:type="auto"/>
          <w:jc w:val="center"/>
          <w:tblLayout w:type="fixed"/>
          <w:tblCellMar>
            <w:top w:w="0" w:type="dxa"/>
            <w:left w:w="28" w:type="dxa"/>
            <w:bottom w:w="0" w:type="dxa"/>
            <w:right w:w="28" w:type="dxa"/>
          </w:tblCellMar>
        </w:tblPrEx>
        <w:trPr>
          <w:trHeight w:val="567"/>
          <w:jc w:val="center"/>
        </w:trPr>
        <w:tc>
          <w:tcPr>
            <w:tcW w:w="1419" w:type="dxa"/>
            <w:tcBorders>
              <w:top w:val="single" w:sz="4" w:space="0" w:color="auto"/>
              <w:left w:val="single" w:sz="12" w:space="0" w:color="auto"/>
              <w:bottom w:val="single" w:sz="4" w:space="0" w:color="auto"/>
              <w:right w:val="single" w:sz="4" w:space="0" w:color="auto"/>
            </w:tcBorders>
            <w:vAlign w:val="center"/>
          </w:tcPr>
          <w:p w14:paraId="143B616E">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19FF646">
            <w:pPr>
              <w:pStyle w:val="BodyText"/>
              <w:keepNext/>
              <w:spacing w:after="0" w:line="360" w:lineRule="auto"/>
              <w:ind w:left="-240" w:right="-240" w:leftChars="-100" w:rightChars="-100"/>
              <w:rPr>
                <w:rFonts w:ascii="宋体" w:hAnsi="宋体" w:cs="宋体"/>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15544936">
            <w:pPr>
              <w:pStyle w:val="BodyText"/>
              <w:keepNext/>
              <w:spacing w:after="0" w:line="360" w:lineRule="auto"/>
              <w:ind w:left="-240" w:right="-240" w:leftChars="-100" w:rightChars="-100"/>
              <w:rPr>
                <w:rFonts w:ascii="宋体" w:hAnsi="宋体" w:cs="宋体"/>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62C3F1A">
            <w:pPr>
              <w:pStyle w:val="BodyText"/>
              <w:keepNext/>
              <w:spacing w:after="0" w:line="360" w:lineRule="auto"/>
              <w:ind w:left="-240" w:right="-240" w:leftChars="-100" w:rightChars="-100"/>
              <w:rPr>
                <w:rFonts w:ascii="宋体" w:hAnsi="宋体" w:cs="宋体"/>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CFFBE22">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12" w:space="0" w:color="auto"/>
            </w:tcBorders>
            <w:vAlign w:val="center"/>
          </w:tcPr>
          <w:p w14:paraId="3B6581AA">
            <w:pPr>
              <w:pStyle w:val="BodyText"/>
              <w:keepNext/>
              <w:spacing w:after="0" w:line="360" w:lineRule="auto"/>
              <w:ind w:left="-240" w:right="-240" w:leftChars="-100" w:rightChars="-100"/>
              <w:rPr>
                <w:rFonts w:ascii="宋体" w:hAnsi="宋体" w:cs="宋体"/>
                <w:color w:val="000000"/>
                <w:sz w:val="24"/>
                <w:szCs w:val="24"/>
              </w:rPr>
            </w:pPr>
          </w:p>
        </w:tc>
      </w:tr>
      <w:tr w14:paraId="3DECCDCF">
        <w:tblPrEx>
          <w:tblW w:w="0" w:type="auto"/>
          <w:jc w:val="center"/>
          <w:tblLayout w:type="fixed"/>
          <w:tblCellMar>
            <w:top w:w="0" w:type="dxa"/>
            <w:left w:w="28" w:type="dxa"/>
            <w:bottom w:w="0" w:type="dxa"/>
            <w:right w:w="28" w:type="dxa"/>
          </w:tblCellMar>
        </w:tblPrEx>
        <w:trPr>
          <w:trHeight w:val="567"/>
          <w:jc w:val="center"/>
        </w:trPr>
        <w:tc>
          <w:tcPr>
            <w:tcW w:w="1419" w:type="dxa"/>
            <w:tcBorders>
              <w:top w:val="single" w:sz="4" w:space="0" w:color="auto"/>
              <w:left w:val="single" w:sz="12" w:space="0" w:color="auto"/>
              <w:bottom w:val="single" w:sz="4" w:space="0" w:color="auto"/>
              <w:right w:val="single" w:sz="4" w:space="0" w:color="auto"/>
            </w:tcBorders>
            <w:vAlign w:val="center"/>
          </w:tcPr>
          <w:p w14:paraId="3E8E7AC2">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24FB204">
            <w:pPr>
              <w:pStyle w:val="BodyText"/>
              <w:keepNext/>
              <w:spacing w:after="0" w:line="360" w:lineRule="auto"/>
              <w:ind w:left="-240" w:right="-240" w:leftChars="-100" w:rightChars="-100"/>
              <w:rPr>
                <w:rFonts w:ascii="宋体" w:hAnsi="宋体" w:cs="宋体"/>
                <w:color w:val="000000"/>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6D3482C6">
            <w:pPr>
              <w:pStyle w:val="BodyText"/>
              <w:keepNext/>
              <w:spacing w:after="0" w:line="360" w:lineRule="auto"/>
              <w:ind w:left="-240" w:right="-240" w:leftChars="-100" w:rightChars="-100"/>
              <w:rPr>
                <w:rFonts w:ascii="宋体" w:hAnsi="宋体" w:cs="宋体"/>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CD53431">
            <w:pPr>
              <w:pStyle w:val="BodyText"/>
              <w:keepNext/>
              <w:spacing w:after="0" w:line="360" w:lineRule="auto"/>
              <w:ind w:left="-240" w:right="-240" w:leftChars="-100" w:rightChars="-100"/>
              <w:rPr>
                <w:rFonts w:ascii="宋体" w:hAnsi="宋体" w:cs="宋体"/>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1853F1C">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4" w:space="0" w:color="auto"/>
              <w:right w:val="single" w:sz="12" w:space="0" w:color="auto"/>
            </w:tcBorders>
            <w:vAlign w:val="center"/>
          </w:tcPr>
          <w:p w14:paraId="2226C558">
            <w:pPr>
              <w:pStyle w:val="BodyText"/>
              <w:keepNext/>
              <w:spacing w:after="0" w:line="360" w:lineRule="auto"/>
              <w:ind w:left="-240" w:right="-240" w:leftChars="-100" w:rightChars="-100"/>
              <w:rPr>
                <w:rFonts w:ascii="宋体" w:hAnsi="宋体" w:cs="宋体"/>
                <w:color w:val="000000"/>
                <w:sz w:val="24"/>
                <w:szCs w:val="24"/>
              </w:rPr>
            </w:pPr>
          </w:p>
        </w:tc>
      </w:tr>
      <w:tr w14:paraId="268C3E78">
        <w:tblPrEx>
          <w:tblW w:w="0" w:type="auto"/>
          <w:jc w:val="center"/>
          <w:tblLayout w:type="fixed"/>
          <w:tblCellMar>
            <w:top w:w="0" w:type="dxa"/>
            <w:left w:w="28" w:type="dxa"/>
            <w:bottom w:w="0" w:type="dxa"/>
            <w:right w:w="28" w:type="dxa"/>
          </w:tblCellMar>
        </w:tblPrEx>
        <w:trPr>
          <w:trHeight w:val="567"/>
          <w:jc w:val="center"/>
        </w:trPr>
        <w:tc>
          <w:tcPr>
            <w:tcW w:w="1419" w:type="dxa"/>
            <w:tcBorders>
              <w:top w:val="single" w:sz="4" w:space="0" w:color="auto"/>
              <w:left w:val="single" w:sz="12" w:space="0" w:color="auto"/>
              <w:bottom w:val="single" w:sz="12" w:space="0" w:color="auto"/>
              <w:right w:val="single" w:sz="4" w:space="0" w:color="auto"/>
            </w:tcBorders>
            <w:vAlign w:val="center"/>
          </w:tcPr>
          <w:p w14:paraId="5BD83926">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12" w:space="0" w:color="auto"/>
              <w:right w:val="single" w:sz="4" w:space="0" w:color="auto"/>
            </w:tcBorders>
            <w:vAlign w:val="center"/>
          </w:tcPr>
          <w:p w14:paraId="1817D38A">
            <w:pPr>
              <w:pStyle w:val="BodyText"/>
              <w:keepNext/>
              <w:spacing w:after="0" w:line="360" w:lineRule="auto"/>
              <w:ind w:left="-240" w:right="-240" w:leftChars="-100" w:rightChars="-100"/>
              <w:rPr>
                <w:rFonts w:ascii="宋体" w:hAnsi="宋体" w:cs="宋体"/>
                <w:color w:val="000000"/>
                <w:sz w:val="24"/>
                <w:szCs w:val="24"/>
              </w:rPr>
            </w:pPr>
          </w:p>
        </w:tc>
        <w:tc>
          <w:tcPr>
            <w:tcW w:w="4961" w:type="dxa"/>
            <w:tcBorders>
              <w:top w:val="single" w:sz="4" w:space="0" w:color="auto"/>
              <w:left w:val="single" w:sz="4" w:space="0" w:color="auto"/>
              <w:bottom w:val="single" w:sz="12" w:space="0" w:color="auto"/>
              <w:right w:val="single" w:sz="4" w:space="0" w:color="auto"/>
            </w:tcBorders>
            <w:vAlign w:val="center"/>
          </w:tcPr>
          <w:p w14:paraId="2C4E2EBD">
            <w:pPr>
              <w:pStyle w:val="BodyText"/>
              <w:keepNext/>
              <w:spacing w:after="0" w:line="360" w:lineRule="auto"/>
              <w:ind w:left="-240" w:right="-240" w:leftChars="-100" w:rightChars="-100"/>
              <w:rPr>
                <w:rFonts w:ascii="宋体" w:hAnsi="宋体" w:cs="宋体"/>
                <w:color w:val="000000"/>
                <w:sz w:val="24"/>
                <w:szCs w:val="24"/>
              </w:rPr>
            </w:pPr>
          </w:p>
        </w:tc>
        <w:tc>
          <w:tcPr>
            <w:tcW w:w="2126" w:type="dxa"/>
            <w:tcBorders>
              <w:top w:val="single" w:sz="4" w:space="0" w:color="auto"/>
              <w:left w:val="single" w:sz="4" w:space="0" w:color="auto"/>
              <w:bottom w:val="single" w:sz="12" w:space="0" w:color="auto"/>
              <w:right w:val="single" w:sz="4" w:space="0" w:color="auto"/>
            </w:tcBorders>
            <w:vAlign w:val="center"/>
          </w:tcPr>
          <w:p w14:paraId="1E779EB0">
            <w:pPr>
              <w:pStyle w:val="BodyText"/>
              <w:keepNext/>
              <w:spacing w:after="0" w:line="360" w:lineRule="auto"/>
              <w:ind w:left="-240" w:right="-240" w:leftChars="-100" w:rightChars="-100"/>
              <w:rPr>
                <w:rFonts w:ascii="宋体" w:hAnsi="宋体" w:cs="宋体"/>
                <w:color w:val="000000"/>
                <w:sz w:val="24"/>
                <w:szCs w:val="24"/>
              </w:rPr>
            </w:pPr>
          </w:p>
        </w:tc>
        <w:tc>
          <w:tcPr>
            <w:tcW w:w="1843" w:type="dxa"/>
            <w:tcBorders>
              <w:top w:val="single" w:sz="4" w:space="0" w:color="auto"/>
              <w:left w:val="single" w:sz="4" w:space="0" w:color="auto"/>
              <w:bottom w:val="single" w:sz="12" w:space="0" w:color="auto"/>
              <w:right w:val="single" w:sz="4" w:space="0" w:color="auto"/>
            </w:tcBorders>
            <w:vAlign w:val="center"/>
          </w:tcPr>
          <w:p w14:paraId="57CAF8FB">
            <w:pPr>
              <w:pStyle w:val="BodyText"/>
              <w:keepNext/>
              <w:spacing w:after="0" w:line="360" w:lineRule="auto"/>
              <w:ind w:left="-240" w:right="-240" w:leftChars="-100" w:rightChars="-100"/>
              <w:rPr>
                <w:rFonts w:ascii="宋体" w:hAnsi="宋体" w:cs="宋体"/>
                <w:color w:val="000000"/>
                <w:sz w:val="24"/>
                <w:szCs w:val="24"/>
              </w:rPr>
            </w:pPr>
          </w:p>
        </w:tc>
        <w:tc>
          <w:tcPr>
            <w:tcW w:w="1701" w:type="dxa"/>
            <w:tcBorders>
              <w:top w:val="single" w:sz="4" w:space="0" w:color="auto"/>
              <w:left w:val="single" w:sz="4" w:space="0" w:color="auto"/>
              <w:bottom w:val="single" w:sz="12" w:space="0" w:color="auto"/>
              <w:right w:val="single" w:sz="12" w:space="0" w:color="auto"/>
            </w:tcBorders>
            <w:vAlign w:val="center"/>
          </w:tcPr>
          <w:p w14:paraId="6A8BBBC9">
            <w:pPr>
              <w:pStyle w:val="BodyText"/>
              <w:keepNext/>
              <w:spacing w:after="0" w:line="360" w:lineRule="auto"/>
              <w:ind w:left="-240" w:right="-240" w:leftChars="-100" w:rightChars="-100"/>
              <w:rPr>
                <w:rFonts w:ascii="宋体" w:hAnsi="宋体" w:cs="宋体"/>
                <w:color w:val="000000"/>
                <w:sz w:val="24"/>
                <w:szCs w:val="24"/>
              </w:rPr>
            </w:pPr>
          </w:p>
        </w:tc>
      </w:tr>
    </w:tbl>
    <w:p w14:paraId="3F6FB0E9">
      <w:pPr>
        <w:spacing w:line="360" w:lineRule="auto"/>
        <w:rPr>
          <w:rFonts w:ascii="宋体" w:hAnsi="宋体" w:cs="宋体"/>
          <w:color w:val="000000"/>
        </w:rPr>
        <w:sectPr>
          <w:pgSz w:w="16838" w:h="11906" w:orient="landscape"/>
          <w:pgMar w:top="1757" w:right="1531" w:bottom="1757" w:left="1531" w:header="851" w:footer="992" w:gutter="0"/>
          <w:cols w:num="1" w:space="720"/>
          <w:docGrid w:type="lines" w:linePitch="312" w:charSpace="0"/>
        </w:sectPr>
      </w:pPr>
    </w:p>
    <w:p w14:paraId="61058181">
      <w:pPr>
        <w:spacing w:line="360" w:lineRule="auto"/>
        <w:ind w:left="-240" w:right="-240" w:leftChars="-100" w:rightChars="-100"/>
        <w:outlineLvl w:val="1"/>
        <w:rPr>
          <w:rFonts w:ascii="宋体" w:hAnsi="宋体" w:cs="宋体"/>
          <w:b/>
          <w:bCs/>
          <w:color w:val="000000"/>
          <w:kern w:val="2"/>
        </w:rPr>
      </w:pPr>
      <w:bookmarkStart w:id="1454" w:name="_Toc381252179"/>
      <w:bookmarkStart w:id="1455" w:name="_Toc48854864"/>
      <w:bookmarkStart w:id="1456" w:name="_Toc87754172"/>
      <w:r>
        <w:rPr>
          <w:rFonts w:ascii="宋体" w:hAnsi="宋体" w:cs="宋体" w:hint="eastAsia"/>
          <w:b/>
          <w:bCs/>
          <w:color w:val="000000"/>
        </w:rPr>
        <w:t>附件2：</w:t>
      </w:r>
      <w:bookmarkEnd w:id="1454"/>
      <w:bookmarkEnd w:id="1455"/>
      <w:bookmarkEnd w:id="1456"/>
    </w:p>
    <w:p w14:paraId="64C10DB7">
      <w:pPr>
        <w:autoSpaceDE w:val="0"/>
        <w:autoSpaceDN w:val="0"/>
        <w:adjustRightInd w:val="0"/>
        <w:snapToGrid w:val="0"/>
        <w:spacing w:line="360" w:lineRule="auto"/>
        <w:ind w:left="-240" w:right="-240" w:leftChars="-100" w:rightChars="-100"/>
        <w:jc w:val="center"/>
        <w:outlineLvl w:val="1"/>
        <w:rPr>
          <w:rFonts w:ascii="宋体" w:hAnsi="宋体" w:cs="宋体"/>
          <w:color w:val="000000"/>
        </w:rPr>
      </w:pPr>
      <w:bookmarkStart w:id="1457" w:name="_Toc1215922451"/>
      <w:bookmarkStart w:id="1458" w:name="_Toc5927"/>
      <w:bookmarkStart w:id="1459" w:name="_Toc32548"/>
      <w:bookmarkStart w:id="1460" w:name="_Toc24383"/>
      <w:bookmarkStart w:id="1461" w:name="_Toc21439"/>
      <w:bookmarkStart w:id="1462" w:name="_Toc1905339115"/>
      <w:r>
        <w:rPr>
          <w:rFonts w:ascii="宋体" w:hAnsi="宋体" w:cs="宋体" w:hint="eastAsia"/>
          <w:color w:val="000000"/>
        </w:rPr>
        <w:t>现状树木一览表</w:t>
      </w:r>
      <w:bookmarkEnd w:id="1457"/>
      <w:bookmarkEnd w:id="1458"/>
      <w:bookmarkEnd w:id="1459"/>
      <w:bookmarkEnd w:id="1460"/>
      <w:bookmarkEnd w:id="1461"/>
      <w:bookmarkEnd w:id="1462"/>
    </w:p>
    <w:tbl>
      <w:tblPr>
        <w:tblStyle w:val="TableNormal"/>
        <w:tblpPr w:leftFromText="180" w:rightFromText="180" w:vertAnchor="text" w:horzAnchor="page" w:tblpX="1487" w:tblpY="20"/>
        <w:tblOverlap w:val="never"/>
        <w:tblW w:w="0" w:type="auto"/>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28" w:type="dxa"/>
          <w:bottom w:w="0" w:type="dxa"/>
          <w:right w:w="28" w:type="dxa"/>
        </w:tblCellMar>
      </w:tblPr>
      <w:tblGrid>
        <w:gridCol w:w="1342"/>
        <w:gridCol w:w="1609"/>
        <w:gridCol w:w="1059"/>
        <w:gridCol w:w="1220"/>
        <w:gridCol w:w="3603"/>
        <w:gridCol w:w="1991"/>
        <w:gridCol w:w="2198"/>
        <w:gridCol w:w="1036"/>
      </w:tblGrid>
      <w:tr w14:paraId="62538EEF">
        <w:tblPrEx>
          <w:tblW w:w="0" w:type="auto"/>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28" w:type="dxa"/>
            <w:bottom w:w="0" w:type="dxa"/>
            <w:right w:w="28" w:type="dxa"/>
          </w:tblCellMar>
        </w:tblPrEx>
        <w:trPr>
          <w:trHeight w:val="845"/>
        </w:trPr>
        <w:tc>
          <w:tcPr>
            <w:tcW w:w="1342" w:type="dxa"/>
            <w:tcBorders>
              <w:top w:val="single" w:sz="12" w:space="0" w:color="auto"/>
              <w:left w:val="single" w:sz="12" w:space="0" w:color="auto"/>
              <w:bottom w:val="single" w:sz="4" w:space="0" w:color="auto"/>
              <w:right w:val="single" w:sz="4" w:space="0" w:color="auto"/>
            </w:tcBorders>
            <w:vAlign w:val="center"/>
          </w:tcPr>
          <w:p w14:paraId="5B44610F">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树木名称</w:t>
            </w:r>
          </w:p>
        </w:tc>
        <w:tc>
          <w:tcPr>
            <w:tcW w:w="1609" w:type="dxa"/>
            <w:tcBorders>
              <w:top w:val="single" w:sz="12" w:space="0" w:color="auto"/>
              <w:left w:val="single" w:sz="4" w:space="0" w:color="auto"/>
              <w:bottom w:val="single" w:sz="4" w:space="0" w:color="auto"/>
              <w:right w:val="single" w:sz="4" w:space="0" w:color="auto"/>
            </w:tcBorders>
            <w:vAlign w:val="center"/>
          </w:tcPr>
          <w:p w14:paraId="1FDAAF52">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规格</w:t>
            </w:r>
          </w:p>
        </w:tc>
        <w:tc>
          <w:tcPr>
            <w:tcW w:w="1059" w:type="dxa"/>
            <w:tcBorders>
              <w:top w:val="single" w:sz="12" w:space="0" w:color="auto"/>
              <w:left w:val="single" w:sz="4" w:space="0" w:color="auto"/>
              <w:bottom w:val="single" w:sz="4" w:space="0" w:color="auto"/>
              <w:right w:val="single" w:sz="4" w:space="0" w:color="auto"/>
            </w:tcBorders>
            <w:vAlign w:val="center"/>
          </w:tcPr>
          <w:p w14:paraId="1AEE8421">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数量</w:t>
            </w:r>
          </w:p>
        </w:tc>
        <w:tc>
          <w:tcPr>
            <w:tcW w:w="1220" w:type="dxa"/>
            <w:tcBorders>
              <w:top w:val="single" w:sz="12" w:space="0" w:color="auto"/>
              <w:left w:val="single" w:sz="4" w:space="0" w:color="auto"/>
              <w:bottom w:val="single" w:sz="4" w:space="0" w:color="auto"/>
              <w:right w:val="single" w:sz="4" w:space="0" w:color="auto"/>
            </w:tcBorders>
            <w:vAlign w:val="center"/>
          </w:tcPr>
          <w:p w14:paraId="6A340217">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单位</w:t>
            </w:r>
          </w:p>
        </w:tc>
        <w:tc>
          <w:tcPr>
            <w:tcW w:w="3603" w:type="dxa"/>
            <w:tcBorders>
              <w:top w:val="single" w:sz="12" w:space="0" w:color="auto"/>
              <w:left w:val="single" w:sz="4" w:space="0" w:color="auto"/>
              <w:bottom w:val="single" w:sz="4" w:space="0" w:color="auto"/>
              <w:right w:val="single" w:sz="4" w:space="0" w:color="auto"/>
            </w:tcBorders>
            <w:vAlign w:val="center"/>
          </w:tcPr>
          <w:p w14:paraId="37D07287">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生长情况</w:t>
            </w:r>
          </w:p>
        </w:tc>
        <w:tc>
          <w:tcPr>
            <w:tcW w:w="1991" w:type="dxa"/>
            <w:tcBorders>
              <w:top w:val="single" w:sz="12" w:space="0" w:color="auto"/>
              <w:left w:val="single" w:sz="4" w:space="0" w:color="auto"/>
              <w:bottom w:val="single" w:sz="4" w:space="0" w:color="auto"/>
              <w:right w:val="single" w:sz="4" w:space="0" w:color="auto"/>
            </w:tcBorders>
            <w:vAlign w:val="center"/>
          </w:tcPr>
          <w:p w14:paraId="2F4E872F">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是否古树名木</w:t>
            </w:r>
          </w:p>
        </w:tc>
        <w:tc>
          <w:tcPr>
            <w:tcW w:w="2198" w:type="dxa"/>
            <w:tcBorders>
              <w:top w:val="single" w:sz="12" w:space="0" w:color="auto"/>
              <w:left w:val="single" w:sz="4" w:space="0" w:color="auto"/>
              <w:bottom w:val="single" w:sz="4" w:space="0" w:color="auto"/>
              <w:right w:val="single" w:sz="4" w:space="0" w:color="auto"/>
            </w:tcBorders>
            <w:vAlign w:val="center"/>
          </w:tcPr>
          <w:p w14:paraId="5E638CF0">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处置情况</w:t>
            </w:r>
          </w:p>
        </w:tc>
        <w:tc>
          <w:tcPr>
            <w:tcW w:w="1036" w:type="dxa"/>
            <w:tcBorders>
              <w:top w:val="single" w:sz="12" w:space="0" w:color="auto"/>
              <w:left w:val="single" w:sz="4" w:space="0" w:color="auto"/>
              <w:bottom w:val="single" w:sz="4" w:space="0" w:color="auto"/>
              <w:right w:val="single" w:sz="12" w:space="0" w:color="auto"/>
            </w:tcBorders>
            <w:vAlign w:val="center"/>
          </w:tcPr>
          <w:p w14:paraId="1EA67C65">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备注</w:t>
            </w:r>
          </w:p>
        </w:tc>
      </w:tr>
      <w:tr w14:paraId="71956895">
        <w:tblPrEx>
          <w:tblW w:w="0" w:type="auto"/>
          <w:tblInd w:w="0" w:type="dxa"/>
          <w:tblLayout w:type="fixed"/>
          <w:tblCellMar>
            <w:top w:w="0" w:type="dxa"/>
            <w:left w:w="28" w:type="dxa"/>
            <w:bottom w:w="0" w:type="dxa"/>
            <w:right w:w="28" w:type="dxa"/>
          </w:tblCellMar>
        </w:tblPrEx>
        <w:trPr>
          <w:trHeight w:val="605"/>
        </w:trPr>
        <w:tc>
          <w:tcPr>
            <w:tcW w:w="1342" w:type="dxa"/>
            <w:tcBorders>
              <w:top w:val="single" w:sz="4" w:space="0" w:color="auto"/>
              <w:left w:val="single" w:sz="12" w:space="0" w:color="auto"/>
              <w:bottom w:val="single" w:sz="4" w:space="0" w:color="auto"/>
              <w:right w:val="single" w:sz="4" w:space="0" w:color="auto"/>
            </w:tcBorders>
            <w:vAlign w:val="center"/>
          </w:tcPr>
          <w:p w14:paraId="594015A8">
            <w:pPr>
              <w:pStyle w:val="BodyText"/>
              <w:keepNext/>
              <w:spacing w:after="0" w:line="360" w:lineRule="auto"/>
              <w:ind w:left="-240" w:right="-240" w:leftChars="-100" w:rightChars="-100"/>
              <w:rPr>
                <w:rFonts w:ascii="宋体" w:hAnsi="宋体" w:cs="宋体"/>
                <w:color w:val="000000"/>
                <w:sz w:val="24"/>
                <w:szCs w:val="24"/>
              </w:rPr>
            </w:pPr>
          </w:p>
        </w:tc>
        <w:tc>
          <w:tcPr>
            <w:tcW w:w="1609" w:type="dxa"/>
            <w:tcBorders>
              <w:top w:val="single" w:sz="4" w:space="0" w:color="auto"/>
              <w:left w:val="single" w:sz="4" w:space="0" w:color="auto"/>
              <w:bottom w:val="single" w:sz="4" w:space="0" w:color="auto"/>
              <w:right w:val="single" w:sz="4" w:space="0" w:color="auto"/>
            </w:tcBorders>
            <w:vAlign w:val="center"/>
          </w:tcPr>
          <w:p w14:paraId="7E950475">
            <w:pPr>
              <w:pStyle w:val="BodyText"/>
              <w:keepNext/>
              <w:spacing w:after="0" w:line="360" w:lineRule="auto"/>
              <w:ind w:left="-240" w:right="-240" w:leftChars="-100" w:rightChars="-100"/>
              <w:rPr>
                <w:rFonts w:ascii="宋体" w:hAnsi="宋体" w:cs="宋体"/>
                <w:color w:val="000000"/>
                <w:sz w:val="24"/>
                <w:szCs w:val="24"/>
              </w:rPr>
            </w:pPr>
          </w:p>
        </w:tc>
        <w:tc>
          <w:tcPr>
            <w:tcW w:w="1059" w:type="dxa"/>
            <w:tcBorders>
              <w:top w:val="single" w:sz="4" w:space="0" w:color="auto"/>
              <w:left w:val="single" w:sz="4" w:space="0" w:color="auto"/>
              <w:bottom w:val="single" w:sz="4" w:space="0" w:color="auto"/>
              <w:right w:val="single" w:sz="4" w:space="0" w:color="auto"/>
            </w:tcBorders>
            <w:vAlign w:val="center"/>
          </w:tcPr>
          <w:p w14:paraId="4EC615C9">
            <w:pPr>
              <w:pStyle w:val="BodyText"/>
              <w:keepNext/>
              <w:spacing w:after="0" w:line="360" w:lineRule="auto"/>
              <w:ind w:left="-240" w:right="-240" w:leftChars="-100" w:rightChars="-100"/>
              <w:rPr>
                <w:rFonts w:ascii="宋体" w:hAnsi="宋体" w:cs="宋体"/>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14:paraId="28C62E99">
            <w:pPr>
              <w:pStyle w:val="BodyText"/>
              <w:keepNext/>
              <w:spacing w:after="0" w:line="360" w:lineRule="auto"/>
              <w:ind w:left="-240" w:right="-240" w:leftChars="-100" w:rightChars="-100"/>
              <w:rPr>
                <w:rFonts w:ascii="宋体" w:hAnsi="宋体" w:cs="宋体"/>
                <w:color w:val="000000"/>
                <w:sz w:val="24"/>
                <w:szCs w:val="24"/>
              </w:rPr>
            </w:pPr>
          </w:p>
        </w:tc>
        <w:tc>
          <w:tcPr>
            <w:tcW w:w="3603" w:type="dxa"/>
            <w:tcBorders>
              <w:top w:val="single" w:sz="4" w:space="0" w:color="auto"/>
              <w:left w:val="single" w:sz="4" w:space="0" w:color="auto"/>
              <w:bottom w:val="single" w:sz="4" w:space="0" w:color="auto"/>
              <w:right w:val="single" w:sz="4" w:space="0" w:color="auto"/>
            </w:tcBorders>
            <w:vAlign w:val="center"/>
          </w:tcPr>
          <w:p w14:paraId="687E9769">
            <w:pPr>
              <w:pStyle w:val="BodyText"/>
              <w:keepNext/>
              <w:spacing w:after="0" w:line="360" w:lineRule="auto"/>
              <w:ind w:left="-240" w:right="-240" w:leftChars="-100" w:rightChars="-100"/>
              <w:rPr>
                <w:rFonts w:ascii="宋体" w:hAnsi="宋体" w:cs="宋体"/>
                <w:color w:val="000000"/>
                <w:sz w:val="24"/>
                <w:szCs w:val="24"/>
              </w:rPr>
            </w:pPr>
          </w:p>
        </w:tc>
        <w:tc>
          <w:tcPr>
            <w:tcW w:w="1991" w:type="dxa"/>
            <w:tcBorders>
              <w:top w:val="single" w:sz="4" w:space="0" w:color="auto"/>
              <w:left w:val="single" w:sz="4" w:space="0" w:color="auto"/>
              <w:bottom w:val="single" w:sz="4" w:space="0" w:color="auto"/>
              <w:right w:val="single" w:sz="4" w:space="0" w:color="auto"/>
            </w:tcBorders>
            <w:vAlign w:val="center"/>
          </w:tcPr>
          <w:p w14:paraId="34D2CE0E">
            <w:pPr>
              <w:pStyle w:val="BodyText"/>
              <w:keepNext/>
              <w:spacing w:after="0" w:line="360" w:lineRule="auto"/>
              <w:ind w:left="-240" w:right="-240" w:leftChars="-100" w:rightChars="-100"/>
              <w:rPr>
                <w:rFonts w:ascii="宋体" w:hAnsi="宋体" w:cs="宋体"/>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31B90511">
            <w:pPr>
              <w:pStyle w:val="BodyText"/>
              <w:keepNext/>
              <w:spacing w:after="0" w:line="360" w:lineRule="auto"/>
              <w:ind w:left="-240" w:right="-240" w:leftChars="-100" w:rightChars="-100"/>
              <w:rPr>
                <w:rFonts w:ascii="宋体" w:hAnsi="宋体" w:cs="宋体"/>
                <w:color w:val="000000"/>
                <w:sz w:val="24"/>
                <w:szCs w:val="24"/>
              </w:rPr>
            </w:pPr>
          </w:p>
        </w:tc>
        <w:tc>
          <w:tcPr>
            <w:tcW w:w="1036" w:type="dxa"/>
            <w:tcBorders>
              <w:top w:val="single" w:sz="4" w:space="0" w:color="auto"/>
              <w:left w:val="single" w:sz="4" w:space="0" w:color="auto"/>
              <w:bottom w:val="single" w:sz="4" w:space="0" w:color="auto"/>
              <w:right w:val="single" w:sz="12" w:space="0" w:color="auto"/>
            </w:tcBorders>
            <w:vAlign w:val="center"/>
          </w:tcPr>
          <w:p w14:paraId="358A5239">
            <w:pPr>
              <w:pStyle w:val="BodyText"/>
              <w:keepNext/>
              <w:spacing w:after="0" w:line="360" w:lineRule="auto"/>
              <w:ind w:left="-240" w:right="-240" w:leftChars="-100" w:rightChars="-100"/>
              <w:rPr>
                <w:rFonts w:ascii="宋体" w:hAnsi="宋体" w:cs="宋体"/>
                <w:color w:val="000000"/>
                <w:sz w:val="24"/>
                <w:szCs w:val="24"/>
              </w:rPr>
            </w:pPr>
          </w:p>
        </w:tc>
      </w:tr>
      <w:tr w14:paraId="6AA03102">
        <w:tblPrEx>
          <w:tblW w:w="0" w:type="auto"/>
          <w:tblInd w:w="0" w:type="dxa"/>
          <w:tblLayout w:type="fixed"/>
          <w:tblCellMar>
            <w:top w:w="0" w:type="dxa"/>
            <w:left w:w="28" w:type="dxa"/>
            <w:bottom w:w="0" w:type="dxa"/>
            <w:right w:w="28" w:type="dxa"/>
          </w:tblCellMar>
        </w:tblPrEx>
        <w:trPr>
          <w:trHeight w:val="567"/>
        </w:trPr>
        <w:tc>
          <w:tcPr>
            <w:tcW w:w="1342" w:type="dxa"/>
            <w:tcBorders>
              <w:top w:val="single" w:sz="4" w:space="0" w:color="auto"/>
              <w:left w:val="single" w:sz="12" w:space="0" w:color="auto"/>
              <w:bottom w:val="single" w:sz="4" w:space="0" w:color="auto"/>
              <w:right w:val="single" w:sz="4" w:space="0" w:color="auto"/>
            </w:tcBorders>
            <w:vAlign w:val="center"/>
          </w:tcPr>
          <w:p w14:paraId="3F3F7480">
            <w:pPr>
              <w:pStyle w:val="BodyText"/>
              <w:keepNext/>
              <w:spacing w:after="0" w:line="360" w:lineRule="auto"/>
              <w:ind w:left="-240" w:right="-240" w:leftChars="-100" w:rightChars="-100"/>
              <w:rPr>
                <w:rFonts w:ascii="宋体" w:hAnsi="宋体" w:cs="宋体"/>
                <w:color w:val="000000"/>
                <w:sz w:val="24"/>
                <w:szCs w:val="24"/>
              </w:rPr>
            </w:pPr>
          </w:p>
        </w:tc>
        <w:tc>
          <w:tcPr>
            <w:tcW w:w="1609" w:type="dxa"/>
            <w:tcBorders>
              <w:top w:val="single" w:sz="4" w:space="0" w:color="auto"/>
              <w:left w:val="single" w:sz="4" w:space="0" w:color="auto"/>
              <w:bottom w:val="single" w:sz="4" w:space="0" w:color="auto"/>
              <w:right w:val="single" w:sz="4" w:space="0" w:color="auto"/>
            </w:tcBorders>
            <w:vAlign w:val="center"/>
          </w:tcPr>
          <w:p w14:paraId="5975F6DC">
            <w:pPr>
              <w:pStyle w:val="BodyText"/>
              <w:keepNext/>
              <w:spacing w:after="0" w:line="360" w:lineRule="auto"/>
              <w:ind w:left="-240" w:right="-240" w:leftChars="-100" w:rightChars="-100"/>
              <w:rPr>
                <w:rFonts w:ascii="宋体" w:hAnsi="宋体" w:cs="宋体"/>
                <w:color w:val="000000"/>
                <w:sz w:val="24"/>
                <w:szCs w:val="24"/>
              </w:rPr>
            </w:pPr>
          </w:p>
        </w:tc>
        <w:tc>
          <w:tcPr>
            <w:tcW w:w="1059" w:type="dxa"/>
            <w:tcBorders>
              <w:top w:val="single" w:sz="4" w:space="0" w:color="auto"/>
              <w:left w:val="single" w:sz="4" w:space="0" w:color="auto"/>
              <w:bottom w:val="single" w:sz="4" w:space="0" w:color="auto"/>
              <w:right w:val="single" w:sz="4" w:space="0" w:color="auto"/>
            </w:tcBorders>
            <w:vAlign w:val="center"/>
          </w:tcPr>
          <w:p w14:paraId="06150038">
            <w:pPr>
              <w:pStyle w:val="BodyText"/>
              <w:keepNext/>
              <w:spacing w:after="0" w:line="360" w:lineRule="auto"/>
              <w:ind w:left="-240" w:right="-240" w:leftChars="-100" w:rightChars="-100"/>
              <w:rPr>
                <w:rFonts w:ascii="宋体" w:hAnsi="宋体" w:cs="宋体"/>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14:paraId="1CD4FF91">
            <w:pPr>
              <w:pStyle w:val="BodyText"/>
              <w:keepNext/>
              <w:spacing w:after="0" w:line="360" w:lineRule="auto"/>
              <w:ind w:left="-240" w:right="-240" w:leftChars="-100" w:rightChars="-100"/>
              <w:rPr>
                <w:rFonts w:ascii="宋体" w:hAnsi="宋体" w:cs="宋体"/>
                <w:color w:val="000000"/>
                <w:sz w:val="24"/>
                <w:szCs w:val="24"/>
              </w:rPr>
            </w:pPr>
          </w:p>
        </w:tc>
        <w:tc>
          <w:tcPr>
            <w:tcW w:w="3603" w:type="dxa"/>
            <w:tcBorders>
              <w:top w:val="single" w:sz="4" w:space="0" w:color="auto"/>
              <w:left w:val="single" w:sz="4" w:space="0" w:color="auto"/>
              <w:bottom w:val="single" w:sz="4" w:space="0" w:color="auto"/>
              <w:right w:val="single" w:sz="4" w:space="0" w:color="auto"/>
            </w:tcBorders>
            <w:vAlign w:val="center"/>
          </w:tcPr>
          <w:p w14:paraId="64925487">
            <w:pPr>
              <w:pStyle w:val="BodyText"/>
              <w:keepNext/>
              <w:spacing w:after="0" w:line="360" w:lineRule="auto"/>
              <w:ind w:left="-240" w:right="-240" w:leftChars="-100" w:rightChars="-100"/>
              <w:rPr>
                <w:rFonts w:ascii="宋体" w:hAnsi="宋体" w:cs="宋体"/>
                <w:color w:val="000000"/>
                <w:sz w:val="24"/>
                <w:szCs w:val="24"/>
              </w:rPr>
            </w:pPr>
          </w:p>
        </w:tc>
        <w:tc>
          <w:tcPr>
            <w:tcW w:w="1991" w:type="dxa"/>
            <w:tcBorders>
              <w:top w:val="single" w:sz="4" w:space="0" w:color="auto"/>
              <w:left w:val="single" w:sz="4" w:space="0" w:color="auto"/>
              <w:bottom w:val="single" w:sz="4" w:space="0" w:color="auto"/>
              <w:right w:val="single" w:sz="4" w:space="0" w:color="auto"/>
            </w:tcBorders>
            <w:vAlign w:val="center"/>
          </w:tcPr>
          <w:p w14:paraId="6275D74B">
            <w:pPr>
              <w:pStyle w:val="BodyText"/>
              <w:keepNext/>
              <w:spacing w:after="0" w:line="360" w:lineRule="auto"/>
              <w:ind w:left="-240" w:right="-240" w:leftChars="-100" w:rightChars="-100"/>
              <w:rPr>
                <w:rFonts w:ascii="宋体" w:hAnsi="宋体" w:cs="宋体"/>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36EE5ABE">
            <w:pPr>
              <w:pStyle w:val="BodyText"/>
              <w:keepNext/>
              <w:spacing w:after="0" w:line="360" w:lineRule="auto"/>
              <w:ind w:left="-240" w:right="-240" w:leftChars="-100" w:rightChars="-100"/>
              <w:rPr>
                <w:rFonts w:ascii="宋体" w:hAnsi="宋体" w:cs="宋体"/>
                <w:color w:val="000000"/>
                <w:sz w:val="24"/>
                <w:szCs w:val="24"/>
              </w:rPr>
            </w:pPr>
          </w:p>
        </w:tc>
        <w:tc>
          <w:tcPr>
            <w:tcW w:w="1036" w:type="dxa"/>
            <w:tcBorders>
              <w:top w:val="single" w:sz="4" w:space="0" w:color="auto"/>
              <w:left w:val="single" w:sz="4" w:space="0" w:color="auto"/>
              <w:bottom w:val="single" w:sz="4" w:space="0" w:color="auto"/>
              <w:right w:val="single" w:sz="12" w:space="0" w:color="auto"/>
            </w:tcBorders>
            <w:vAlign w:val="center"/>
          </w:tcPr>
          <w:p w14:paraId="3A1D2216">
            <w:pPr>
              <w:pStyle w:val="BodyText"/>
              <w:keepNext/>
              <w:spacing w:after="0" w:line="360" w:lineRule="auto"/>
              <w:ind w:left="-240" w:right="-240" w:leftChars="-100" w:rightChars="-100"/>
              <w:rPr>
                <w:rFonts w:ascii="宋体" w:hAnsi="宋体" w:cs="宋体"/>
                <w:color w:val="000000"/>
                <w:sz w:val="24"/>
                <w:szCs w:val="24"/>
              </w:rPr>
            </w:pPr>
          </w:p>
        </w:tc>
      </w:tr>
      <w:tr w14:paraId="3743E370">
        <w:tblPrEx>
          <w:tblW w:w="0" w:type="auto"/>
          <w:tblInd w:w="0" w:type="dxa"/>
          <w:tblLayout w:type="fixed"/>
          <w:tblCellMar>
            <w:top w:w="0" w:type="dxa"/>
            <w:left w:w="28" w:type="dxa"/>
            <w:bottom w:w="0" w:type="dxa"/>
            <w:right w:w="28" w:type="dxa"/>
          </w:tblCellMar>
        </w:tblPrEx>
        <w:trPr>
          <w:trHeight w:val="567"/>
        </w:trPr>
        <w:tc>
          <w:tcPr>
            <w:tcW w:w="1342" w:type="dxa"/>
            <w:tcBorders>
              <w:top w:val="single" w:sz="4" w:space="0" w:color="auto"/>
              <w:left w:val="single" w:sz="12" w:space="0" w:color="auto"/>
              <w:bottom w:val="single" w:sz="4" w:space="0" w:color="auto"/>
              <w:right w:val="single" w:sz="4" w:space="0" w:color="auto"/>
            </w:tcBorders>
            <w:vAlign w:val="center"/>
          </w:tcPr>
          <w:p w14:paraId="17491DA8">
            <w:pPr>
              <w:pStyle w:val="BodyText"/>
              <w:keepNext/>
              <w:spacing w:after="0" w:line="360" w:lineRule="auto"/>
              <w:ind w:left="-240" w:right="-240" w:leftChars="-100" w:rightChars="-100"/>
              <w:rPr>
                <w:rFonts w:ascii="宋体" w:hAnsi="宋体" w:cs="宋体"/>
                <w:color w:val="000000"/>
                <w:sz w:val="24"/>
                <w:szCs w:val="24"/>
              </w:rPr>
            </w:pPr>
          </w:p>
        </w:tc>
        <w:tc>
          <w:tcPr>
            <w:tcW w:w="1609" w:type="dxa"/>
            <w:tcBorders>
              <w:top w:val="single" w:sz="4" w:space="0" w:color="auto"/>
              <w:left w:val="single" w:sz="4" w:space="0" w:color="auto"/>
              <w:bottom w:val="single" w:sz="4" w:space="0" w:color="auto"/>
              <w:right w:val="single" w:sz="4" w:space="0" w:color="auto"/>
            </w:tcBorders>
            <w:vAlign w:val="center"/>
          </w:tcPr>
          <w:p w14:paraId="5661C3C1">
            <w:pPr>
              <w:pStyle w:val="BodyText"/>
              <w:keepNext/>
              <w:spacing w:after="0" w:line="360" w:lineRule="auto"/>
              <w:ind w:left="-240" w:right="-240" w:leftChars="-100" w:rightChars="-100"/>
              <w:rPr>
                <w:rFonts w:ascii="宋体" w:hAnsi="宋体" w:cs="宋体"/>
                <w:color w:val="000000"/>
                <w:sz w:val="24"/>
                <w:szCs w:val="24"/>
              </w:rPr>
            </w:pPr>
          </w:p>
        </w:tc>
        <w:tc>
          <w:tcPr>
            <w:tcW w:w="1059" w:type="dxa"/>
            <w:tcBorders>
              <w:top w:val="single" w:sz="4" w:space="0" w:color="auto"/>
              <w:left w:val="single" w:sz="4" w:space="0" w:color="auto"/>
              <w:bottom w:val="single" w:sz="4" w:space="0" w:color="auto"/>
              <w:right w:val="single" w:sz="4" w:space="0" w:color="auto"/>
            </w:tcBorders>
            <w:vAlign w:val="center"/>
          </w:tcPr>
          <w:p w14:paraId="2F4247EB">
            <w:pPr>
              <w:pStyle w:val="BodyText"/>
              <w:keepNext/>
              <w:spacing w:after="0" w:line="360" w:lineRule="auto"/>
              <w:ind w:left="-240" w:right="-240" w:leftChars="-100" w:rightChars="-100"/>
              <w:rPr>
                <w:rFonts w:ascii="宋体" w:hAnsi="宋体" w:cs="宋体"/>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14:paraId="5DC896C1">
            <w:pPr>
              <w:pStyle w:val="BodyText"/>
              <w:keepNext/>
              <w:spacing w:after="0" w:line="360" w:lineRule="auto"/>
              <w:ind w:left="-240" w:right="-240" w:leftChars="-100" w:rightChars="-100"/>
              <w:rPr>
                <w:rFonts w:ascii="宋体" w:hAnsi="宋体" w:cs="宋体"/>
                <w:color w:val="000000"/>
                <w:sz w:val="24"/>
                <w:szCs w:val="24"/>
              </w:rPr>
            </w:pPr>
          </w:p>
        </w:tc>
        <w:tc>
          <w:tcPr>
            <w:tcW w:w="3603" w:type="dxa"/>
            <w:tcBorders>
              <w:top w:val="single" w:sz="4" w:space="0" w:color="auto"/>
              <w:left w:val="single" w:sz="4" w:space="0" w:color="auto"/>
              <w:bottom w:val="single" w:sz="4" w:space="0" w:color="auto"/>
              <w:right w:val="single" w:sz="4" w:space="0" w:color="auto"/>
            </w:tcBorders>
            <w:vAlign w:val="center"/>
          </w:tcPr>
          <w:p w14:paraId="06C067AE">
            <w:pPr>
              <w:pStyle w:val="BodyText"/>
              <w:keepNext/>
              <w:spacing w:after="0" w:line="360" w:lineRule="auto"/>
              <w:ind w:left="-240" w:right="-240" w:leftChars="-100" w:rightChars="-100"/>
              <w:rPr>
                <w:rFonts w:ascii="宋体" w:hAnsi="宋体" w:cs="宋体"/>
                <w:color w:val="000000"/>
                <w:sz w:val="24"/>
                <w:szCs w:val="24"/>
              </w:rPr>
            </w:pPr>
          </w:p>
        </w:tc>
        <w:tc>
          <w:tcPr>
            <w:tcW w:w="1991" w:type="dxa"/>
            <w:tcBorders>
              <w:top w:val="single" w:sz="4" w:space="0" w:color="auto"/>
              <w:left w:val="single" w:sz="4" w:space="0" w:color="auto"/>
              <w:bottom w:val="single" w:sz="4" w:space="0" w:color="auto"/>
              <w:right w:val="single" w:sz="4" w:space="0" w:color="auto"/>
            </w:tcBorders>
            <w:vAlign w:val="center"/>
          </w:tcPr>
          <w:p w14:paraId="22DB36D8">
            <w:pPr>
              <w:pStyle w:val="BodyText"/>
              <w:keepNext/>
              <w:spacing w:after="0" w:line="360" w:lineRule="auto"/>
              <w:ind w:left="-240" w:right="-240" w:leftChars="-100" w:rightChars="-100"/>
              <w:rPr>
                <w:rFonts w:ascii="宋体" w:hAnsi="宋体" w:cs="宋体"/>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26752807">
            <w:pPr>
              <w:pStyle w:val="BodyText"/>
              <w:keepNext/>
              <w:spacing w:after="0" w:line="360" w:lineRule="auto"/>
              <w:ind w:left="-240" w:right="-240" w:leftChars="-100" w:rightChars="-100"/>
              <w:rPr>
                <w:rFonts w:ascii="宋体" w:hAnsi="宋体" w:cs="宋体"/>
                <w:color w:val="000000"/>
                <w:sz w:val="24"/>
                <w:szCs w:val="24"/>
              </w:rPr>
            </w:pPr>
          </w:p>
        </w:tc>
        <w:tc>
          <w:tcPr>
            <w:tcW w:w="1036" w:type="dxa"/>
            <w:tcBorders>
              <w:top w:val="single" w:sz="4" w:space="0" w:color="auto"/>
              <w:left w:val="single" w:sz="4" w:space="0" w:color="auto"/>
              <w:bottom w:val="single" w:sz="4" w:space="0" w:color="auto"/>
              <w:right w:val="single" w:sz="12" w:space="0" w:color="auto"/>
            </w:tcBorders>
            <w:vAlign w:val="center"/>
          </w:tcPr>
          <w:p w14:paraId="07A82A81">
            <w:pPr>
              <w:pStyle w:val="BodyText"/>
              <w:keepNext/>
              <w:spacing w:after="0" w:line="360" w:lineRule="auto"/>
              <w:ind w:left="-240" w:right="-240" w:leftChars="-100" w:rightChars="-100"/>
              <w:rPr>
                <w:rFonts w:ascii="宋体" w:hAnsi="宋体" w:cs="宋体"/>
                <w:color w:val="000000"/>
                <w:sz w:val="24"/>
                <w:szCs w:val="24"/>
              </w:rPr>
            </w:pPr>
          </w:p>
        </w:tc>
      </w:tr>
      <w:tr w14:paraId="39B9A21D">
        <w:tblPrEx>
          <w:tblW w:w="0" w:type="auto"/>
          <w:tblInd w:w="0" w:type="dxa"/>
          <w:tblLayout w:type="fixed"/>
          <w:tblCellMar>
            <w:top w:w="0" w:type="dxa"/>
            <w:left w:w="28" w:type="dxa"/>
            <w:bottom w:w="0" w:type="dxa"/>
            <w:right w:w="28" w:type="dxa"/>
          </w:tblCellMar>
        </w:tblPrEx>
        <w:trPr>
          <w:trHeight w:val="567"/>
        </w:trPr>
        <w:tc>
          <w:tcPr>
            <w:tcW w:w="1342" w:type="dxa"/>
            <w:tcBorders>
              <w:top w:val="single" w:sz="4" w:space="0" w:color="auto"/>
              <w:left w:val="single" w:sz="12" w:space="0" w:color="auto"/>
              <w:bottom w:val="single" w:sz="4" w:space="0" w:color="auto"/>
              <w:right w:val="single" w:sz="4" w:space="0" w:color="auto"/>
            </w:tcBorders>
            <w:vAlign w:val="center"/>
          </w:tcPr>
          <w:p w14:paraId="2443B1BF">
            <w:pPr>
              <w:pStyle w:val="BodyText"/>
              <w:keepNext/>
              <w:spacing w:after="0" w:line="360" w:lineRule="auto"/>
              <w:ind w:left="-240" w:right="-240" w:leftChars="-100" w:rightChars="-100"/>
              <w:rPr>
                <w:rFonts w:ascii="宋体" w:hAnsi="宋体" w:cs="宋体"/>
                <w:color w:val="000000"/>
                <w:sz w:val="24"/>
                <w:szCs w:val="24"/>
              </w:rPr>
            </w:pPr>
          </w:p>
        </w:tc>
        <w:tc>
          <w:tcPr>
            <w:tcW w:w="1609" w:type="dxa"/>
            <w:tcBorders>
              <w:top w:val="single" w:sz="4" w:space="0" w:color="auto"/>
              <w:left w:val="single" w:sz="4" w:space="0" w:color="auto"/>
              <w:bottom w:val="single" w:sz="4" w:space="0" w:color="auto"/>
              <w:right w:val="single" w:sz="4" w:space="0" w:color="auto"/>
            </w:tcBorders>
            <w:vAlign w:val="center"/>
          </w:tcPr>
          <w:p w14:paraId="32D2E43C">
            <w:pPr>
              <w:pStyle w:val="BodyText"/>
              <w:keepNext/>
              <w:spacing w:after="0" w:line="360" w:lineRule="auto"/>
              <w:ind w:left="-240" w:right="-240" w:leftChars="-100" w:rightChars="-100"/>
              <w:rPr>
                <w:rFonts w:ascii="宋体" w:hAnsi="宋体" w:cs="宋体"/>
                <w:color w:val="000000"/>
                <w:sz w:val="24"/>
                <w:szCs w:val="24"/>
              </w:rPr>
            </w:pPr>
          </w:p>
        </w:tc>
        <w:tc>
          <w:tcPr>
            <w:tcW w:w="1059" w:type="dxa"/>
            <w:tcBorders>
              <w:top w:val="single" w:sz="4" w:space="0" w:color="auto"/>
              <w:left w:val="single" w:sz="4" w:space="0" w:color="auto"/>
              <w:bottom w:val="single" w:sz="4" w:space="0" w:color="auto"/>
              <w:right w:val="single" w:sz="4" w:space="0" w:color="auto"/>
            </w:tcBorders>
            <w:vAlign w:val="center"/>
          </w:tcPr>
          <w:p w14:paraId="46C37633">
            <w:pPr>
              <w:pStyle w:val="BodyText"/>
              <w:keepNext/>
              <w:spacing w:after="0" w:line="360" w:lineRule="auto"/>
              <w:ind w:left="-240" w:right="-240" w:leftChars="-100" w:rightChars="-100"/>
              <w:rPr>
                <w:rFonts w:ascii="宋体" w:hAnsi="宋体" w:cs="宋体"/>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14:paraId="3755B3D1">
            <w:pPr>
              <w:pStyle w:val="BodyText"/>
              <w:keepNext/>
              <w:spacing w:after="0" w:line="360" w:lineRule="auto"/>
              <w:ind w:left="-240" w:right="-240" w:leftChars="-100" w:rightChars="-100"/>
              <w:rPr>
                <w:rFonts w:ascii="宋体" w:hAnsi="宋体" w:cs="宋体"/>
                <w:color w:val="000000"/>
                <w:sz w:val="24"/>
                <w:szCs w:val="24"/>
              </w:rPr>
            </w:pPr>
          </w:p>
        </w:tc>
        <w:tc>
          <w:tcPr>
            <w:tcW w:w="3603" w:type="dxa"/>
            <w:tcBorders>
              <w:top w:val="single" w:sz="4" w:space="0" w:color="auto"/>
              <w:left w:val="single" w:sz="4" w:space="0" w:color="auto"/>
              <w:bottom w:val="single" w:sz="4" w:space="0" w:color="auto"/>
              <w:right w:val="single" w:sz="4" w:space="0" w:color="auto"/>
            </w:tcBorders>
            <w:vAlign w:val="center"/>
          </w:tcPr>
          <w:p w14:paraId="7A17F461">
            <w:pPr>
              <w:pStyle w:val="BodyText"/>
              <w:keepNext/>
              <w:spacing w:after="0" w:line="360" w:lineRule="auto"/>
              <w:ind w:left="-240" w:right="-240" w:leftChars="-100" w:rightChars="-100"/>
              <w:rPr>
                <w:rFonts w:ascii="宋体" w:hAnsi="宋体" w:cs="宋体"/>
                <w:color w:val="000000"/>
                <w:sz w:val="24"/>
                <w:szCs w:val="24"/>
              </w:rPr>
            </w:pPr>
          </w:p>
        </w:tc>
        <w:tc>
          <w:tcPr>
            <w:tcW w:w="1991" w:type="dxa"/>
            <w:tcBorders>
              <w:top w:val="single" w:sz="4" w:space="0" w:color="auto"/>
              <w:left w:val="single" w:sz="4" w:space="0" w:color="auto"/>
              <w:bottom w:val="single" w:sz="4" w:space="0" w:color="auto"/>
              <w:right w:val="single" w:sz="4" w:space="0" w:color="auto"/>
            </w:tcBorders>
            <w:vAlign w:val="center"/>
          </w:tcPr>
          <w:p w14:paraId="7FDE5398">
            <w:pPr>
              <w:pStyle w:val="BodyText"/>
              <w:keepNext/>
              <w:spacing w:after="0" w:line="360" w:lineRule="auto"/>
              <w:ind w:left="-240" w:right="-240" w:leftChars="-100" w:rightChars="-100"/>
              <w:rPr>
                <w:rFonts w:ascii="宋体" w:hAnsi="宋体" w:cs="宋体"/>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70524869">
            <w:pPr>
              <w:pStyle w:val="BodyText"/>
              <w:keepNext/>
              <w:spacing w:after="0" w:line="360" w:lineRule="auto"/>
              <w:ind w:left="-240" w:right="-240" w:leftChars="-100" w:rightChars="-100"/>
              <w:rPr>
                <w:rFonts w:ascii="宋体" w:hAnsi="宋体" w:cs="宋体"/>
                <w:color w:val="000000"/>
                <w:sz w:val="24"/>
                <w:szCs w:val="24"/>
              </w:rPr>
            </w:pPr>
          </w:p>
        </w:tc>
        <w:tc>
          <w:tcPr>
            <w:tcW w:w="1036" w:type="dxa"/>
            <w:tcBorders>
              <w:top w:val="single" w:sz="4" w:space="0" w:color="auto"/>
              <w:left w:val="single" w:sz="4" w:space="0" w:color="auto"/>
              <w:bottom w:val="single" w:sz="4" w:space="0" w:color="auto"/>
              <w:right w:val="single" w:sz="12" w:space="0" w:color="auto"/>
            </w:tcBorders>
            <w:vAlign w:val="center"/>
          </w:tcPr>
          <w:p w14:paraId="5A20937C">
            <w:pPr>
              <w:pStyle w:val="BodyText"/>
              <w:keepNext/>
              <w:spacing w:after="0" w:line="360" w:lineRule="auto"/>
              <w:ind w:left="-240" w:right="-240" w:leftChars="-100" w:rightChars="-100"/>
              <w:rPr>
                <w:rFonts w:ascii="宋体" w:hAnsi="宋体" w:cs="宋体"/>
                <w:color w:val="000000"/>
                <w:sz w:val="24"/>
                <w:szCs w:val="24"/>
              </w:rPr>
            </w:pPr>
          </w:p>
        </w:tc>
      </w:tr>
      <w:tr w14:paraId="0800D309">
        <w:tblPrEx>
          <w:tblW w:w="0" w:type="auto"/>
          <w:tblInd w:w="0" w:type="dxa"/>
          <w:tblLayout w:type="fixed"/>
          <w:tblCellMar>
            <w:top w:w="0" w:type="dxa"/>
            <w:left w:w="28" w:type="dxa"/>
            <w:bottom w:w="0" w:type="dxa"/>
            <w:right w:w="28" w:type="dxa"/>
          </w:tblCellMar>
        </w:tblPrEx>
        <w:trPr>
          <w:trHeight w:val="567"/>
        </w:trPr>
        <w:tc>
          <w:tcPr>
            <w:tcW w:w="1342" w:type="dxa"/>
            <w:tcBorders>
              <w:top w:val="single" w:sz="4" w:space="0" w:color="auto"/>
              <w:left w:val="single" w:sz="12" w:space="0" w:color="auto"/>
              <w:bottom w:val="single" w:sz="4" w:space="0" w:color="auto"/>
              <w:right w:val="single" w:sz="4" w:space="0" w:color="auto"/>
            </w:tcBorders>
            <w:vAlign w:val="center"/>
          </w:tcPr>
          <w:p w14:paraId="5E4BE599">
            <w:pPr>
              <w:pStyle w:val="BodyText"/>
              <w:keepNext/>
              <w:spacing w:after="0" w:line="360" w:lineRule="auto"/>
              <w:ind w:left="-240" w:right="-240" w:leftChars="-100" w:rightChars="-100"/>
              <w:rPr>
                <w:rFonts w:ascii="宋体" w:hAnsi="宋体" w:cs="宋体"/>
                <w:color w:val="000000"/>
                <w:sz w:val="24"/>
                <w:szCs w:val="24"/>
              </w:rPr>
            </w:pPr>
          </w:p>
        </w:tc>
        <w:tc>
          <w:tcPr>
            <w:tcW w:w="1609" w:type="dxa"/>
            <w:tcBorders>
              <w:top w:val="single" w:sz="4" w:space="0" w:color="auto"/>
              <w:left w:val="single" w:sz="4" w:space="0" w:color="auto"/>
              <w:bottom w:val="single" w:sz="4" w:space="0" w:color="auto"/>
              <w:right w:val="single" w:sz="4" w:space="0" w:color="auto"/>
            </w:tcBorders>
            <w:vAlign w:val="center"/>
          </w:tcPr>
          <w:p w14:paraId="4E0FBA60">
            <w:pPr>
              <w:pStyle w:val="BodyText"/>
              <w:keepNext/>
              <w:spacing w:after="0" w:line="360" w:lineRule="auto"/>
              <w:ind w:left="-240" w:right="-240" w:leftChars="-100" w:rightChars="-100"/>
              <w:rPr>
                <w:rFonts w:ascii="宋体" w:hAnsi="宋体" w:cs="宋体"/>
                <w:color w:val="000000"/>
                <w:sz w:val="24"/>
                <w:szCs w:val="24"/>
              </w:rPr>
            </w:pPr>
          </w:p>
        </w:tc>
        <w:tc>
          <w:tcPr>
            <w:tcW w:w="1059" w:type="dxa"/>
            <w:tcBorders>
              <w:top w:val="single" w:sz="4" w:space="0" w:color="auto"/>
              <w:left w:val="single" w:sz="4" w:space="0" w:color="auto"/>
              <w:bottom w:val="single" w:sz="4" w:space="0" w:color="auto"/>
              <w:right w:val="single" w:sz="4" w:space="0" w:color="auto"/>
            </w:tcBorders>
            <w:vAlign w:val="center"/>
          </w:tcPr>
          <w:p w14:paraId="16623C6F">
            <w:pPr>
              <w:pStyle w:val="BodyText"/>
              <w:keepNext/>
              <w:spacing w:after="0" w:line="360" w:lineRule="auto"/>
              <w:ind w:left="-240" w:right="-240" w:leftChars="-100" w:rightChars="-100"/>
              <w:rPr>
                <w:rFonts w:ascii="宋体" w:hAnsi="宋体" w:cs="宋体"/>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14:paraId="5875243C">
            <w:pPr>
              <w:pStyle w:val="BodyText"/>
              <w:keepNext/>
              <w:spacing w:after="0" w:line="360" w:lineRule="auto"/>
              <w:ind w:left="-240" w:right="-240" w:leftChars="-100" w:rightChars="-100"/>
              <w:rPr>
                <w:rFonts w:ascii="宋体" w:hAnsi="宋体" w:cs="宋体"/>
                <w:color w:val="000000"/>
                <w:sz w:val="24"/>
                <w:szCs w:val="24"/>
              </w:rPr>
            </w:pPr>
          </w:p>
        </w:tc>
        <w:tc>
          <w:tcPr>
            <w:tcW w:w="3603" w:type="dxa"/>
            <w:tcBorders>
              <w:top w:val="single" w:sz="4" w:space="0" w:color="auto"/>
              <w:left w:val="single" w:sz="4" w:space="0" w:color="auto"/>
              <w:bottom w:val="single" w:sz="4" w:space="0" w:color="auto"/>
              <w:right w:val="single" w:sz="4" w:space="0" w:color="auto"/>
            </w:tcBorders>
            <w:vAlign w:val="center"/>
          </w:tcPr>
          <w:p w14:paraId="4B671170">
            <w:pPr>
              <w:pStyle w:val="BodyText"/>
              <w:keepNext/>
              <w:spacing w:after="0" w:line="360" w:lineRule="auto"/>
              <w:ind w:left="-240" w:right="-240" w:leftChars="-100" w:rightChars="-100"/>
              <w:rPr>
                <w:rFonts w:ascii="宋体" w:hAnsi="宋体" w:cs="宋体"/>
                <w:color w:val="000000"/>
                <w:sz w:val="24"/>
                <w:szCs w:val="24"/>
              </w:rPr>
            </w:pPr>
          </w:p>
        </w:tc>
        <w:tc>
          <w:tcPr>
            <w:tcW w:w="1991" w:type="dxa"/>
            <w:tcBorders>
              <w:top w:val="single" w:sz="4" w:space="0" w:color="auto"/>
              <w:left w:val="single" w:sz="4" w:space="0" w:color="auto"/>
              <w:bottom w:val="single" w:sz="4" w:space="0" w:color="auto"/>
              <w:right w:val="single" w:sz="4" w:space="0" w:color="auto"/>
            </w:tcBorders>
            <w:vAlign w:val="center"/>
          </w:tcPr>
          <w:p w14:paraId="2DD43741">
            <w:pPr>
              <w:pStyle w:val="BodyText"/>
              <w:keepNext/>
              <w:spacing w:after="0" w:line="360" w:lineRule="auto"/>
              <w:ind w:left="-240" w:right="-240" w:leftChars="-100" w:rightChars="-100"/>
              <w:rPr>
                <w:rFonts w:ascii="宋体" w:hAnsi="宋体" w:cs="宋体"/>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6B02AACD">
            <w:pPr>
              <w:pStyle w:val="BodyText"/>
              <w:keepNext/>
              <w:spacing w:after="0" w:line="360" w:lineRule="auto"/>
              <w:ind w:left="-240" w:right="-240" w:leftChars="-100" w:rightChars="-100"/>
              <w:rPr>
                <w:rFonts w:ascii="宋体" w:hAnsi="宋体" w:cs="宋体"/>
                <w:color w:val="000000"/>
                <w:sz w:val="24"/>
                <w:szCs w:val="24"/>
              </w:rPr>
            </w:pPr>
          </w:p>
        </w:tc>
        <w:tc>
          <w:tcPr>
            <w:tcW w:w="1036" w:type="dxa"/>
            <w:tcBorders>
              <w:top w:val="single" w:sz="4" w:space="0" w:color="auto"/>
              <w:left w:val="single" w:sz="4" w:space="0" w:color="auto"/>
              <w:bottom w:val="single" w:sz="4" w:space="0" w:color="auto"/>
              <w:right w:val="single" w:sz="12" w:space="0" w:color="auto"/>
            </w:tcBorders>
            <w:vAlign w:val="center"/>
          </w:tcPr>
          <w:p w14:paraId="4C8E7CC4">
            <w:pPr>
              <w:pStyle w:val="BodyText"/>
              <w:keepNext/>
              <w:spacing w:after="0" w:line="360" w:lineRule="auto"/>
              <w:ind w:left="-240" w:right="-240" w:leftChars="-100" w:rightChars="-100"/>
              <w:rPr>
                <w:rFonts w:ascii="宋体" w:hAnsi="宋体" w:cs="宋体"/>
                <w:color w:val="000000"/>
                <w:sz w:val="24"/>
                <w:szCs w:val="24"/>
              </w:rPr>
            </w:pPr>
          </w:p>
        </w:tc>
      </w:tr>
      <w:tr w14:paraId="56AF1037">
        <w:tblPrEx>
          <w:tblW w:w="0" w:type="auto"/>
          <w:tblInd w:w="0" w:type="dxa"/>
          <w:tblLayout w:type="fixed"/>
          <w:tblCellMar>
            <w:top w:w="0" w:type="dxa"/>
            <w:left w:w="28" w:type="dxa"/>
            <w:bottom w:w="0" w:type="dxa"/>
            <w:right w:w="28" w:type="dxa"/>
          </w:tblCellMar>
        </w:tblPrEx>
        <w:trPr>
          <w:trHeight w:val="567"/>
        </w:trPr>
        <w:tc>
          <w:tcPr>
            <w:tcW w:w="1342" w:type="dxa"/>
            <w:tcBorders>
              <w:top w:val="single" w:sz="4" w:space="0" w:color="auto"/>
              <w:left w:val="single" w:sz="12" w:space="0" w:color="auto"/>
              <w:bottom w:val="single" w:sz="4" w:space="0" w:color="auto"/>
              <w:right w:val="single" w:sz="4" w:space="0" w:color="auto"/>
            </w:tcBorders>
            <w:vAlign w:val="center"/>
          </w:tcPr>
          <w:p w14:paraId="556FA5A6">
            <w:pPr>
              <w:pStyle w:val="BodyText"/>
              <w:keepNext/>
              <w:spacing w:after="0" w:line="360" w:lineRule="auto"/>
              <w:ind w:left="-240" w:right="-240" w:leftChars="-100" w:rightChars="-100"/>
              <w:rPr>
                <w:rFonts w:ascii="宋体" w:hAnsi="宋体" w:cs="宋体"/>
                <w:color w:val="000000"/>
                <w:sz w:val="24"/>
                <w:szCs w:val="24"/>
              </w:rPr>
            </w:pPr>
          </w:p>
        </w:tc>
        <w:tc>
          <w:tcPr>
            <w:tcW w:w="1609" w:type="dxa"/>
            <w:tcBorders>
              <w:top w:val="single" w:sz="4" w:space="0" w:color="auto"/>
              <w:left w:val="single" w:sz="4" w:space="0" w:color="auto"/>
              <w:bottom w:val="single" w:sz="4" w:space="0" w:color="auto"/>
              <w:right w:val="single" w:sz="4" w:space="0" w:color="auto"/>
            </w:tcBorders>
            <w:vAlign w:val="center"/>
          </w:tcPr>
          <w:p w14:paraId="04EA57E2">
            <w:pPr>
              <w:pStyle w:val="BodyText"/>
              <w:keepNext/>
              <w:spacing w:after="0" w:line="360" w:lineRule="auto"/>
              <w:ind w:left="-240" w:right="-240" w:leftChars="-100" w:rightChars="-100"/>
              <w:rPr>
                <w:rFonts w:ascii="宋体" w:hAnsi="宋体" w:cs="宋体"/>
                <w:color w:val="000000"/>
                <w:sz w:val="24"/>
                <w:szCs w:val="24"/>
              </w:rPr>
            </w:pPr>
          </w:p>
        </w:tc>
        <w:tc>
          <w:tcPr>
            <w:tcW w:w="1059" w:type="dxa"/>
            <w:tcBorders>
              <w:top w:val="single" w:sz="4" w:space="0" w:color="auto"/>
              <w:left w:val="single" w:sz="4" w:space="0" w:color="auto"/>
              <w:bottom w:val="single" w:sz="4" w:space="0" w:color="auto"/>
              <w:right w:val="single" w:sz="4" w:space="0" w:color="auto"/>
            </w:tcBorders>
            <w:vAlign w:val="center"/>
          </w:tcPr>
          <w:p w14:paraId="1C55ABE5">
            <w:pPr>
              <w:pStyle w:val="BodyText"/>
              <w:keepNext/>
              <w:spacing w:after="0" w:line="360" w:lineRule="auto"/>
              <w:ind w:left="-240" w:right="-240" w:leftChars="-100" w:rightChars="-100"/>
              <w:rPr>
                <w:rFonts w:ascii="宋体" w:hAnsi="宋体" w:cs="宋体"/>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14:paraId="603117D1">
            <w:pPr>
              <w:pStyle w:val="BodyText"/>
              <w:keepNext/>
              <w:spacing w:after="0" w:line="360" w:lineRule="auto"/>
              <w:ind w:left="-240" w:right="-240" w:leftChars="-100" w:rightChars="-100"/>
              <w:rPr>
                <w:rFonts w:ascii="宋体" w:hAnsi="宋体" w:cs="宋体"/>
                <w:color w:val="000000"/>
                <w:sz w:val="24"/>
                <w:szCs w:val="24"/>
              </w:rPr>
            </w:pPr>
          </w:p>
        </w:tc>
        <w:tc>
          <w:tcPr>
            <w:tcW w:w="3603" w:type="dxa"/>
            <w:tcBorders>
              <w:top w:val="single" w:sz="4" w:space="0" w:color="auto"/>
              <w:left w:val="single" w:sz="4" w:space="0" w:color="auto"/>
              <w:bottom w:val="single" w:sz="4" w:space="0" w:color="auto"/>
              <w:right w:val="single" w:sz="4" w:space="0" w:color="auto"/>
            </w:tcBorders>
            <w:vAlign w:val="center"/>
          </w:tcPr>
          <w:p w14:paraId="4A7551B5">
            <w:pPr>
              <w:pStyle w:val="BodyText"/>
              <w:keepNext/>
              <w:spacing w:after="0" w:line="360" w:lineRule="auto"/>
              <w:ind w:left="-240" w:right="-240" w:leftChars="-100" w:rightChars="-100"/>
              <w:rPr>
                <w:rFonts w:ascii="宋体" w:hAnsi="宋体" w:cs="宋体"/>
                <w:color w:val="000000"/>
                <w:sz w:val="24"/>
                <w:szCs w:val="24"/>
              </w:rPr>
            </w:pPr>
          </w:p>
        </w:tc>
        <w:tc>
          <w:tcPr>
            <w:tcW w:w="1991" w:type="dxa"/>
            <w:tcBorders>
              <w:top w:val="single" w:sz="4" w:space="0" w:color="auto"/>
              <w:left w:val="single" w:sz="4" w:space="0" w:color="auto"/>
              <w:bottom w:val="single" w:sz="4" w:space="0" w:color="auto"/>
              <w:right w:val="single" w:sz="4" w:space="0" w:color="auto"/>
            </w:tcBorders>
            <w:vAlign w:val="center"/>
          </w:tcPr>
          <w:p w14:paraId="76511D76">
            <w:pPr>
              <w:pStyle w:val="BodyText"/>
              <w:keepNext/>
              <w:spacing w:after="0" w:line="360" w:lineRule="auto"/>
              <w:ind w:left="-240" w:right="-240" w:leftChars="-100" w:rightChars="-100"/>
              <w:rPr>
                <w:rFonts w:ascii="宋体" w:hAnsi="宋体" w:cs="宋体"/>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189447E6">
            <w:pPr>
              <w:pStyle w:val="BodyText"/>
              <w:keepNext/>
              <w:spacing w:after="0" w:line="360" w:lineRule="auto"/>
              <w:ind w:left="-240" w:right="-240" w:leftChars="-100" w:rightChars="-100"/>
              <w:rPr>
                <w:rFonts w:ascii="宋体" w:hAnsi="宋体" w:cs="宋体"/>
                <w:color w:val="000000"/>
                <w:sz w:val="24"/>
                <w:szCs w:val="24"/>
              </w:rPr>
            </w:pPr>
          </w:p>
        </w:tc>
        <w:tc>
          <w:tcPr>
            <w:tcW w:w="1036" w:type="dxa"/>
            <w:tcBorders>
              <w:top w:val="single" w:sz="4" w:space="0" w:color="auto"/>
              <w:left w:val="single" w:sz="4" w:space="0" w:color="auto"/>
              <w:bottom w:val="single" w:sz="4" w:space="0" w:color="auto"/>
              <w:right w:val="single" w:sz="12" w:space="0" w:color="auto"/>
            </w:tcBorders>
            <w:vAlign w:val="center"/>
          </w:tcPr>
          <w:p w14:paraId="2BEDCF44">
            <w:pPr>
              <w:pStyle w:val="BodyText"/>
              <w:keepNext/>
              <w:spacing w:after="0" w:line="360" w:lineRule="auto"/>
              <w:ind w:left="-240" w:right="-240" w:leftChars="-100" w:rightChars="-100"/>
              <w:rPr>
                <w:rFonts w:ascii="宋体" w:hAnsi="宋体" w:cs="宋体"/>
                <w:color w:val="000000"/>
                <w:sz w:val="24"/>
                <w:szCs w:val="24"/>
              </w:rPr>
            </w:pPr>
          </w:p>
        </w:tc>
      </w:tr>
      <w:tr w14:paraId="5E19C84B">
        <w:tblPrEx>
          <w:tblW w:w="0" w:type="auto"/>
          <w:tblInd w:w="0" w:type="dxa"/>
          <w:tblLayout w:type="fixed"/>
          <w:tblCellMar>
            <w:top w:w="0" w:type="dxa"/>
            <w:left w:w="28" w:type="dxa"/>
            <w:bottom w:w="0" w:type="dxa"/>
            <w:right w:w="28" w:type="dxa"/>
          </w:tblCellMar>
        </w:tblPrEx>
        <w:trPr>
          <w:trHeight w:val="567"/>
        </w:trPr>
        <w:tc>
          <w:tcPr>
            <w:tcW w:w="1342" w:type="dxa"/>
            <w:tcBorders>
              <w:top w:val="single" w:sz="4" w:space="0" w:color="auto"/>
              <w:left w:val="single" w:sz="12" w:space="0" w:color="auto"/>
              <w:bottom w:val="single" w:sz="4" w:space="0" w:color="auto"/>
              <w:right w:val="single" w:sz="4" w:space="0" w:color="auto"/>
            </w:tcBorders>
            <w:vAlign w:val="center"/>
          </w:tcPr>
          <w:p w14:paraId="342096B1">
            <w:pPr>
              <w:pStyle w:val="BodyText"/>
              <w:keepNext/>
              <w:spacing w:after="0" w:line="360" w:lineRule="auto"/>
              <w:ind w:left="-240" w:right="-240" w:leftChars="-100" w:rightChars="-100"/>
              <w:rPr>
                <w:rFonts w:ascii="宋体" w:hAnsi="宋体" w:cs="宋体"/>
                <w:color w:val="000000"/>
                <w:sz w:val="24"/>
                <w:szCs w:val="24"/>
              </w:rPr>
            </w:pPr>
          </w:p>
        </w:tc>
        <w:tc>
          <w:tcPr>
            <w:tcW w:w="1609" w:type="dxa"/>
            <w:tcBorders>
              <w:top w:val="single" w:sz="4" w:space="0" w:color="auto"/>
              <w:left w:val="single" w:sz="4" w:space="0" w:color="auto"/>
              <w:bottom w:val="single" w:sz="4" w:space="0" w:color="auto"/>
              <w:right w:val="single" w:sz="4" w:space="0" w:color="auto"/>
            </w:tcBorders>
            <w:vAlign w:val="center"/>
          </w:tcPr>
          <w:p w14:paraId="6E734D1F">
            <w:pPr>
              <w:pStyle w:val="BodyText"/>
              <w:keepNext/>
              <w:spacing w:after="0" w:line="360" w:lineRule="auto"/>
              <w:ind w:left="-240" w:right="-240" w:leftChars="-100" w:rightChars="-100"/>
              <w:rPr>
                <w:rFonts w:ascii="宋体" w:hAnsi="宋体" w:cs="宋体"/>
                <w:color w:val="000000"/>
                <w:sz w:val="24"/>
                <w:szCs w:val="24"/>
              </w:rPr>
            </w:pPr>
          </w:p>
        </w:tc>
        <w:tc>
          <w:tcPr>
            <w:tcW w:w="1059" w:type="dxa"/>
            <w:tcBorders>
              <w:top w:val="single" w:sz="4" w:space="0" w:color="auto"/>
              <w:left w:val="single" w:sz="4" w:space="0" w:color="auto"/>
              <w:bottom w:val="single" w:sz="4" w:space="0" w:color="auto"/>
              <w:right w:val="single" w:sz="4" w:space="0" w:color="auto"/>
            </w:tcBorders>
            <w:vAlign w:val="center"/>
          </w:tcPr>
          <w:p w14:paraId="4308D19C">
            <w:pPr>
              <w:pStyle w:val="BodyText"/>
              <w:keepNext/>
              <w:spacing w:after="0" w:line="360" w:lineRule="auto"/>
              <w:ind w:left="-240" w:right="-240" w:leftChars="-100" w:rightChars="-100"/>
              <w:rPr>
                <w:rFonts w:ascii="宋体" w:hAnsi="宋体" w:cs="宋体"/>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14:paraId="73FA5C0F">
            <w:pPr>
              <w:pStyle w:val="BodyText"/>
              <w:keepNext/>
              <w:spacing w:after="0" w:line="360" w:lineRule="auto"/>
              <w:ind w:left="-240" w:right="-240" w:leftChars="-100" w:rightChars="-100"/>
              <w:rPr>
                <w:rFonts w:ascii="宋体" w:hAnsi="宋体" w:cs="宋体"/>
                <w:color w:val="000000"/>
                <w:sz w:val="24"/>
                <w:szCs w:val="24"/>
              </w:rPr>
            </w:pPr>
          </w:p>
        </w:tc>
        <w:tc>
          <w:tcPr>
            <w:tcW w:w="3603" w:type="dxa"/>
            <w:tcBorders>
              <w:top w:val="single" w:sz="4" w:space="0" w:color="auto"/>
              <w:left w:val="single" w:sz="4" w:space="0" w:color="auto"/>
              <w:bottom w:val="single" w:sz="4" w:space="0" w:color="auto"/>
              <w:right w:val="single" w:sz="4" w:space="0" w:color="auto"/>
            </w:tcBorders>
            <w:vAlign w:val="center"/>
          </w:tcPr>
          <w:p w14:paraId="217C531E">
            <w:pPr>
              <w:pStyle w:val="BodyText"/>
              <w:keepNext/>
              <w:spacing w:after="0" w:line="360" w:lineRule="auto"/>
              <w:ind w:left="-240" w:right="-240" w:leftChars="-100" w:rightChars="-100"/>
              <w:rPr>
                <w:rFonts w:ascii="宋体" w:hAnsi="宋体" w:cs="宋体"/>
                <w:color w:val="000000"/>
                <w:sz w:val="24"/>
                <w:szCs w:val="24"/>
              </w:rPr>
            </w:pPr>
          </w:p>
        </w:tc>
        <w:tc>
          <w:tcPr>
            <w:tcW w:w="1991" w:type="dxa"/>
            <w:tcBorders>
              <w:top w:val="single" w:sz="4" w:space="0" w:color="auto"/>
              <w:left w:val="single" w:sz="4" w:space="0" w:color="auto"/>
              <w:bottom w:val="single" w:sz="4" w:space="0" w:color="auto"/>
              <w:right w:val="single" w:sz="4" w:space="0" w:color="auto"/>
            </w:tcBorders>
            <w:vAlign w:val="center"/>
          </w:tcPr>
          <w:p w14:paraId="3255102D">
            <w:pPr>
              <w:pStyle w:val="BodyText"/>
              <w:keepNext/>
              <w:spacing w:after="0" w:line="360" w:lineRule="auto"/>
              <w:ind w:left="-240" w:right="-240" w:leftChars="-100" w:rightChars="-100"/>
              <w:rPr>
                <w:rFonts w:ascii="宋体" w:hAnsi="宋体" w:cs="宋体"/>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24303C48">
            <w:pPr>
              <w:pStyle w:val="BodyText"/>
              <w:keepNext/>
              <w:spacing w:after="0" w:line="360" w:lineRule="auto"/>
              <w:ind w:left="-240" w:right="-240" w:leftChars="-100" w:rightChars="-100"/>
              <w:rPr>
                <w:rFonts w:ascii="宋体" w:hAnsi="宋体" w:cs="宋体"/>
                <w:color w:val="000000"/>
                <w:sz w:val="24"/>
                <w:szCs w:val="24"/>
              </w:rPr>
            </w:pPr>
          </w:p>
        </w:tc>
        <w:tc>
          <w:tcPr>
            <w:tcW w:w="1036" w:type="dxa"/>
            <w:tcBorders>
              <w:top w:val="single" w:sz="4" w:space="0" w:color="auto"/>
              <w:left w:val="single" w:sz="4" w:space="0" w:color="auto"/>
              <w:bottom w:val="single" w:sz="4" w:space="0" w:color="auto"/>
              <w:right w:val="single" w:sz="12" w:space="0" w:color="auto"/>
            </w:tcBorders>
            <w:vAlign w:val="center"/>
          </w:tcPr>
          <w:p w14:paraId="2F92CABF">
            <w:pPr>
              <w:pStyle w:val="BodyText"/>
              <w:keepNext/>
              <w:spacing w:after="0" w:line="360" w:lineRule="auto"/>
              <w:ind w:left="-240" w:right="-240" w:leftChars="-100" w:rightChars="-100"/>
              <w:rPr>
                <w:rFonts w:ascii="宋体" w:hAnsi="宋体" w:cs="宋体"/>
                <w:color w:val="000000"/>
                <w:sz w:val="24"/>
                <w:szCs w:val="24"/>
              </w:rPr>
            </w:pPr>
          </w:p>
        </w:tc>
      </w:tr>
      <w:tr w14:paraId="45B59603">
        <w:tblPrEx>
          <w:tblW w:w="0" w:type="auto"/>
          <w:tblInd w:w="0" w:type="dxa"/>
          <w:tblLayout w:type="fixed"/>
          <w:tblCellMar>
            <w:top w:w="0" w:type="dxa"/>
            <w:left w:w="28" w:type="dxa"/>
            <w:bottom w:w="0" w:type="dxa"/>
            <w:right w:w="28" w:type="dxa"/>
          </w:tblCellMar>
        </w:tblPrEx>
        <w:trPr>
          <w:trHeight w:val="567"/>
        </w:trPr>
        <w:tc>
          <w:tcPr>
            <w:tcW w:w="1342" w:type="dxa"/>
            <w:tcBorders>
              <w:top w:val="single" w:sz="4" w:space="0" w:color="auto"/>
              <w:left w:val="single" w:sz="12" w:space="0" w:color="auto"/>
              <w:bottom w:val="single" w:sz="4" w:space="0" w:color="auto"/>
              <w:right w:val="single" w:sz="4" w:space="0" w:color="auto"/>
            </w:tcBorders>
            <w:vAlign w:val="center"/>
          </w:tcPr>
          <w:p w14:paraId="65A218CC">
            <w:pPr>
              <w:pStyle w:val="BodyText"/>
              <w:keepNext/>
              <w:spacing w:after="0" w:line="360" w:lineRule="auto"/>
              <w:ind w:left="-240" w:right="-240" w:leftChars="-100" w:rightChars="-100"/>
              <w:rPr>
                <w:rFonts w:ascii="宋体" w:hAnsi="宋体" w:cs="宋体"/>
                <w:color w:val="000000"/>
                <w:sz w:val="24"/>
                <w:szCs w:val="24"/>
              </w:rPr>
            </w:pPr>
          </w:p>
        </w:tc>
        <w:tc>
          <w:tcPr>
            <w:tcW w:w="1609" w:type="dxa"/>
            <w:tcBorders>
              <w:top w:val="single" w:sz="4" w:space="0" w:color="auto"/>
              <w:left w:val="single" w:sz="4" w:space="0" w:color="auto"/>
              <w:bottom w:val="single" w:sz="4" w:space="0" w:color="auto"/>
              <w:right w:val="single" w:sz="4" w:space="0" w:color="auto"/>
            </w:tcBorders>
            <w:vAlign w:val="center"/>
          </w:tcPr>
          <w:p w14:paraId="3D0C862E">
            <w:pPr>
              <w:pStyle w:val="BodyText"/>
              <w:keepNext/>
              <w:spacing w:after="0" w:line="360" w:lineRule="auto"/>
              <w:ind w:left="-240" w:right="-240" w:leftChars="-100" w:rightChars="-100"/>
              <w:rPr>
                <w:rFonts w:ascii="宋体" w:hAnsi="宋体" w:cs="宋体"/>
                <w:color w:val="000000"/>
                <w:sz w:val="24"/>
                <w:szCs w:val="24"/>
              </w:rPr>
            </w:pPr>
          </w:p>
        </w:tc>
        <w:tc>
          <w:tcPr>
            <w:tcW w:w="1059" w:type="dxa"/>
            <w:tcBorders>
              <w:top w:val="single" w:sz="4" w:space="0" w:color="auto"/>
              <w:left w:val="single" w:sz="4" w:space="0" w:color="auto"/>
              <w:bottom w:val="single" w:sz="4" w:space="0" w:color="auto"/>
              <w:right w:val="single" w:sz="4" w:space="0" w:color="auto"/>
            </w:tcBorders>
            <w:vAlign w:val="center"/>
          </w:tcPr>
          <w:p w14:paraId="385DD220">
            <w:pPr>
              <w:pStyle w:val="BodyText"/>
              <w:keepNext/>
              <w:spacing w:after="0" w:line="360" w:lineRule="auto"/>
              <w:ind w:left="-240" w:right="-240" w:leftChars="-100" w:rightChars="-100"/>
              <w:rPr>
                <w:rFonts w:ascii="宋体" w:hAnsi="宋体" w:cs="宋体"/>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14:paraId="6CD382E4">
            <w:pPr>
              <w:pStyle w:val="BodyText"/>
              <w:keepNext/>
              <w:spacing w:after="0" w:line="360" w:lineRule="auto"/>
              <w:ind w:left="-240" w:right="-240" w:leftChars="-100" w:rightChars="-100"/>
              <w:rPr>
                <w:rFonts w:ascii="宋体" w:hAnsi="宋体" w:cs="宋体"/>
                <w:color w:val="000000"/>
                <w:sz w:val="24"/>
                <w:szCs w:val="24"/>
              </w:rPr>
            </w:pPr>
          </w:p>
        </w:tc>
        <w:tc>
          <w:tcPr>
            <w:tcW w:w="3603" w:type="dxa"/>
            <w:tcBorders>
              <w:top w:val="single" w:sz="4" w:space="0" w:color="auto"/>
              <w:left w:val="single" w:sz="4" w:space="0" w:color="auto"/>
              <w:bottom w:val="single" w:sz="4" w:space="0" w:color="auto"/>
              <w:right w:val="single" w:sz="4" w:space="0" w:color="auto"/>
            </w:tcBorders>
            <w:vAlign w:val="center"/>
          </w:tcPr>
          <w:p w14:paraId="382BD075">
            <w:pPr>
              <w:pStyle w:val="BodyText"/>
              <w:keepNext/>
              <w:spacing w:after="0" w:line="360" w:lineRule="auto"/>
              <w:ind w:left="-240" w:right="-240" w:leftChars="-100" w:rightChars="-100"/>
              <w:rPr>
                <w:rFonts w:ascii="宋体" w:hAnsi="宋体" w:cs="宋体"/>
                <w:color w:val="000000"/>
                <w:sz w:val="24"/>
                <w:szCs w:val="24"/>
              </w:rPr>
            </w:pPr>
          </w:p>
        </w:tc>
        <w:tc>
          <w:tcPr>
            <w:tcW w:w="1991" w:type="dxa"/>
            <w:tcBorders>
              <w:top w:val="single" w:sz="4" w:space="0" w:color="auto"/>
              <w:left w:val="single" w:sz="4" w:space="0" w:color="auto"/>
              <w:bottom w:val="single" w:sz="4" w:space="0" w:color="auto"/>
              <w:right w:val="single" w:sz="4" w:space="0" w:color="auto"/>
            </w:tcBorders>
            <w:vAlign w:val="center"/>
          </w:tcPr>
          <w:p w14:paraId="7D52A325">
            <w:pPr>
              <w:pStyle w:val="BodyText"/>
              <w:keepNext/>
              <w:spacing w:after="0" w:line="360" w:lineRule="auto"/>
              <w:ind w:left="-240" w:right="-240" w:leftChars="-100" w:rightChars="-100"/>
              <w:rPr>
                <w:rFonts w:ascii="宋体" w:hAnsi="宋体" w:cs="宋体"/>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3B4C03B6">
            <w:pPr>
              <w:pStyle w:val="BodyText"/>
              <w:keepNext/>
              <w:spacing w:after="0" w:line="360" w:lineRule="auto"/>
              <w:ind w:left="-240" w:right="-240" w:leftChars="-100" w:rightChars="-100"/>
              <w:rPr>
                <w:rFonts w:ascii="宋体" w:hAnsi="宋体" w:cs="宋体"/>
                <w:color w:val="000000"/>
                <w:sz w:val="24"/>
                <w:szCs w:val="24"/>
              </w:rPr>
            </w:pPr>
          </w:p>
        </w:tc>
        <w:tc>
          <w:tcPr>
            <w:tcW w:w="1036" w:type="dxa"/>
            <w:tcBorders>
              <w:top w:val="single" w:sz="4" w:space="0" w:color="auto"/>
              <w:left w:val="single" w:sz="4" w:space="0" w:color="auto"/>
              <w:bottom w:val="single" w:sz="4" w:space="0" w:color="auto"/>
              <w:right w:val="single" w:sz="12" w:space="0" w:color="auto"/>
            </w:tcBorders>
            <w:vAlign w:val="center"/>
          </w:tcPr>
          <w:p w14:paraId="0CEA3637">
            <w:pPr>
              <w:pStyle w:val="BodyText"/>
              <w:keepNext/>
              <w:spacing w:after="0" w:line="360" w:lineRule="auto"/>
              <w:ind w:left="-240" w:right="-240" w:leftChars="-100" w:rightChars="-100"/>
              <w:rPr>
                <w:rFonts w:ascii="宋体" w:hAnsi="宋体" w:cs="宋体"/>
                <w:color w:val="000000"/>
                <w:sz w:val="24"/>
                <w:szCs w:val="24"/>
              </w:rPr>
            </w:pPr>
          </w:p>
        </w:tc>
      </w:tr>
      <w:tr w14:paraId="6747913A">
        <w:tblPrEx>
          <w:tblW w:w="0" w:type="auto"/>
          <w:tblInd w:w="0" w:type="dxa"/>
          <w:tblLayout w:type="fixed"/>
          <w:tblCellMar>
            <w:top w:w="0" w:type="dxa"/>
            <w:left w:w="28" w:type="dxa"/>
            <w:bottom w:w="0" w:type="dxa"/>
            <w:right w:w="28" w:type="dxa"/>
          </w:tblCellMar>
        </w:tblPrEx>
        <w:trPr>
          <w:trHeight w:val="567"/>
        </w:trPr>
        <w:tc>
          <w:tcPr>
            <w:tcW w:w="1342" w:type="dxa"/>
            <w:tcBorders>
              <w:top w:val="single" w:sz="4" w:space="0" w:color="auto"/>
              <w:left w:val="single" w:sz="12" w:space="0" w:color="auto"/>
              <w:bottom w:val="single" w:sz="4" w:space="0" w:color="auto"/>
              <w:right w:val="single" w:sz="4" w:space="0" w:color="auto"/>
            </w:tcBorders>
            <w:vAlign w:val="center"/>
          </w:tcPr>
          <w:p w14:paraId="49DCB041">
            <w:pPr>
              <w:pStyle w:val="BodyText"/>
              <w:keepNext/>
              <w:spacing w:after="0" w:line="360" w:lineRule="auto"/>
              <w:ind w:left="-240" w:right="-240" w:leftChars="-100" w:rightChars="-100"/>
              <w:rPr>
                <w:rFonts w:ascii="宋体" w:hAnsi="宋体" w:cs="宋体"/>
                <w:color w:val="000000"/>
                <w:sz w:val="24"/>
                <w:szCs w:val="24"/>
              </w:rPr>
            </w:pPr>
          </w:p>
        </w:tc>
        <w:tc>
          <w:tcPr>
            <w:tcW w:w="1609" w:type="dxa"/>
            <w:tcBorders>
              <w:top w:val="single" w:sz="4" w:space="0" w:color="auto"/>
              <w:left w:val="single" w:sz="4" w:space="0" w:color="auto"/>
              <w:bottom w:val="single" w:sz="4" w:space="0" w:color="auto"/>
              <w:right w:val="single" w:sz="4" w:space="0" w:color="auto"/>
            </w:tcBorders>
            <w:vAlign w:val="center"/>
          </w:tcPr>
          <w:p w14:paraId="4231AE91">
            <w:pPr>
              <w:pStyle w:val="BodyText"/>
              <w:keepNext/>
              <w:spacing w:after="0" w:line="360" w:lineRule="auto"/>
              <w:ind w:left="-240" w:right="-240" w:leftChars="-100" w:rightChars="-100"/>
              <w:rPr>
                <w:rFonts w:ascii="宋体" w:hAnsi="宋体" w:cs="宋体"/>
                <w:color w:val="000000"/>
                <w:sz w:val="24"/>
                <w:szCs w:val="24"/>
              </w:rPr>
            </w:pPr>
          </w:p>
        </w:tc>
        <w:tc>
          <w:tcPr>
            <w:tcW w:w="1059" w:type="dxa"/>
            <w:tcBorders>
              <w:top w:val="single" w:sz="4" w:space="0" w:color="auto"/>
              <w:left w:val="single" w:sz="4" w:space="0" w:color="auto"/>
              <w:bottom w:val="single" w:sz="4" w:space="0" w:color="auto"/>
              <w:right w:val="single" w:sz="4" w:space="0" w:color="auto"/>
            </w:tcBorders>
            <w:vAlign w:val="center"/>
          </w:tcPr>
          <w:p w14:paraId="06B67D68">
            <w:pPr>
              <w:pStyle w:val="BodyText"/>
              <w:keepNext/>
              <w:spacing w:after="0" w:line="360" w:lineRule="auto"/>
              <w:ind w:left="-240" w:right="-240" w:leftChars="-100" w:rightChars="-100"/>
              <w:rPr>
                <w:rFonts w:ascii="宋体" w:hAnsi="宋体" w:cs="宋体"/>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14:paraId="41757EA9">
            <w:pPr>
              <w:pStyle w:val="BodyText"/>
              <w:keepNext/>
              <w:spacing w:after="0" w:line="360" w:lineRule="auto"/>
              <w:ind w:left="-240" w:right="-240" w:leftChars="-100" w:rightChars="-100"/>
              <w:rPr>
                <w:rFonts w:ascii="宋体" w:hAnsi="宋体" w:cs="宋体"/>
                <w:color w:val="000000"/>
                <w:sz w:val="24"/>
                <w:szCs w:val="24"/>
              </w:rPr>
            </w:pPr>
          </w:p>
        </w:tc>
        <w:tc>
          <w:tcPr>
            <w:tcW w:w="3603" w:type="dxa"/>
            <w:tcBorders>
              <w:top w:val="single" w:sz="4" w:space="0" w:color="auto"/>
              <w:left w:val="single" w:sz="4" w:space="0" w:color="auto"/>
              <w:bottom w:val="single" w:sz="4" w:space="0" w:color="auto"/>
              <w:right w:val="single" w:sz="4" w:space="0" w:color="auto"/>
            </w:tcBorders>
            <w:vAlign w:val="center"/>
          </w:tcPr>
          <w:p w14:paraId="09BF0324">
            <w:pPr>
              <w:pStyle w:val="BodyText"/>
              <w:keepNext/>
              <w:spacing w:after="0" w:line="360" w:lineRule="auto"/>
              <w:ind w:left="-240" w:right="-240" w:leftChars="-100" w:rightChars="-100"/>
              <w:rPr>
                <w:rFonts w:ascii="宋体" w:hAnsi="宋体" w:cs="宋体"/>
                <w:color w:val="000000"/>
                <w:sz w:val="24"/>
                <w:szCs w:val="24"/>
              </w:rPr>
            </w:pPr>
          </w:p>
        </w:tc>
        <w:tc>
          <w:tcPr>
            <w:tcW w:w="1991" w:type="dxa"/>
            <w:tcBorders>
              <w:top w:val="single" w:sz="4" w:space="0" w:color="auto"/>
              <w:left w:val="single" w:sz="4" w:space="0" w:color="auto"/>
              <w:bottom w:val="single" w:sz="4" w:space="0" w:color="auto"/>
              <w:right w:val="single" w:sz="4" w:space="0" w:color="auto"/>
            </w:tcBorders>
            <w:vAlign w:val="center"/>
          </w:tcPr>
          <w:p w14:paraId="23BA4B0D">
            <w:pPr>
              <w:pStyle w:val="BodyText"/>
              <w:keepNext/>
              <w:spacing w:after="0" w:line="360" w:lineRule="auto"/>
              <w:ind w:left="-240" w:right="-240" w:leftChars="-100" w:rightChars="-100"/>
              <w:rPr>
                <w:rFonts w:ascii="宋体" w:hAnsi="宋体" w:cs="宋体"/>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5EA3A455">
            <w:pPr>
              <w:pStyle w:val="BodyText"/>
              <w:keepNext/>
              <w:spacing w:after="0" w:line="360" w:lineRule="auto"/>
              <w:ind w:left="-240" w:right="-240" w:leftChars="-100" w:rightChars="-100"/>
              <w:rPr>
                <w:rFonts w:ascii="宋体" w:hAnsi="宋体" w:cs="宋体"/>
                <w:color w:val="000000"/>
                <w:sz w:val="24"/>
                <w:szCs w:val="24"/>
              </w:rPr>
            </w:pPr>
          </w:p>
        </w:tc>
        <w:tc>
          <w:tcPr>
            <w:tcW w:w="1036" w:type="dxa"/>
            <w:tcBorders>
              <w:top w:val="single" w:sz="4" w:space="0" w:color="auto"/>
              <w:left w:val="single" w:sz="4" w:space="0" w:color="auto"/>
              <w:bottom w:val="single" w:sz="4" w:space="0" w:color="auto"/>
              <w:right w:val="single" w:sz="12" w:space="0" w:color="auto"/>
            </w:tcBorders>
            <w:vAlign w:val="center"/>
          </w:tcPr>
          <w:p w14:paraId="6FBB4FC9">
            <w:pPr>
              <w:pStyle w:val="BodyText"/>
              <w:keepNext/>
              <w:spacing w:after="0" w:line="360" w:lineRule="auto"/>
              <w:ind w:left="-240" w:right="-240" w:leftChars="-100" w:rightChars="-100"/>
              <w:rPr>
                <w:rFonts w:ascii="宋体" w:hAnsi="宋体" w:cs="宋体"/>
                <w:color w:val="000000"/>
                <w:sz w:val="24"/>
                <w:szCs w:val="24"/>
              </w:rPr>
            </w:pPr>
          </w:p>
        </w:tc>
      </w:tr>
      <w:tr w14:paraId="170CB620">
        <w:tblPrEx>
          <w:tblW w:w="0" w:type="auto"/>
          <w:tblInd w:w="0" w:type="dxa"/>
          <w:tblLayout w:type="fixed"/>
          <w:tblCellMar>
            <w:top w:w="0" w:type="dxa"/>
            <w:left w:w="28" w:type="dxa"/>
            <w:bottom w:w="0" w:type="dxa"/>
            <w:right w:w="28" w:type="dxa"/>
          </w:tblCellMar>
        </w:tblPrEx>
        <w:trPr>
          <w:trHeight w:val="563"/>
        </w:trPr>
        <w:tc>
          <w:tcPr>
            <w:tcW w:w="1342" w:type="dxa"/>
            <w:tcBorders>
              <w:top w:val="single" w:sz="4" w:space="0" w:color="auto"/>
              <w:left w:val="single" w:sz="12" w:space="0" w:color="auto"/>
              <w:bottom w:val="single" w:sz="12" w:space="0" w:color="auto"/>
              <w:right w:val="single" w:sz="4" w:space="0" w:color="auto"/>
            </w:tcBorders>
            <w:vAlign w:val="center"/>
          </w:tcPr>
          <w:p w14:paraId="69B0C49B">
            <w:pPr>
              <w:pStyle w:val="BodyText"/>
              <w:keepNext/>
              <w:spacing w:after="0" w:line="360" w:lineRule="auto"/>
              <w:ind w:left="-240" w:right="-240" w:leftChars="-100" w:rightChars="-100"/>
              <w:rPr>
                <w:rFonts w:ascii="宋体" w:hAnsi="宋体" w:cs="宋体"/>
                <w:color w:val="000000"/>
                <w:sz w:val="24"/>
                <w:szCs w:val="24"/>
              </w:rPr>
            </w:pPr>
          </w:p>
        </w:tc>
        <w:tc>
          <w:tcPr>
            <w:tcW w:w="1609" w:type="dxa"/>
            <w:tcBorders>
              <w:top w:val="single" w:sz="4" w:space="0" w:color="auto"/>
              <w:left w:val="single" w:sz="4" w:space="0" w:color="auto"/>
              <w:bottom w:val="single" w:sz="12" w:space="0" w:color="auto"/>
              <w:right w:val="single" w:sz="4" w:space="0" w:color="auto"/>
            </w:tcBorders>
            <w:vAlign w:val="center"/>
          </w:tcPr>
          <w:p w14:paraId="04025068">
            <w:pPr>
              <w:pStyle w:val="BodyText"/>
              <w:keepNext/>
              <w:spacing w:after="0" w:line="360" w:lineRule="auto"/>
              <w:ind w:left="-240" w:right="-240" w:leftChars="-100" w:rightChars="-100"/>
              <w:rPr>
                <w:rFonts w:ascii="宋体" w:hAnsi="宋体" w:cs="宋体"/>
                <w:color w:val="000000"/>
                <w:sz w:val="24"/>
                <w:szCs w:val="24"/>
              </w:rPr>
            </w:pPr>
          </w:p>
        </w:tc>
        <w:tc>
          <w:tcPr>
            <w:tcW w:w="1059" w:type="dxa"/>
            <w:tcBorders>
              <w:top w:val="single" w:sz="4" w:space="0" w:color="auto"/>
              <w:left w:val="single" w:sz="4" w:space="0" w:color="auto"/>
              <w:bottom w:val="single" w:sz="12" w:space="0" w:color="auto"/>
              <w:right w:val="single" w:sz="4" w:space="0" w:color="auto"/>
            </w:tcBorders>
            <w:vAlign w:val="center"/>
          </w:tcPr>
          <w:p w14:paraId="5178697B">
            <w:pPr>
              <w:pStyle w:val="BodyText"/>
              <w:keepNext/>
              <w:spacing w:after="0" w:line="360" w:lineRule="auto"/>
              <w:ind w:left="-240" w:right="-240" w:leftChars="-100" w:rightChars="-100"/>
              <w:rPr>
                <w:rFonts w:ascii="宋体" w:hAnsi="宋体" w:cs="宋体"/>
                <w:color w:val="000000"/>
                <w:sz w:val="24"/>
                <w:szCs w:val="24"/>
              </w:rPr>
            </w:pPr>
          </w:p>
        </w:tc>
        <w:tc>
          <w:tcPr>
            <w:tcW w:w="1220" w:type="dxa"/>
            <w:tcBorders>
              <w:top w:val="single" w:sz="4" w:space="0" w:color="auto"/>
              <w:left w:val="single" w:sz="4" w:space="0" w:color="auto"/>
              <w:bottom w:val="single" w:sz="12" w:space="0" w:color="auto"/>
              <w:right w:val="single" w:sz="4" w:space="0" w:color="auto"/>
            </w:tcBorders>
            <w:vAlign w:val="center"/>
          </w:tcPr>
          <w:p w14:paraId="73FEC1BC">
            <w:pPr>
              <w:pStyle w:val="BodyText"/>
              <w:keepNext/>
              <w:spacing w:after="0" w:line="360" w:lineRule="auto"/>
              <w:ind w:left="-240" w:right="-240" w:leftChars="-100" w:rightChars="-100"/>
              <w:rPr>
                <w:rFonts w:ascii="宋体" w:hAnsi="宋体" w:cs="宋体"/>
                <w:color w:val="000000"/>
                <w:sz w:val="24"/>
                <w:szCs w:val="24"/>
              </w:rPr>
            </w:pPr>
          </w:p>
        </w:tc>
        <w:tc>
          <w:tcPr>
            <w:tcW w:w="3603" w:type="dxa"/>
            <w:tcBorders>
              <w:top w:val="single" w:sz="4" w:space="0" w:color="auto"/>
              <w:left w:val="single" w:sz="4" w:space="0" w:color="auto"/>
              <w:bottom w:val="single" w:sz="12" w:space="0" w:color="auto"/>
              <w:right w:val="single" w:sz="4" w:space="0" w:color="auto"/>
            </w:tcBorders>
            <w:vAlign w:val="center"/>
          </w:tcPr>
          <w:p w14:paraId="10E422CB">
            <w:pPr>
              <w:pStyle w:val="BodyText"/>
              <w:keepNext/>
              <w:spacing w:after="0" w:line="360" w:lineRule="auto"/>
              <w:ind w:left="-240" w:right="-240" w:leftChars="-100" w:rightChars="-100"/>
              <w:rPr>
                <w:rFonts w:ascii="宋体" w:hAnsi="宋体" w:cs="宋体"/>
                <w:color w:val="000000"/>
                <w:sz w:val="24"/>
                <w:szCs w:val="24"/>
              </w:rPr>
            </w:pPr>
          </w:p>
        </w:tc>
        <w:tc>
          <w:tcPr>
            <w:tcW w:w="1991" w:type="dxa"/>
            <w:tcBorders>
              <w:top w:val="single" w:sz="4" w:space="0" w:color="auto"/>
              <w:left w:val="single" w:sz="4" w:space="0" w:color="auto"/>
              <w:bottom w:val="single" w:sz="12" w:space="0" w:color="auto"/>
              <w:right w:val="single" w:sz="4" w:space="0" w:color="auto"/>
            </w:tcBorders>
            <w:vAlign w:val="center"/>
          </w:tcPr>
          <w:p w14:paraId="6DC2736B">
            <w:pPr>
              <w:pStyle w:val="BodyText"/>
              <w:keepNext/>
              <w:spacing w:after="0" w:line="360" w:lineRule="auto"/>
              <w:ind w:left="-240" w:right="-240" w:leftChars="-100" w:rightChars="-100"/>
              <w:rPr>
                <w:rFonts w:ascii="宋体" w:hAnsi="宋体" w:cs="宋体"/>
                <w:color w:val="000000"/>
                <w:sz w:val="24"/>
                <w:szCs w:val="24"/>
              </w:rPr>
            </w:pPr>
          </w:p>
        </w:tc>
        <w:tc>
          <w:tcPr>
            <w:tcW w:w="2198" w:type="dxa"/>
            <w:tcBorders>
              <w:top w:val="single" w:sz="4" w:space="0" w:color="auto"/>
              <w:left w:val="single" w:sz="4" w:space="0" w:color="auto"/>
              <w:bottom w:val="single" w:sz="12" w:space="0" w:color="auto"/>
              <w:right w:val="single" w:sz="4" w:space="0" w:color="auto"/>
            </w:tcBorders>
            <w:vAlign w:val="center"/>
          </w:tcPr>
          <w:p w14:paraId="04C0EB8E">
            <w:pPr>
              <w:pStyle w:val="BodyText"/>
              <w:keepNext/>
              <w:spacing w:after="0" w:line="360" w:lineRule="auto"/>
              <w:ind w:left="-240" w:right="-240" w:leftChars="-100" w:rightChars="-100"/>
              <w:rPr>
                <w:rFonts w:ascii="宋体" w:hAnsi="宋体" w:cs="宋体"/>
                <w:color w:val="000000"/>
                <w:sz w:val="24"/>
                <w:szCs w:val="24"/>
              </w:rPr>
            </w:pPr>
          </w:p>
        </w:tc>
        <w:tc>
          <w:tcPr>
            <w:tcW w:w="1036" w:type="dxa"/>
            <w:tcBorders>
              <w:top w:val="single" w:sz="4" w:space="0" w:color="auto"/>
              <w:left w:val="single" w:sz="4" w:space="0" w:color="auto"/>
              <w:bottom w:val="single" w:sz="12" w:space="0" w:color="auto"/>
              <w:right w:val="single" w:sz="12" w:space="0" w:color="auto"/>
            </w:tcBorders>
            <w:vAlign w:val="center"/>
          </w:tcPr>
          <w:p w14:paraId="42795C8A">
            <w:pPr>
              <w:pStyle w:val="BodyText"/>
              <w:keepNext/>
              <w:spacing w:after="0" w:line="360" w:lineRule="auto"/>
              <w:ind w:left="-240" w:right="-240" w:leftChars="-100" w:rightChars="-100"/>
              <w:rPr>
                <w:rFonts w:ascii="宋体" w:hAnsi="宋体" w:cs="宋体"/>
                <w:color w:val="000000"/>
                <w:sz w:val="24"/>
                <w:szCs w:val="24"/>
              </w:rPr>
            </w:pPr>
          </w:p>
        </w:tc>
      </w:tr>
    </w:tbl>
    <w:p w14:paraId="7A620711">
      <w:pPr>
        <w:spacing w:line="360" w:lineRule="auto"/>
        <w:rPr>
          <w:rFonts w:ascii="宋体" w:hAnsi="宋体" w:cs="宋体"/>
          <w:color w:val="000000"/>
          <w:highlight w:val="red"/>
        </w:rPr>
        <w:sectPr>
          <w:pgSz w:w="16838" w:h="11906" w:orient="landscape"/>
          <w:pgMar w:top="1757" w:right="1531" w:bottom="1757" w:left="1531" w:header="851" w:footer="992" w:gutter="0"/>
          <w:cols w:num="1" w:space="720"/>
          <w:docGrid w:type="lines" w:linePitch="312" w:charSpace="0"/>
        </w:sectPr>
      </w:pPr>
    </w:p>
    <w:p w14:paraId="6A734E32">
      <w:pPr>
        <w:spacing w:line="360" w:lineRule="auto"/>
        <w:ind w:left="-240" w:right="-240" w:leftChars="-100" w:rightChars="-100"/>
        <w:outlineLvl w:val="1"/>
        <w:rPr>
          <w:rFonts w:ascii="宋体" w:hAnsi="宋体" w:cs="宋体"/>
          <w:b/>
          <w:bCs/>
          <w:kern w:val="2"/>
        </w:rPr>
      </w:pPr>
      <w:bookmarkStart w:id="1463" w:name="_Toc41530498"/>
      <w:bookmarkStart w:id="1464" w:name="_Toc935379669"/>
      <w:bookmarkStart w:id="1465" w:name="_Toc1616868245"/>
      <w:r>
        <w:rPr>
          <w:rFonts w:ascii="宋体" w:hAnsi="宋体" w:cs="宋体" w:hint="eastAsia"/>
          <w:b/>
          <w:bCs/>
        </w:rPr>
        <w:t>附件3：</w:t>
      </w:r>
      <w:bookmarkEnd w:id="1463"/>
      <w:bookmarkEnd w:id="1464"/>
      <w:bookmarkEnd w:id="1465"/>
    </w:p>
    <w:p w14:paraId="4646F4FA">
      <w:pPr>
        <w:spacing w:line="360" w:lineRule="auto"/>
        <w:ind w:left="-240" w:right="-240" w:leftChars="-100" w:rightChars="-100"/>
        <w:jc w:val="center"/>
        <w:outlineLvl w:val="1"/>
        <w:rPr>
          <w:rFonts w:ascii="宋体" w:hAnsi="宋体" w:cs="宋体"/>
        </w:rPr>
      </w:pPr>
      <w:bookmarkStart w:id="1466" w:name="_Toc698560855"/>
      <w:bookmarkStart w:id="1467" w:name="_Toc9180"/>
      <w:bookmarkStart w:id="1468" w:name="_Toc608362669"/>
      <w:bookmarkStart w:id="1469" w:name="_Toc23614"/>
      <w:bookmarkStart w:id="1470" w:name="_Toc1160"/>
      <w:bookmarkStart w:id="1471" w:name="_Toc30400"/>
      <w:bookmarkStart w:id="1472" w:name="_Toc1635"/>
      <w:r>
        <w:rPr>
          <w:rFonts w:ascii="宋体" w:hAnsi="宋体" w:cs="宋体" w:hint="eastAsia"/>
        </w:rPr>
        <w:t>暂估价一览表</w:t>
      </w:r>
      <w:bookmarkEnd w:id="1466"/>
      <w:bookmarkEnd w:id="1467"/>
      <w:bookmarkEnd w:id="1468"/>
      <w:bookmarkEnd w:id="1469"/>
      <w:bookmarkEnd w:id="1470"/>
      <w:bookmarkEnd w:id="1471"/>
      <w:bookmarkEnd w:id="1472"/>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28" w:type="dxa"/>
          <w:bottom w:w="0" w:type="dxa"/>
          <w:right w:w="28" w:type="dxa"/>
        </w:tblCellMar>
      </w:tblPr>
      <w:tblGrid>
        <w:gridCol w:w="798"/>
        <w:gridCol w:w="1974"/>
        <w:gridCol w:w="792"/>
        <w:gridCol w:w="721"/>
        <w:gridCol w:w="1259"/>
        <w:gridCol w:w="1320"/>
        <w:gridCol w:w="1584"/>
      </w:tblGrid>
      <w:tr w14:paraId="21B9574A">
        <w:tblPrEx>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28" w:type="dxa"/>
            <w:bottom w:w="0" w:type="dxa"/>
            <w:right w:w="28" w:type="dxa"/>
          </w:tblCellMar>
        </w:tblPrEx>
        <w:trPr>
          <w:trHeight w:val="710"/>
          <w:jc w:val="center"/>
        </w:trPr>
        <w:tc>
          <w:tcPr>
            <w:tcW w:w="798" w:type="dxa"/>
            <w:tcBorders>
              <w:top w:val="single" w:sz="12" w:space="0" w:color="auto"/>
              <w:left w:val="single" w:sz="12" w:space="0" w:color="auto"/>
              <w:bottom w:val="single" w:sz="4" w:space="0" w:color="auto"/>
              <w:right w:val="single" w:sz="4" w:space="0" w:color="auto"/>
            </w:tcBorders>
            <w:vAlign w:val="center"/>
          </w:tcPr>
          <w:p w14:paraId="2A2F1FFE">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序号</w:t>
            </w:r>
          </w:p>
        </w:tc>
        <w:tc>
          <w:tcPr>
            <w:tcW w:w="1974" w:type="dxa"/>
            <w:tcBorders>
              <w:top w:val="single" w:sz="12" w:space="0" w:color="auto"/>
              <w:left w:val="single" w:sz="4" w:space="0" w:color="auto"/>
              <w:bottom w:val="single" w:sz="4" w:space="0" w:color="auto"/>
              <w:right w:val="single" w:sz="4" w:space="0" w:color="auto"/>
            </w:tcBorders>
            <w:vAlign w:val="center"/>
          </w:tcPr>
          <w:p w14:paraId="634863BE">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名称</w:t>
            </w:r>
          </w:p>
        </w:tc>
        <w:tc>
          <w:tcPr>
            <w:tcW w:w="792" w:type="dxa"/>
            <w:tcBorders>
              <w:top w:val="single" w:sz="12" w:space="0" w:color="auto"/>
              <w:left w:val="single" w:sz="4" w:space="0" w:color="auto"/>
              <w:bottom w:val="single" w:sz="4" w:space="0" w:color="auto"/>
              <w:right w:val="single" w:sz="4" w:space="0" w:color="auto"/>
            </w:tcBorders>
            <w:vAlign w:val="center"/>
          </w:tcPr>
          <w:p w14:paraId="4D5BECB8">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单位</w:t>
            </w:r>
          </w:p>
        </w:tc>
        <w:tc>
          <w:tcPr>
            <w:tcW w:w="721" w:type="dxa"/>
            <w:tcBorders>
              <w:top w:val="single" w:sz="12" w:space="0" w:color="auto"/>
              <w:left w:val="single" w:sz="4" w:space="0" w:color="auto"/>
              <w:bottom w:val="single" w:sz="4" w:space="0" w:color="auto"/>
              <w:right w:val="single" w:sz="4" w:space="0" w:color="auto"/>
            </w:tcBorders>
            <w:vAlign w:val="center"/>
          </w:tcPr>
          <w:p w14:paraId="4A98CEB1">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数量</w:t>
            </w:r>
          </w:p>
        </w:tc>
        <w:tc>
          <w:tcPr>
            <w:tcW w:w="1259" w:type="dxa"/>
            <w:tcBorders>
              <w:top w:val="single" w:sz="12" w:space="0" w:color="auto"/>
              <w:left w:val="single" w:sz="4" w:space="0" w:color="auto"/>
              <w:bottom w:val="single" w:sz="4" w:space="0" w:color="auto"/>
              <w:right w:val="single" w:sz="4" w:space="0" w:color="auto"/>
            </w:tcBorders>
            <w:vAlign w:val="center"/>
          </w:tcPr>
          <w:p w14:paraId="02DA4D6C">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单价（元）</w:t>
            </w:r>
          </w:p>
        </w:tc>
        <w:tc>
          <w:tcPr>
            <w:tcW w:w="1320" w:type="dxa"/>
            <w:tcBorders>
              <w:top w:val="single" w:sz="12" w:space="0" w:color="auto"/>
              <w:left w:val="single" w:sz="4" w:space="0" w:color="auto"/>
              <w:bottom w:val="single" w:sz="4" w:space="0" w:color="auto"/>
              <w:right w:val="single" w:sz="4" w:space="0" w:color="auto"/>
            </w:tcBorders>
            <w:vAlign w:val="center"/>
          </w:tcPr>
          <w:p w14:paraId="35830DB9">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合价（元）</w:t>
            </w:r>
          </w:p>
        </w:tc>
        <w:tc>
          <w:tcPr>
            <w:tcW w:w="1584" w:type="dxa"/>
            <w:tcBorders>
              <w:top w:val="single" w:sz="12" w:space="0" w:color="auto"/>
              <w:left w:val="single" w:sz="4" w:space="0" w:color="auto"/>
              <w:bottom w:val="single" w:sz="4" w:space="0" w:color="auto"/>
              <w:right w:val="single" w:sz="12" w:space="0" w:color="auto"/>
            </w:tcBorders>
            <w:vAlign w:val="center"/>
          </w:tcPr>
          <w:p w14:paraId="59E28BE8">
            <w:pPr>
              <w:pStyle w:val="BodyText"/>
              <w:keepNext/>
              <w:spacing w:after="0" w:line="360" w:lineRule="auto"/>
              <w:ind w:left="-240" w:right="-240" w:leftChars="-100" w:rightChars="-100"/>
              <w:rPr>
                <w:rFonts w:ascii="宋体" w:hAnsi="宋体" w:cs="宋体"/>
                <w:color w:val="000000"/>
                <w:sz w:val="24"/>
                <w:szCs w:val="24"/>
              </w:rPr>
            </w:pPr>
            <w:r>
              <w:rPr>
                <w:rFonts w:ascii="宋体" w:hAnsi="宋体" w:cs="宋体" w:hint="eastAsia"/>
                <w:color w:val="000000"/>
                <w:sz w:val="24"/>
                <w:szCs w:val="24"/>
              </w:rPr>
              <w:t>备注</w:t>
            </w:r>
          </w:p>
        </w:tc>
      </w:tr>
      <w:tr w14:paraId="51B5A082">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78279E56">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3B1AADC9">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3ACF9C67">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1B062F12">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7321B0F8">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050C79EB">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7D261727">
            <w:pPr>
              <w:pStyle w:val="BodyText"/>
              <w:keepNext/>
              <w:spacing w:after="0" w:line="360" w:lineRule="auto"/>
              <w:ind w:left="-240" w:right="-240" w:leftChars="-100" w:rightChars="-100"/>
              <w:rPr>
                <w:rFonts w:ascii="宋体" w:hAnsi="宋体" w:cs="宋体"/>
                <w:color w:val="000000"/>
                <w:sz w:val="24"/>
                <w:szCs w:val="24"/>
              </w:rPr>
            </w:pPr>
          </w:p>
        </w:tc>
      </w:tr>
      <w:tr w14:paraId="18820339">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7AE86402">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02C7CF0C">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0CF98979">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50FC7992">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56F3DE81">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618F0F0B">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13093B2E">
            <w:pPr>
              <w:pStyle w:val="BodyText"/>
              <w:keepNext/>
              <w:spacing w:after="0" w:line="360" w:lineRule="auto"/>
              <w:ind w:left="-240" w:right="-240" w:leftChars="-100" w:rightChars="-100"/>
              <w:rPr>
                <w:rFonts w:ascii="宋体" w:hAnsi="宋体" w:cs="宋体"/>
                <w:color w:val="000000"/>
                <w:sz w:val="24"/>
                <w:szCs w:val="24"/>
              </w:rPr>
            </w:pPr>
          </w:p>
        </w:tc>
      </w:tr>
      <w:tr w14:paraId="00CDE43C">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3F8E6B13">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4621DC93">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7D954F08">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0FBB3F18">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10359B87">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400A45B5">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4D29EF93">
            <w:pPr>
              <w:pStyle w:val="BodyText"/>
              <w:keepNext/>
              <w:spacing w:after="0" w:line="360" w:lineRule="auto"/>
              <w:ind w:left="-240" w:right="-240" w:leftChars="-100" w:rightChars="-100"/>
              <w:rPr>
                <w:rFonts w:ascii="宋体" w:hAnsi="宋体" w:cs="宋体"/>
                <w:color w:val="000000"/>
                <w:sz w:val="24"/>
                <w:szCs w:val="24"/>
              </w:rPr>
            </w:pPr>
          </w:p>
        </w:tc>
      </w:tr>
      <w:tr w14:paraId="3AC250D9">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69BABD47">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31D12F92">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65093475">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0C47DDD2">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4D48624F">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12E7802D">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4C53BFBE">
            <w:pPr>
              <w:pStyle w:val="BodyText"/>
              <w:keepNext/>
              <w:spacing w:after="0" w:line="360" w:lineRule="auto"/>
              <w:ind w:left="-240" w:right="-240" w:leftChars="-100" w:rightChars="-100"/>
              <w:rPr>
                <w:rFonts w:ascii="宋体" w:hAnsi="宋体" w:cs="宋体"/>
                <w:color w:val="000000"/>
                <w:sz w:val="24"/>
                <w:szCs w:val="24"/>
              </w:rPr>
            </w:pPr>
          </w:p>
        </w:tc>
      </w:tr>
      <w:tr w14:paraId="136B4BE7">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3E914522">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0BB50707">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32E4FA73">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3B6BAE9F">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257A25CF">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21B923B2">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43E06863">
            <w:pPr>
              <w:pStyle w:val="BodyText"/>
              <w:keepNext/>
              <w:spacing w:after="0" w:line="360" w:lineRule="auto"/>
              <w:ind w:left="-240" w:right="-240" w:leftChars="-100" w:rightChars="-100"/>
              <w:rPr>
                <w:rFonts w:ascii="宋体" w:hAnsi="宋体" w:cs="宋体"/>
                <w:color w:val="000000"/>
                <w:sz w:val="24"/>
                <w:szCs w:val="24"/>
              </w:rPr>
            </w:pPr>
          </w:p>
        </w:tc>
      </w:tr>
      <w:tr w14:paraId="7AA02FD2">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2C3EF30D">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1346D7AA">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6582598F">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50CC84E5">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7A91D2E1">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6185EB23">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488D94C7">
            <w:pPr>
              <w:pStyle w:val="BodyText"/>
              <w:keepNext/>
              <w:spacing w:after="0" w:line="360" w:lineRule="auto"/>
              <w:ind w:left="-240" w:right="-240" w:leftChars="-100" w:rightChars="-100"/>
              <w:rPr>
                <w:rFonts w:ascii="宋体" w:hAnsi="宋体" w:cs="宋体"/>
                <w:color w:val="000000"/>
                <w:sz w:val="24"/>
                <w:szCs w:val="24"/>
              </w:rPr>
            </w:pPr>
          </w:p>
        </w:tc>
      </w:tr>
      <w:tr w14:paraId="7952E1CE">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6E8CE260">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78DB8E54">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581F129D">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3C0803C9">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0364ABD1">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158ED50A">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0B255557">
            <w:pPr>
              <w:pStyle w:val="BodyText"/>
              <w:keepNext/>
              <w:spacing w:after="0" w:line="360" w:lineRule="auto"/>
              <w:ind w:left="-240" w:right="-240" w:leftChars="-100" w:rightChars="-100"/>
              <w:rPr>
                <w:rFonts w:ascii="宋体" w:hAnsi="宋体" w:cs="宋体"/>
                <w:color w:val="000000"/>
                <w:sz w:val="24"/>
                <w:szCs w:val="24"/>
              </w:rPr>
            </w:pPr>
          </w:p>
        </w:tc>
      </w:tr>
      <w:tr w14:paraId="65D8D69E">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6CDFA263">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77FEE890">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577F4400">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3CCA8580">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12507CC2">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5ADEE289">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165CA554">
            <w:pPr>
              <w:pStyle w:val="BodyText"/>
              <w:keepNext/>
              <w:spacing w:after="0" w:line="360" w:lineRule="auto"/>
              <w:ind w:left="-240" w:right="-240" w:leftChars="-100" w:rightChars="-100"/>
              <w:rPr>
                <w:rFonts w:ascii="宋体" w:hAnsi="宋体" w:cs="宋体"/>
                <w:color w:val="000000"/>
                <w:sz w:val="24"/>
                <w:szCs w:val="24"/>
              </w:rPr>
            </w:pPr>
          </w:p>
        </w:tc>
      </w:tr>
      <w:tr w14:paraId="56190701">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21897E29">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4BFF4CE4">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38B519EC">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1E99F060">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37613957">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19DEB30B">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636307A4">
            <w:pPr>
              <w:pStyle w:val="BodyText"/>
              <w:keepNext/>
              <w:spacing w:after="0" w:line="360" w:lineRule="auto"/>
              <w:ind w:left="-240" w:right="-240" w:leftChars="-100" w:rightChars="-100"/>
              <w:rPr>
                <w:rFonts w:ascii="宋体" w:hAnsi="宋体" w:cs="宋体"/>
                <w:color w:val="000000"/>
                <w:sz w:val="24"/>
                <w:szCs w:val="24"/>
              </w:rPr>
            </w:pPr>
          </w:p>
        </w:tc>
      </w:tr>
      <w:tr w14:paraId="1156BDD7">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1E62727A">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4F91D89E">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708E1C1B">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06FDD468">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354D7CFA">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3DABD7B8">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43933FD7">
            <w:pPr>
              <w:pStyle w:val="BodyText"/>
              <w:keepNext/>
              <w:spacing w:after="0" w:line="360" w:lineRule="auto"/>
              <w:ind w:left="-240" w:right="-240" w:leftChars="-100" w:rightChars="-100"/>
              <w:rPr>
                <w:rFonts w:ascii="宋体" w:hAnsi="宋体" w:cs="宋体"/>
                <w:color w:val="000000"/>
                <w:sz w:val="24"/>
                <w:szCs w:val="24"/>
              </w:rPr>
            </w:pPr>
          </w:p>
        </w:tc>
      </w:tr>
      <w:tr w14:paraId="3476B88A">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556F37C7">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027EAC9B">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73896795">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34B38F1D">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76A20D91">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53D12866">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59F87201">
            <w:pPr>
              <w:pStyle w:val="BodyText"/>
              <w:keepNext/>
              <w:spacing w:after="0" w:line="360" w:lineRule="auto"/>
              <w:ind w:left="-240" w:right="-240" w:leftChars="-100" w:rightChars="-100"/>
              <w:rPr>
                <w:rFonts w:ascii="宋体" w:hAnsi="宋体" w:cs="宋体"/>
                <w:color w:val="000000"/>
                <w:sz w:val="24"/>
                <w:szCs w:val="24"/>
              </w:rPr>
            </w:pPr>
          </w:p>
        </w:tc>
      </w:tr>
      <w:tr w14:paraId="1975C63F">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025A07E4">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6F461B46">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14A7D8C1">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56CE304D">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438B06B5">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20EF6D77">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6BC594A0">
            <w:pPr>
              <w:pStyle w:val="BodyText"/>
              <w:keepNext/>
              <w:spacing w:after="0" w:line="360" w:lineRule="auto"/>
              <w:ind w:left="-240" w:right="-240" w:leftChars="-100" w:rightChars="-100"/>
              <w:rPr>
                <w:rFonts w:ascii="宋体" w:hAnsi="宋体" w:cs="宋体"/>
                <w:color w:val="000000"/>
                <w:sz w:val="24"/>
                <w:szCs w:val="24"/>
              </w:rPr>
            </w:pPr>
          </w:p>
        </w:tc>
      </w:tr>
      <w:tr w14:paraId="5C973865">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3D3E1CE6">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6F815FD3">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2B9F09C8">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4EA4B6E7">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06299572">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3CDBDFD5">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4CC9114B">
            <w:pPr>
              <w:pStyle w:val="BodyText"/>
              <w:keepNext/>
              <w:spacing w:after="0" w:line="360" w:lineRule="auto"/>
              <w:ind w:left="-240" w:right="-240" w:leftChars="-100" w:rightChars="-100"/>
              <w:rPr>
                <w:rFonts w:ascii="宋体" w:hAnsi="宋体" w:cs="宋体"/>
                <w:color w:val="000000"/>
                <w:sz w:val="24"/>
                <w:szCs w:val="24"/>
              </w:rPr>
            </w:pPr>
          </w:p>
        </w:tc>
      </w:tr>
      <w:tr w14:paraId="1196ACD2">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2ADD72AA">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44727B6E">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2CAF4157">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1E8B18D3">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22C3EA9B">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2C7E03D9">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5AE2179F">
            <w:pPr>
              <w:pStyle w:val="BodyText"/>
              <w:keepNext/>
              <w:spacing w:after="0" w:line="360" w:lineRule="auto"/>
              <w:ind w:left="-240" w:right="-240" w:leftChars="-100" w:rightChars="-100"/>
              <w:rPr>
                <w:rFonts w:ascii="宋体" w:hAnsi="宋体" w:cs="宋体"/>
                <w:color w:val="000000"/>
                <w:sz w:val="24"/>
                <w:szCs w:val="24"/>
              </w:rPr>
            </w:pPr>
          </w:p>
        </w:tc>
      </w:tr>
      <w:tr w14:paraId="795A8414">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61780F3B">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5AE1C45B">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68FE4B9E">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0A175C8E">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55B71903">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60ED65D9">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57AB7E21">
            <w:pPr>
              <w:pStyle w:val="BodyText"/>
              <w:keepNext/>
              <w:spacing w:after="0" w:line="360" w:lineRule="auto"/>
              <w:ind w:left="-240" w:right="-240" w:leftChars="-100" w:rightChars="-100"/>
              <w:rPr>
                <w:rFonts w:ascii="宋体" w:hAnsi="宋体" w:cs="宋体"/>
                <w:color w:val="000000"/>
                <w:sz w:val="24"/>
                <w:szCs w:val="24"/>
              </w:rPr>
            </w:pPr>
          </w:p>
        </w:tc>
      </w:tr>
      <w:tr w14:paraId="1A4EDED8">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4" w:space="0" w:color="auto"/>
              <w:right w:val="single" w:sz="4" w:space="0" w:color="auto"/>
            </w:tcBorders>
          </w:tcPr>
          <w:p w14:paraId="5380BC0B">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4" w:space="0" w:color="auto"/>
              <w:right w:val="single" w:sz="4" w:space="0" w:color="auto"/>
            </w:tcBorders>
          </w:tcPr>
          <w:p w14:paraId="6D4B046C">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4" w:space="0" w:color="auto"/>
              <w:right w:val="single" w:sz="4" w:space="0" w:color="auto"/>
            </w:tcBorders>
          </w:tcPr>
          <w:p w14:paraId="09DABA69">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4" w:space="0" w:color="auto"/>
              <w:right w:val="single" w:sz="4" w:space="0" w:color="auto"/>
            </w:tcBorders>
          </w:tcPr>
          <w:p w14:paraId="1CB18940">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4" w:space="0" w:color="auto"/>
              <w:right w:val="single" w:sz="4" w:space="0" w:color="auto"/>
            </w:tcBorders>
          </w:tcPr>
          <w:p w14:paraId="523DC49F">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4" w:space="0" w:color="auto"/>
              <w:right w:val="single" w:sz="4" w:space="0" w:color="auto"/>
            </w:tcBorders>
          </w:tcPr>
          <w:p w14:paraId="3BCE1649">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4" w:space="0" w:color="auto"/>
              <w:right w:val="single" w:sz="12" w:space="0" w:color="auto"/>
            </w:tcBorders>
          </w:tcPr>
          <w:p w14:paraId="5C95569C">
            <w:pPr>
              <w:pStyle w:val="BodyText"/>
              <w:keepNext/>
              <w:spacing w:after="0" w:line="360" w:lineRule="auto"/>
              <w:ind w:left="-240" w:right="-240" w:leftChars="-100" w:rightChars="-100"/>
              <w:rPr>
                <w:rFonts w:ascii="宋体" w:hAnsi="宋体" w:cs="宋体"/>
                <w:color w:val="000000"/>
                <w:sz w:val="24"/>
                <w:szCs w:val="24"/>
              </w:rPr>
            </w:pPr>
          </w:p>
        </w:tc>
      </w:tr>
      <w:tr w14:paraId="7B909559">
        <w:tblPrEx>
          <w:tblW w:w="0" w:type="auto"/>
          <w:jc w:val="center"/>
          <w:tblLayout w:type="fixed"/>
          <w:tblCellMar>
            <w:top w:w="0" w:type="dxa"/>
            <w:left w:w="28" w:type="dxa"/>
            <w:bottom w:w="0" w:type="dxa"/>
            <w:right w:w="28" w:type="dxa"/>
          </w:tblCellMar>
        </w:tblPrEx>
        <w:trPr>
          <w:trHeight w:val="567"/>
          <w:jc w:val="center"/>
        </w:trPr>
        <w:tc>
          <w:tcPr>
            <w:tcW w:w="798" w:type="dxa"/>
            <w:tcBorders>
              <w:top w:val="single" w:sz="4" w:space="0" w:color="auto"/>
              <w:left w:val="single" w:sz="12" w:space="0" w:color="auto"/>
              <w:bottom w:val="single" w:sz="12" w:space="0" w:color="auto"/>
              <w:right w:val="single" w:sz="4" w:space="0" w:color="auto"/>
            </w:tcBorders>
          </w:tcPr>
          <w:p w14:paraId="00120870">
            <w:pPr>
              <w:pStyle w:val="BodyText"/>
              <w:keepNext/>
              <w:spacing w:after="0" w:line="360" w:lineRule="auto"/>
              <w:ind w:left="-240" w:right="-240" w:leftChars="-100" w:rightChars="-100"/>
              <w:rPr>
                <w:rFonts w:ascii="宋体" w:hAnsi="宋体" w:cs="宋体"/>
                <w:color w:val="000000"/>
                <w:sz w:val="24"/>
                <w:szCs w:val="24"/>
              </w:rPr>
            </w:pPr>
          </w:p>
        </w:tc>
        <w:tc>
          <w:tcPr>
            <w:tcW w:w="1974" w:type="dxa"/>
            <w:tcBorders>
              <w:top w:val="single" w:sz="4" w:space="0" w:color="auto"/>
              <w:left w:val="single" w:sz="4" w:space="0" w:color="auto"/>
              <w:bottom w:val="single" w:sz="12" w:space="0" w:color="auto"/>
              <w:right w:val="single" w:sz="4" w:space="0" w:color="auto"/>
            </w:tcBorders>
          </w:tcPr>
          <w:p w14:paraId="6C5FC23E">
            <w:pPr>
              <w:pStyle w:val="BodyText"/>
              <w:keepNext/>
              <w:spacing w:after="0" w:line="360" w:lineRule="auto"/>
              <w:ind w:left="-240" w:right="-240" w:leftChars="-100" w:rightChars="-100"/>
              <w:rPr>
                <w:rFonts w:ascii="宋体" w:hAnsi="宋体" w:cs="宋体"/>
                <w:color w:val="000000"/>
                <w:sz w:val="24"/>
                <w:szCs w:val="24"/>
              </w:rPr>
            </w:pPr>
          </w:p>
        </w:tc>
        <w:tc>
          <w:tcPr>
            <w:tcW w:w="792" w:type="dxa"/>
            <w:tcBorders>
              <w:top w:val="single" w:sz="4" w:space="0" w:color="auto"/>
              <w:left w:val="single" w:sz="4" w:space="0" w:color="auto"/>
              <w:bottom w:val="single" w:sz="12" w:space="0" w:color="auto"/>
              <w:right w:val="single" w:sz="4" w:space="0" w:color="auto"/>
            </w:tcBorders>
          </w:tcPr>
          <w:p w14:paraId="7D08C797">
            <w:pPr>
              <w:pStyle w:val="BodyText"/>
              <w:keepNext/>
              <w:spacing w:after="0" w:line="360" w:lineRule="auto"/>
              <w:ind w:left="-240" w:right="-240" w:leftChars="-100" w:rightChars="-100"/>
              <w:rPr>
                <w:rFonts w:ascii="宋体" w:hAnsi="宋体" w:cs="宋体"/>
                <w:color w:val="000000"/>
                <w:sz w:val="24"/>
                <w:szCs w:val="24"/>
              </w:rPr>
            </w:pPr>
          </w:p>
        </w:tc>
        <w:tc>
          <w:tcPr>
            <w:tcW w:w="721" w:type="dxa"/>
            <w:tcBorders>
              <w:top w:val="single" w:sz="4" w:space="0" w:color="auto"/>
              <w:left w:val="single" w:sz="4" w:space="0" w:color="auto"/>
              <w:bottom w:val="single" w:sz="12" w:space="0" w:color="auto"/>
              <w:right w:val="single" w:sz="4" w:space="0" w:color="auto"/>
            </w:tcBorders>
          </w:tcPr>
          <w:p w14:paraId="3BAACE3F">
            <w:pPr>
              <w:pStyle w:val="BodyText"/>
              <w:keepNext/>
              <w:spacing w:after="0" w:line="360" w:lineRule="auto"/>
              <w:ind w:left="-240" w:right="-240" w:leftChars="-100" w:rightChars="-100"/>
              <w:rPr>
                <w:rFonts w:ascii="宋体" w:hAnsi="宋体" w:cs="宋体"/>
                <w:color w:val="000000"/>
                <w:sz w:val="24"/>
                <w:szCs w:val="24"/>
              </w:rPr>
            </w:pPr>
          </w:p>
        </w:tc>
        <w:tc>
          <w:tcPr>
            <w:tcW w:w="1259" w:type="dxa"/>
            <w:tcBorders>
              <w:top w:val="single" w:sz="4" w:space="0" w:color="auto"/>
              <w:left w:val="single" w:sz="4" w:space="0" w:color="auto"/>
              <w:bottom w:val="single" w:sz="12" w:space="0" w:color="auto"/>
              <w:right w:val="single" w:sz="4" w:space="0" w:color="auto"/>
            </w:tcBorders>
          </w:tcPr>
          <w:p w14:paraId="1E352FC7">
            <w:pPr>
              <w:pStyle w:val="BodyText"/>
              <w:keepNext/>
              <w:spacing w:after="0" w:line="360" w:lineRule="auto"/>
              <w:ind w:left="-240" w:right="-240" w:leftChars="-100" w:rightChars="-100"/>
              <w:rPr>
                <w:rFonts w:ascii="宋体" w:hAnsi="宋体" w:cs="宋体"/>
                <w:color w:val="000000"/>
                <w:sz w:val="24"/>
                <w:szCs w:val="24"/>
              </w:rPr>
            </w:pPr>
          </w:p>
        </w:tc>
        <w:tc>
          <w:tcPr>
            <w:tcW w:w="1320" w:type="dxa"/>
            <w:tcBorders>
              <w:top w:val="single" w:sz="4" w:space="0" w:color="auto"/>
              <w:left w:val="single" w:sz="4" w:space="0" w:color="auto"/>
              <w:bottom w:val="single" w:sz="12" w:space="0" w:color="auto"/>
              <w:right w:val="single" w:sz="4" w:space="0" w:color="auto"/>
            </w:tcBorders>
          </w:tcPr>
          <w:p w14:paraId="7414611D">
            <w:pPr>
              <w:pStyle w:val="BodyText"/>
              <w:keepNext/>
              <w:spacing w:after="0" w:line="360" w:lineRule="auto"/>
              <w:ind w:left="-240" w:right="-240" w:leftChars="-100" w:rightChars="-100"/>
              <w:rPr>
                <w:rFonts w:ascii="宋体" w:hAnsi="宋体" w:cs="宋体"/>
                <w:color w:val="000000"/>
                <w:sz w:val="24"/>
                <w:szCs w:val="24"/>
              </w:rPr>
            </w:pPr>
          </w:p>
        </w:tc>
        <w:tc>
          <w:tcPr>
            <w:tcW w:w="1584" w:type="dxa"/>
            <w:tcBorders>
              <w:top w:val="single" w:sz="4" w:space="0" w:color="auto"/>
              <w:left w:val="single" w:sz="4" w:space="0" w:color="auto"/>
              <w:bottom w:val="single" w:sz="12" w:space="0" w:color="auto"/>
              <w:right w:val="single" w:sz="12" w:space="0" w:color="auto"/>
            </w:tcBorders>
          </w:tcPr>
          <w:p w14:paraId="2A9C936A">
            <w:pPr>
              <w:pStyle w:val="BodyText"/>
              <w:keepNext/>
              <w:spacing w:after="0" w:line="360" w:lineRule="auto"/>
              <w:ind w:left="-240" w:right="-240" w:leftChars="-100" w:rightChars="-100"/>
              <w:rPr>
                <w:rFonts w:ascii="宋体" w:hAnsi="宋体" w:cs="宋体"/>
                <w:color w:val="000000"/>
                <w:sz w:val="24"/>
                <w:szCs w:val="24"/>
              </w:rPr>
            </w:pPr>
          </w:p>
        </w:tc>
      </w:tr>
    </w:tbl>
    <w:p w14:paraId="6532745C">
      <w:pPr>
        <w:spacing w:line="360" w:lineRule="auto"/>
        <w:ind w:left="-240" w:right="-240" w:leftChars="-100" w:rightChars="-100"/>
        <w:rPr>
          <w:rFonts w:ascii="宋体" w:hAnsi="宋体" w:cs="宋体"/>
          <w:kern w:val="2"/>
        </w:rPr>
      </w:pPr>
    </w:p>
    <w:p w14:paraId="08D0A357">
      <w:pPr>
        <w:spacing w:line="360" w:lineRule="auto"/>
        <w:rPr>
          <w:rFonts w:ascii="宋体" w:hAnsi="宋体" w:cs="宋体"/>
          <w:color w:val="000000"/>
        </w:rPr>
        <w:sectPr>
          <w:pgSz w:w="11906" w:h="16838"/>
          <w:pgMar w:top="2098" w:right="1757" w:bottom="1984" w:left="1757" w:header="851" w:footer="1417" w:gutter="0"/>
          <w:cols w:num="1" w:space="720"/>
          <w:docGrid w:type="lines" w:linePitch="312" w:charSpace="0"/>
        </w:sectPr>
      </w:pPr>
    </w:p>
    <w:p w14:paraId="651EDA2F">
      <w:pPr>
        <w:spacing w:line="360" w:lineRule="auto"/>
        <w:ind w:left="-240" w:right="-240" w:leftChars="-100" w:rightChars="-100"/>
        <w:outlineLvl w:val="1"/>
        <w:rPr>
          <w:rFonts w:ascii="宋体" w:hAnsi="宋体" w:cs="宋体"/>
          <w:b/>
          <w:bCs/>
        </w:rPr>
      </w:pPr>
      <w:bookmarkStart w:id="1473" w:name="_Toc1492274086"/>
      <w:bookmarkStart w:id="1474" w:name="_Toc785335212"/>
      <w:bookmarkStart w:id="1475" w:name="_Toc245732170"/>
      <w:r>
        <w:rPr>
          <w:rFonts w:ascii="宋体" w:hAnsi="宋体" w:cs="宋体" w:hint="eastAsia"/>
          <w:b/>
          <w:bCs/>
        </w:rPr>
        <w:t>附件4：</w:t>
      </w:r>
      <w:bookmarkEnd w:id="1473"/>
      <w:bookmarkEnd w:id="1474"/>
      <w:bookmarkEnd w:id="1475"/>
    </w:p>
    <w:p w14:paraId="3A62454C">
      <w:pPr>
        <w:spacing w:line="360" w:lineRule="auto"/>
        <w:ind w:left="-240" w:right="-240" w:leftChars="-100" w:rightChars="-100"/>
        <w:jc w:val="center"/>
        <w:outlineLvl w:val="1"/>
        <w:rPr>
          <w:rFonts w:ascii="宋体" w:hAnsi="宋体" w:cs="宋体"/>
          <w:lang w:eastAsia="zh-CN"/>
        </w:rPr>
      </w:pPr>
      <w:bookmarkStart w:id="1476" w:name="_Toc30933"/>
      <w:bookmarkStart w:id="1477" w:name="_Toc15104"/>
      <w:bookmarkStart w:id="1478" w:name="_Toc22735"/>
      <w:bookmarkStart w:id="1479" w:name="_Toc23900"/>
      <w:bookmarkStart w:id="1480" w:name="_Toc887574828"/>
      <w:bookmarkStart w:id="1481" w:name="_Toc101"/>
      <w:bookmarkStart w:id="1482" w:name="_Toc1935472469"/>
      <w:r>
        <w:rPr>
          <w:rFonts w:ascii="宋体" w:hAnsi="宋体" w:cs="宋体" w:hint="eastAsia"/>
          <w:bCs/>
          <w:lang w:eastAsia="zh-CN"/>
        </w:rPr>
        <w:t>发包人供应材料设备一览表</w:t>
      </w:r>
      <w:bookmarkEnd w:id="1476"/>
      <w:bookmarkEnd w:id="1477"/>
      <w:bookmarkEnd w:id="1478"/>
      <w:bookmarkEnd w:id="1479"/>
      <w:bookmarkEnd w:id="1480"/>
      <w:bookmarkEnd w:id="1481"/>
      <w:bookmarkEnd w:id="1482"/>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28" w:type="dxa"/>
          <w:bottom w:w="0" w:type="dxa"/>
          <w:right w:w="28" w:type="dxa"/>
        </w:tblCellMar>
      </w:tblPr>
      <w:tblGrid>
        <w:gridCol w:w="676"/>
        <w:gridCol w:w="1311"/>
        <w:gridCol w:w="1325"/>
        <w:gridCol w:w="879"/>
        <w:gridCol w:w="795"/>
        <w:gridCol w:w="975"/>
        <w:gridCol w:w="927"/>
        <w:gridCol w:w="695"/>
        <w:gridCol w:w="798"/>
        <w:gridCol w:w="519"/>
      </w:tblGrid>
      <w:tr w14:paraId="686F3F82">
        <w:tblPrEx>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28" w:type="dxa"/>
            <w:bottom w:w="0" w:type="dxa"/>
            <w:right w:w="28" w:type="dxa"/>
          </w:tblCellMar>
        </w:tblPrEx>
        <w:trPr>
          <w:trHeight w:val="700"/>
          <w:jc w:val="center"/>
        </w:trPr>
        <w:tc>
          <w:tcPr>
            <w:tcW w:w="676" w:type="dxa"/>
            <w:tcBorders>
              <w:top w:val="single" w:sz="12" w:space="0" w:color="auto"/>
              <w:left w:val="single" w:sz="12" w:space="0" w:color="auto"/>
              <w:bottom w:val="single" w:sz="4" w:space="0" w:color="auto"/>
              <w:right w:val="single" w:sz="4" w:space="0" w:color="auto"/>
            </w:tcBorders>
            <w:vAlign w:val="center"/>
          </w:tcPr>
          <w:p w14:paraId="2A9E95B9">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序号</w:t>
            </w:r>
          </w:p>
        </w:tc>
        <w:tc>
          <w:tcPr>
            <w:tcW w:w="1311" w:type="dxa"/>
            <w:tcBorders>
              <w:top w:val="single" w:sz="12" w:space="0" w:color="auto"/>
              <w:left w:val="single" w:sz="4" w:space="0" w:color="auto"/>
              <w:bottom w:val="single" w:sz="4" w:space="0" w:color="auto"/>
              <w:right w:val="single" w:sz="4" w:space="0" w:color="auto"/>
            </w:tcBorders>
            <w:vAlign w:val="center"/>
          </w:tcPr>
          <w:p w14:paraId="5F027985">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材  料、</w:t>
            </w:r>
          </w:p>
          <w:p w14:paraId="40CE220A">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设备品种</w:t>
            </w:r>
          </w:p>
        </w:tc>
        <w:tc>
          <w:tcPr>
            <w:tcW w:w="1325" w:type="dxa"/>
            <w:tcBorders>
              <w:top w:val="single" w:sz="12" w:space="0" w:color="auto"/>
              <w:left w:val="single" w:sz="4" w:space="0" w:color="auto"/>
              <w:bottom w:val="single" w:sz="4" w:space="0" w:color="auto"/>
              <w:right w:val="single" w:sz="4" w:space="0" w:color="auto"/>
            </w:tcBorders>
            <w:vAlign w:val="center"/>
          </w:tcPr>
          <w:p w14:paraId="074F4065">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规格型号</w:t>
            </w:r>
          </w:p>
        </w:tc>
        <w:tc>
          <w:tcPr>
            <w:tcW w:w="879" w:type="dxa"/>
            <w:tcBorders>
              <w:top w:val="single" w:sz="12" w:space="0" w:color="auto"/>
              <w:left w:val="single" w:sz="4" w:space="0" w:color="auto"/>
              <w:bottom w:val="single" w:sz="4" w:space="0" w:color="auto"/>
              <w:right w:val="single" w:sz="4" w:space="0" w:color="auto"/>
            </w:tcBorders>
            <w:vAlign w:val="center"/>
          </w:tcPr>
          <w:p w14:paraId="54C7E7DF">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单位</w:t>
            </w:r>
          </w:p>
        </w:tc>
        <w:tc>
          <w:tcPr>
            <w:tcW w:w="795" w:type="dxa"/>
            <w:tcBorders>
              <w:top w:val="single" w:sz="12" w:space="0" w:color="auto"/>
              <w:left w:val="single" w:sz="4" w:space="0" w:color="auto"/>
              <w:bottom w:val="single" w:sz="4" w:space="0" w:color="auto"/>
              <w:right w:val="single" w:sz="4" w:space="0" w:color="auto"/>
            </w:tcBorders>
            <w:vAlign w:val="center"/>
          </w:tcPr>
          <w:p w14:paraId="5D7859AF">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数量</w:t>
            </w:r>
          </w:p>
        </w:tc>
        <w:tc>
          <w:tcPr>
            <w:tcW w:w="975" w:type="dxa"/>
            <w:tcBorders>
              <w:top w:val="single" w:sz="12" w:space="0" w:color="auto"/>
              <w:left w:val="single" w:sz="4" w:space="0" w:color="auto"/>
              <w:bottom w:val="single" w:sz="4" w:space="0" w:color="auto"/>
              <w:right w:val="single" w:sz="4" w:space="0" w:color="auto"/>
            </w:tcBorders>
            <w:vAlign w:val="center"/>
          </w:tcPr>
          <w:p w14:paraId="3A64F4CF">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单价（元）</w:t>
            </w:r>
          </w:p>
        </w:tc>
        <w:tc>
          <w:tcPr>
            <w:tcW w:w="927" w:type="dxa"/>
            <w:tcBorders>
              <w:top w:val="single" w:sz="12" w:space="0" w:color="auto"/>
              <w:left w:val="single" w:sz="4" w:space="0" w:color="auto"/>
              <w:bottom w:val="single" w:sz="4" w:space="0" w:color="auto"/>
              <w:right w:val="single" w:sz="4" w:space="0" w:color="auto"/>
            </w:tcBorders>
            <w:vAlign w:val="center"/>
          </w:tcPr>
          <w:p w14:paraId="7BC60AF9">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质量</w:t>
            </w:r>
          </w:p>
          <w:p w14:paraId="005697F8">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等级</w:t>
            </w:r>
          </w:p>
        </w:tc>
        <w:tc>
          <w:tcPr>
            <w:tcW w:w="695" w:type="dxa"/>
            <w:tcBorders>
              <w:top w:val="single" w:sz="12" w:space="0" w:color="auto"/>
              <w:left w:val="single" w:sz="4" w:space="0" w:color="auto"/>
              <w:bottom w:val="single" w:sz="4" w:space="0" w:color="auto"/>
              <w:right w:val="single" w:sz="4" w:space="0" w:color="auto"/>
            </w:tcBorders>
            <w:vAlign w:val="center"/>
          </w:tcPr>
          <w:p w14:paraId="3E954600">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供应</w:t>
            </w:r>
          </w:p>
          <w:p w14:paraId="3E113D57">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时间</w:t>
            </w:r>
          </w:p>
        </w:tc>
        <w:tc>
          <w:tcPr>
            <w:tcW w:w="798" w:type="dxa"/>
            <w:tcBorders>
              <w:top w:val="single" w:sz="12" w:space="0" w:color="auto"/>
              <w:left w:val="single" w:sz="4" w:space="0" w:color="auto"/>
              <w:bottom w:val="single" w:sz="4" w:space="0" w:color="auto"/>
              <w:right w:val="single" w:sz="4" w:space="0" w:color="auto"/>
            </w:tcBorders>
            <w:vAlign w:val="center"/>
          </w:tcPr>
          <w:p w14:paraId="3281009D">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送达</w:t>
            </w:r>
          </w:p>
          <w:p w14:paraId="5E615031">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地点</w:t>
            </w:r>
          </w:p>
        </w:tc>
        <w:tc>
          <w:tcPr>
            <w:tcW w:w="519" w:type="dxa"/>
            <w:tcBorders>
              <w:top w:val="single" w:sz="12" w:space="0" w:color="auto"/>
              <w:left w:val="single" w:sz="4" w:space="0" w:color="auto"/>
              <w:bottom w:val="single" w:sz="4" w:space="0" w:color="auto"/>
              <w:right w:val="single" w:sz="12" w:space="0" w:color="auto"/>
            </w:tcBorders>
            <w:vAlign w:val="center"/>
          </w:tcPr>
          <w:p w14:paraId="5E7D1A5A">
            <w:pPr>
              <w:pStyle w:val="BodyText"/>
              <w:keepNext/>
              <w:snapToGrid w:val="0"/>
              <w:spacing w:after="0" w:line="360" w:lineRule="auto"/>
              <w:ind w:left="-240" w:right="-240" w:leftChars="-100" w:rightChars="-100"/>
              <w:jc w:val="right"/>
              <w:rPr>
                <w:rFonts w:ascii="宋体" w:hAnsi="宋体" w:cs="宋体"/>
                <w:sz w:val="24"/>
                <w:szCs w:val="24"/>
              </w:rPr>
            </w:pPr>
            <w:r>
              <w:rPr>
                <w:rFonts w:ascii="宋体" w:hAnsi="宋体" w:cs="宋体" w:hint="eastAsia"/>
                <w:sz w:val="24"/>
                <w:szCs w:val="24"/>
              </w:rPr>
              <w:t>备注</w:t>
            </w:r>
          </w:p>
        </w:tc>
      </w:tr>
      <w:tr w14:paraId="321E6C1C">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0113764D">
            <w:pPr>
              <w:pStyle w:val="BodyText"/>
              <w:keepNext/>
              <w:snapToGrid w:val="0"/>
              <w:spacing w:after="0" w:line="360" w:lineRule="auto"/>
              <w:ind w:left="-240" w:right="-240" w:firstLine="480" w:leftChars="-100" w:rightChars="-100"/>
              <w:rPr>
                <w:rFonts w:ascii="宋体" w:hAnsi="宋体" w:cs="宋体"/>
                <w:sz w:val="24"/>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41BFE7FD">
            <w:pPr>
              <w:pStyle w:val="BodyText"/>
              <w:keepNext/>
              <w:snapToGrid w:val="0"/>
              <w:spacing w:after="0" w:line="360" w:lineRule="auto"/>
              <w:ind w:left="-240" w:right="-240" w:firstLine="480" w:leftChars="-100" w:rightChars="-100"/>
              <w:rPr>
                <w:rFonts w:ascii="宋体" w:hAnsi="宋体" w:cs="宋体"/>
                <w:sz w:val="24"/>
                <w:szCs w:val="24"/>
              </w:rPr>
            </w:pPr>
          </w:p>
        </w:tc>
        <w:tc>
          <w:tcPr>
            <w:tcW w:w="1325" w:type="dxa"/>
            <w:tcBorders>
              <w:top w:val="single" w:sz="4" w:space="0" w:color="auto"/>
              <w:left w:val="single" w:sz="4" w:space="0" w:color="auto"/>
              <w:bottom w:val="single" w:sz="4" w:space="0" w:color="auto"/>
              <w:right w:val="single" w:sz="4" w:space="0" w:color="auto"/>
            </w:tcBorders>
            <w:vAlign w:val="center"/>
          </w:tcPr>
          <w:p w14:paraId="2778063E">
            <w:pPr>
              <w:pStyle w:val="BodyText"/>
              <w:keepNext/>
              <w:snapToGrid w:val="0"/>
              <w:spacing w:after="0" w:line="360" w:lineRule="auto"/>
              <w:ind w:left="-240" w:right="-240" w:firstLine="480" w:leftChars="-100" w:rightChars="-100"/>
              <w:rPr>
                <w:rFonts w:ascii="宋体" w:hAnsi="宋体" w:cs="宋体"/>
                <w:sz w:val="24"/>
                <w:szCs w:val="24"/>
              </w:rPr>
            </w:pPr>
          </w:p>
        </w:tc>
        <w:tc>
          <w:tcPr>
            <w:tcW w:w="879" w:type="dxa"/>
            <w:tcBorders>
              <w:top w:val="single" w:sz="4" w:space="0" w:color="auto"/>
              <w:left w:val="single" w:sz="4" w:space="0" w:color="auto"/>
              <w:bottom w:val="single" w:sz="4" w:space="0" w:color="auto"/>
              <w:right w:val="single" w:sz="4" w:space="0" w:color="auto"/>
            </w:tcBorders>
            <w:vAlign w:val="center"/>
          </w:tcPr>
          <w:p w14:paraId="4D664B73">
            <w:pPr>
              <w:pStyle w:val="BodyText"/>
              <w:keepNext/>
              <w:snapToGrid w:val="0"/>
              <w:spacing w:after="0" w:line="360" w:lineRule="auto"/>
              <w:ind w:left="-240" w:right="-240" w:firstLine="480" w:leftChars="-100" w:rightChars="-100"/>
              <w:rPr>
                <w:rFonts w:ascii="宋体" w:hAnsi="宋体" w:cs="宋体"/>
                <w:sz w:val="24"/>
                <w:szCs w:val="24"/>
              </w:rPr>
            </w:pPr>
          </w:p>
        </w:tc>
        <w:tc>
          <w:tcPr>
            <w:tcW w:w="795" w:type="dxa"/>
            <w:tcBorders>
              <w:top w:val="single" w:sz="4" w:space="0" w:color="auto"/>
              <w:left w:val="single" w:sz="4" w:space="0" w:color="auto"/>
              <w:bottom w:val="single" w:sz="4" w:space="0" w:color="auto"/>
              <w:right w:val="single" w:sz="4" w:space="0" w:color="auto"/>
            </w:tcBorders>
            <w:vAlign w:val="center"/>
          </w:tcPr>
          <w:p w14:paraId="4655D5E4">
            <w:pPr>
              <w:pStyle w:val="BodyText"/>
              <w:keepNext/>
              <w:snapToGrid w:val="0"/>
              <w:spacing w:after="0" w:line="360" w:lineRule="auto"/>
              <w:ind w:left="-240" w:right="-240" w:firstLine="480" w:leftChars="-100" w:rightChars="-100"/>
              <w:rPr>
                <w:rFonts w:ascii="宋体" w:hAnsi="宋体" w:cs="宋体"/>
                <w:sz w:val="24"/>
                <w:szCs w:val="24"/>
              </w:rPr>
            </w:pPr>
          </w:p>
        </w:tc>
        <w:tc>
          <w:tcPr>
            <w:tcW w:w="975" w:type="dxa"/>
            <w:tcBorders>
              <w:top w:val="single" w:sz="4" w:space="0" w:color="auto"/>
              <w:left w:val="single" w:sz="4" w:space="0" w:color="auto"/>
              <w:bottom w:val="single" w:sz="4" w:space="0" w:color="auto"/>
              <w:right w:val="single" w:sz="4" w:space="0" w:color="auto"/>
            </w:tcBorders>
            <w:vAlign w:val="center"/>
          </w:tcPr>
          <w:p w14:paraId="52869D54">
            <w:pPr>
              <w:pStyle w:val="BodyText"/>
              <w:keepNext/>
              <w:snapToGrid w:val="0"/>
              <w:spacing w:after="0" w:line="360" w:lineRule="auto"/>
              <w:ind w:left="-240" w:right="-240" w:firstLine="480" w:leftChars="-100" w:rightChars="-100"/>
              <w:rPr>
                <w:rFonts w:ascii="宋体" w:hAnsi="宋体" w:cs="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4750272F">
            <w:pPr>
              <w:pStyle w:val="BodyText"/>
              <w:keepNext/>
              <w:snapToGrid w:val="0"/>
              <w:spacing w:after="0" w:line="360" w:lineRule="auto"/>
              <w:ind w:left="-240" w:right="-240" w:firstLine="480" w:leftChars="-100" w:rightChars="-100"/>
              <w:rPr>
                <w:rFonts w:ascii="宋体" w:hAnsi="宋体" w:cs="宋体"/>
                <w:sz w:val="24"/>
                <w:szCs w:val="24"/>
              </w:rPr>
            </w:pPr>
          </w:p>
        </w:tc>
        <w:tc>
          <w:tcPr>
            <w:tcW w:w="695" w:type="dxa"/>
            <w:tcBorders>
              <w:top w:val="single" w:sz="4" w:space="0" w:color="auto"/>
              <w:left w:val="single" w:sz="4" w:space="0" w:color="auto"/>
              <w:bottom w:val="single" w:sz="4" w:space="0" w:color="auto"/>
              <w:right w:val="single" w:sz="4" w:space="0" w:color="auto"/>
            </w:tcBorders>
            <w:vAlign w:val="center"/>
          </w:tcPr>
          <w:p w14:paraId="0EA3EEA0">
            <w:pPr>
              <w:pStyle w:val="BodyText"/>
              <w:keepNext/>
              <w:snapToGrid w:val="0"/>
              <w:spacing w:after="0" w:line="360" w:lineRule="auto"/>
              <w:ind w:left="-240" w:right="-240" w:firstLine="480" w:leftChars="-100" w:rightChars="-100"/>
              <w:rPr>
                <w:rFonts w:ascii="宋体" w:hAnsi="宋体" w:cs="宋体"/>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tcPr>
          <w:p w14:paraId="4308D8CE">
            <w:pPr>
              <w:pStyle w:val="BodyText"/>
              <w:keepNext/>
              <w:snapToGrid w:val="0"/>
              <w:spacing w:after="0" w:line="360" w:lineRule="auto"/>
              <w:ind w:left="-240" w:right="-240" w:firstLine="480" w:leftChars="-100" w:rightChars="-100"/>
              <w:rPr>
                <w:rFonts w:ascii="宋体" w:hAnsi="宋体" w:cs="宋体"/>
                <w:sz w:val="24"/>
                <w:szCs w:val="24"/>
              </w:rPr>
            </w:pPr>
          </w:p>
        </w:tc>
        <w:tc>
          <w:tcPr>
            <w:tcW w:w="519" w:type="dxa"/>
            <w:tcBorders>
              <w:top w:val="single" w:sz="4" w:space="0" w:color="auto"/>
              <w:left w:val="single" w:sz="4" w:space="0" w:color="auto"/>
              <w:bottom w:val="single" w:sz="4" w:space="0" w:color="auto"/>
              <w:right w:val="single" w:sz="12" w:space="0" w:color="auto"/>
            </w:tcBorders>
            <w:vAlign w:val="center"/>
          </w:tcPr>
          <w:p w14:paraId="2E3F5E55">
            <w:pPr>
              <w:pStyle w:val="BodyText"/>
              <w:keepNext/>
              <w:snapToGrid w:val="0"/>
              <w:spacing w:after="0" w:line="360" w:lineRule="auto"/>
              <w:ind w:left="-240" w:right="-240" w:firstLine="480" w:leftChars="-100" w:rightChars="-100"/>
              <w:rPr>
                <w:rFonts w:ascii="宋体" w:hAnsi="宋体" w:cs="宋体"/>
                <w:sz w:val="24"/>
                <w:szCs w:val="24"/>
              </w:rPr>
            </w:pPr>
          </w:p>
        </w:tc>
      </w:tr>
      <w:tr w14:paraId="231A3FFA">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27D2CE0D">
            <w:pPr>
              <w:pStyle w:val="BodyText"/>
              <w:keepNext/>
              <w:snapToGrid w:val="0"/>
              <w:spacing w:after="0" w:line="360" w:lineRule="auto"/>
              <w:ind w:left="-240" w:right="-240" w:firstLine="480" w:leftChars="-100" w:rightChars="-100"/>
              <w:rPr>
                <w:rFonts w:ascii="宋体" w:hAnsi="宋体" w:cs="宋体"/>
                <w:sz w:val="24"/>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3AE1FDC7">
            <w:pPr>
              <w:pStyle w:val="BodyText"/>
              <w:keepNext/>
              <w:snapToGrid w:val="0"/>
              <w:spacing w:after="0" w:line="360" w:lineRule="auto"/>
              <w:ind w:left="-240" w:right="-240" w:firstLine="480" w:leftChars="-100" w:rightChars="-100"/>
              <w:rPr>
                <w:rFonts w:ascii="宋体" w:hAnsi="宋体" w:cs="宋体"/>
                <w:sz w:val="24"/>
                <w:szCs w:val="24"/>
              </w:rPr>
            </w:pPr>
          </w:p>
        </w:tc>
        <w:tc>
          <w:tcPr>
            <w:tcW w:w="1325" w:type="dxa"/>
            <w:tcBorders>
              <w:top w:val="single" w:sz="4" w:space="0" w:color="auto"/>
              <w:left w:val="single" w:sz="4" w:space="0" w:color="auto"/>
              <w:bottom w:val="single" w:sz="4" w:space="0" w:color="auto"/>
              <w:right w:val="single" w:sz="4" w:space="0" w:color="auto"/>
            </w:tcBorders>
            <w:vAlign w:val="center"/>
          </w:tcPr>
          <w:p w14:paraId="2F31E55F">
            <w:pPr>
              <w:pStyle w:val="BodyText"/>
              <w:keepNext/>
              <w:snapToGrid w:val="0"/>
              <w:spacing w:after="0" w:line="360" w:lineRule="auto"/>
              <w:ind w:left="-240" w:right="-240" w:firstLine="480" w:leftChars="-100" w:rightChars="-100"/>
              <w:rPr>
                <w:rFonts w:ascii="宋体" w:hAnsi="宋体" w:cs="宋体"/>
                <w:sz w:val="24"/>
                <w:szCs w:val="24"/>
              </w:rPr>
            </w:pPr>
          </w:p>
        </w:tc>
        <w:tc>
          <w:tcPr>
            <w:tcW w:w="879" w:type="dxa"/>
            <w:tcBorders>
              <w:top w:val="single" w:sz="4" w:space="0" w:color="auto"/>
              <w:left w:val="single" w:sz="4" w:space="0" w:color="auto"/>
              <w:bottom w:val="single" w:sz="4" w:space="0" w:color="auto"/>
              <w:right w:val="single" w:sz="4" w:space="0" w:color="auto"/>
            </w:tcBorders>
            <w:vAlign w:val="center"/>
          </w:tcPr>
          <w:p w14:paraId="07C409C0">
            <w:pPr>
              <w:pStyle w:val="BodyText"/>
              <w:keepNext/>
              <w:snapToGrid w:val="0"/>
              <w:spacing w:after="0" w:line="360" w:lineRule="auto"/>
              <w:ind w:left="-240" w:right="-240" w:firstLine="480" w:leftChars="-100" w:rightChars="-100"/>
              <w:rPr>
                <w:rFonts w:ascii="宋体" w:hAnsi="宋体" w:cs="宋体"/>
                <w:sz w:val="24"/>
                <w:szCs w:val="24"/>
              </w:rPr>
            </w:pPr>
          </w:p>
        </w:tc>
        <w:tc>
          <w:tcPr>
            <w:tcW w:w="795" w:type="dxa"/>
            <w:tcBorders>
              <w:top w:val="single" w:sz="4" w:space="0" w:color="auto"/>
              <w:left w:val="single" w:sz="4" w:space="0" w:color="auto"/>
              <w:bottom w:val="single" w:sz="4" w:space="0" w:color="auto"/>
              <w:right w:val="single" w:sz="4" w:space="0" w:color="auto"/>
            </w:tcBorders>
            <w:vAlign w:val="center"/>
          </w:tcPr>
          <w:p w14:paraId="3D5D8A00">
            <w:pPr>
              <w:pStyle w:val="BodyText"/>
              <w:keepNext/>
              <w:snapToGrid w:val="0"/>
              <w:spacing w:after="0" w:line="360" w:lineRule="auto"/>
              <w:ind w:left="-240" w:right="-240" w:firstLine="480" w:leftChars="-100" w:rightChars="-100"/>
              <w:rPr>
                <w:rFonts w:ascii="宋体" w:hAnsi="宋体" w:cs="宋体"/>
                <w:sz w:val="24"/>
                <w:szCs w:val="24"/>
              </w:rPr>
            </w:pPr>
          </w:p>
        </w:tc>
        <w:tc>
          <w:tcPr>
            <w:tcW w:w="975" w:type="dxa"/>
            <w:tcBorders>
              <w:top w:val="single" w:sz="4" w:space="0" w:color="auto"/>
              <w:left w:val="single" w:sz="4" w:space="0" w:color="auto"/>
              <w:bottom w:val="single" w:sz="4" w:space="0" w:color="auto"/>
              <w:right w:val="single" w:sz="4" w:space="0" w:color="auto"/>
            </w:tcBorders>
            <w:vAlign w:val="center"/>
          </w:tcPr>
          <w:p w14:paraId="6476B267">
            <w:pPr>
              <w:pStyle w:val="BodyText"/>
              <w:keepNext/>
              <w:snapToGrid w:val="0"/>
              <w:spacing w:after="0" w:line="360" w:lineRule="auto"/>
              <w:ind w:left="-240" w:right="-240" w:firstLine="480" w:leftChars="-100" w:rightChars="-100"/>
              <w:rPr>
                <w:rFonts w:ascii="宋体" w:hAnsi="宋体" w:cs="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27CA9F13">
            <w:pPr>
              <w:pStyle w:val="BodyText"/>
              <w:keepNext/>
              <w:snapToGrid w:val="0"/>
              <w:spacing w:after="0" w:line="360" w:lineRule="auto"/>
              <w:ind w:left="-240" w:right="-240" w:firstLine="480" w:leftChars="-100" w:rightChars="-100"/>
              <w:rPr>
                <w:rFonts w:ascii="宋体" w:hAnsi="宋体" w:cs="宋体"/>
                <w:sz w:val="24"/>
                <w:szCs w:val="24"/>
              </w:rPr>
            </w:pPr>
          </w:p>
        </w:tc>
        <w:tc>
          <w:tcPr>
            <w:tcW w:w="695" w:type="dxa"/>
            <w:tcBorders>
              <w:top w:val="single" w:sz="4" w:space="0" w:color="auto"/>
              <w:left w:val="single" w:sz="4" w:space="0" w:color="auto"/>
              <w:bottom w:val="single" w:sz="4" w:space="0" w:color="auto"/>
              <w:right w:val="single" w:sz="4" w:space="0" w:color="auto"/>
            </w:tcBorders>
            <w:vAlign w:val="center"/>
          </w:tcPr>
          <w:p w14:paraId="13FEDF73">
            <w:pPr>
              <w:pStyle w:val="BodyText"/>
              <w:keepNext/>
              <w:snapToGrid w:val="0"/>
              <w:spacing w:after="0" w:line="360" w:lineRule="auto"/>
              <w:ind w:left="-240" w:right="-240" w:firstLine="480" w:leftChars="-100" w:rightChars="-100"/>
              <w:rPr>
                <w:rFonts w:ascii="宋体" w:hAnsi="宋体" w:cs="宋体"/>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tcPr>
          <w:p w14:paraId="7E4FD9B0">
            <w:pPr>
              <w:pStyle w:val="BodyText"/>
              <w:keepNext/>
              <w:snapToGrid w:val="0"/>
              <w:spacing w:after="0" w:line="360" w:lineRule="auto"/>
              <w:ind w:left="-240" w:right="-240" w:firstLine="480" w:leftChars="-100" w:rightChars="-100"/>
              <w:rPr>
                <w:rFonts w:ascii="宋体" w:hAnsi="宋体" w:cs="宋体"/>
                <w:sz w:val="24"/>
                <w:szCs w:val="24"/>
              </w:rPr>
            </w:pPr>
          </w:p>
        </w:tc>
        <w:tc>
          <w:tcPr>
            <w:tcW w:w="519" w:type="dxa"/>
            <w:tcBorders>
              <w:top w:val="single" w:sz="4" w:space="0" w:color="auto"/>
              <w:left w:val="single" w:sz="4" w:space="0" w:color="auto"/>
              <w:bottom w:val="single" w:sz="4" w:space="0" w:color="auto"/>
              <w:right w:val="single" w:sz="12" w:space="0" w:color="auto"/>
            </w:tcBorders>
            <w:vAlign w:val="center"/>
          </w:tcPr>
          <w:p w14:paraId="066491E9">
            <w:pPr>
              <w:pStyle w:val="BodyText"/>
              <w:keepNext/>
              <w:snapToGrid w:val="0"/>
              <w:spacing w:after="0" w:line="360" w:lineRule="auto"/>
              <w:ind w:left="-240" w:right="-240" w:firstLine="480" w:leftChars="-100" w:rightChars="-100"/>
              <w:rPr>
                <w:rFonts w:ascii="宋体" w:hAnsi="宋体" w:cs="宋体"/>
                <w:sz w:val="24"/>
                <w:szCs w:val="24"/>
              </w:rPr>
            </w:pPr>
          </w:p>
        </w:tc>
      </w:tr>
      <w:tr w14:paraId="468783E5">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0FD0F012">
            <w:pPr>
              <w:pStyle w:val="BodyText"/>
              <w:keepNext/>
              <w:snapToGrid w:val="0"/>
              <w:spacing w:after="0" w:line="360" w:lineRule="auto"/>
              <w:ind w:left="-240" w:right="-240" w:firstLine="480" w:leftChars="-100" w:rightChars="-100"/>
              <w:rPr>
                <w:rFonts w:ascii="宋体" w:hAnsi="宋体" w:cs="宋体"/>
                <w:sz w:val="24"/>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7236FE76">
            <w:pPr>
              <w:pStyle w:val="BodyText"/>
              <w:keepNext/>
              <w:snapToGrid w:val="0"/>
              <w:spacing w:after="0" w:line="360" w:lineRule="auto"/>
              <w:ind w:left="-240" w:right="-240" w:firstLine="480" w:leftChars="-100" w:rightChars="-100"/>
              <w:rPr>
                <w:rFonts w:ascii="宋体" w:hAnsi="宋体" w:cs="宋体"/>
                <w:sz w:val="24"/>
                <w:szCs w:val="24"/>
              </w:rPr>
            </w:pPr>
          </w:p>
        </w:tc>
        <w:tc>
          <w:tcPr>
            <w:tcW w:w="1325" w:type="dxa"/>
            <w:tcBorders>
              <w:top w:val="single" w:sz="4" w:space="0" w:color="auto"/>
              <w:left w:val="single" w:sz="4" w:space="0" w:color="auto"/>
              <w:bottom w:val="single" w:sz="4" w:space="0" w:color="auto"/>
              <w:right w:val="single" w:sz="4" w:space="0" w:color="auto"/>
            </w:tcBorders>
            <w:vAlign w:val="center"/>
          </w:tcPr>
          <w:p w14:paraId="30BF7C42">
            <w:pPr>
              <w:pStyle w:val="BodyText"/>
              <w:keepNext/>
              <w:snapToGrid w:val="0"/>
              <w:spacing w:after="0" w:line="360" w:lineRule="auto"/>
              <w:ind w:left="-240" w:right="-240" w:firstLine="480" w:leftChars="-100" w:rightChars="-100"/>
              <w:rPr>
                <w:rFonts w:ascii="宋体" w:hAnsi="宋体" w:cs="宋体"/>
                <w:sz w:val="24"/>
                <w:szCs w:val="24"/>
              </w:rPr>
            </w:pPr>
          </w:p>
        </w:tc>
        <w:tc>
          <w:tcPr>
            <w:tcW w:w="879" w:type="dxa"/>
            <w:tcBorders>
              <w:top w:val="single" w:sz="4" w:space="0" w:color="auto"/>
              <w:left w:val="single" w:sz="4" w:space="0" w:color="auto"/>
              <w:bottom w:val="single" w:sz="4" w:space="0" w:color="auto"/>
              <w:right w:val="single" w:sz="4" w:space="0" w:color="auto"/>
            </w:tcBorders>
            <w:vAlign w:val="center"/>
          </w:tcPr>
          <w:p w14:paraId="75A71333">
            <w:pPr>
              <w:pStyle w:val="BodyText"/>
              <w:keepNext/>
              <w:snapToGrid w:val="0"/>
              <w:spacing w:after="0" w:line="360" w:lineRule="auto"/>
              <w:ind w:left="-240" w:right="-240" w:firstLine="480" w:leftChars="-100" w:rightChars="-100"/>
              <w:rPr>
                <w:rFonts w:ascii="宋体" w:hAnsi="宋体" w:cs="宋体"/>
                <w:sz w:val="24"/>
                <w:szCs w:val="24"/>
              </w:rPr>
            </w:pPr>
          </w:p>
        </w:tc>
        <w:tc>
          <w:tcPr>
            <w:tcW w:w="795" w:type="dxa"/>
            <w:tcBorders>
              <w:top w:val="single" w:sz="4" w:space="0" w:color="auto"/>
              <w:left w:val="single" w:sz="4" w:space="0" w:color="auto"/>
              <w:bottom w:val="single" w:sz="4" w:space="0" w:color="auto"/>
              <w:right w:val="single" w:sz="4" w:space="0" w:color="auto"/>
            </w:tcBorders>
            <w:vAlign w:val="center"/>
          </w:tcPr>
          <w:p w14:paraId="1A4AD752">
            <w:pPr>
              <w:pStyle w:val="BodyText"/>
              <w:keepNext/>
              <w:snapToGrid w:val="0"/>
              <w:spacing w:after="0" w:line="360" w:lineRule="auto"/>
              <w:ind w:left="-240" w:right="-240" w:firstLine="480" w:leftChars="-100" w:rightChars="-100"/>
              <w:rPr>
                <w:rFonts w:ascii="宋体" w:hAnsi="宋体" w:cs="宋体"/>
                <w:sz w:val="24"/>
                <w:szCs w:val="24"/>
              </w:rPr>
            </w:pPr>
          </w:p>
        </w:tc>
        <w:tc>
          <w:tcPr>
            <w:tcW w:w="975" w:type="dxa"/>
            <w:tcBorders>
              <w:top w:val="single" w:sz="4" w:space="0" w:color="auto"/>
              <w:left w:val="single" w:sz="4" w:space="0" w:color="auto"/>
              <w:bottom w:val="single" w:sz="4" w:space="0" w:color="auto"/>
              <w:right w:val="single" w:sz="4" w:space="0" w:color="auto"/>
            </w:tcBorders>
            <w:vAlign w:val="center"/>
          </w:tcPr>
          <w:p w14:paraId="295B385E">
            <w:pPr>
              <w:pStyle w:val="BodyText"/>
              <w:keepNext/>
              <w:snapToGrid w:val="0"/>
              <w:spacing w:after="0" w:line="360" w:lineRule="auto"/>
              <w:ind w:left="-240" w:right="-240" w:firstLine="480" w:leftChars="-100" w:rightChars="-100"/>
              <w:rPr>
                <w:rFonts w:ascii="宋体" w:hAnsi="宋体" w:cs="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541E9103">
            <w:pPr>
              <w:pStyle w:val="BodyText"/>
              <w:keepNext/>
              <w:snapToGrid w:val="0"/>
              <w:spacing w:after="0" w:line="360" w:lineRule="auto"/>
              <w:ind w:left="-240" w:right="-240" w:firstLine="480" w:leftChars="-100" w:rightChars="-100"/>
              <w:rPr>
                <w:rFonts w:ascii="宋体" w:hAnsi="宋体" w:cs="宋体"/>
                <w:sz w:val="24"/>
                <w:szCs w:val="24"/>
              </w:rPr>
            </w:pPr>
          </w:p>
        </w:tc>
        <w:tc>
          <w:tcPr>
            <w:tcW w:w="695" w:type="dxa"/>
            <w:tcBorders>
              <w:top w:val="single" w:sz="4" w:space="0" w:color="auto"/>
              <w:left w:val="single" w:sz="4" w:space="0" w:color="auto"/>
              <w:bottom w:val="single" w:sz="4" w:space="0" w:color="auto"/>
              <w:right w:val="single" w:sz="4" w:space="0" w:color="auto"/>
            </w:tcBorders>
            <w:vAlign w:val="center"/>
          </w:tcPr>
          <w:p w14:paraId="36DF57C7">
            <w:pPr>
              <w:pStyle w:val="BodyText"/>
              <w:keepNext/>
              <w:snapToGrid w:val="0"/>
              <w:spacing w:after="0" w:line="360" w:lineRule="auto"/>
              <w:ind w:left="-240" w:right="-240" w:firstLine="480" w:leftChars="-100" w:rightChars="-100"/>
              <w:rPr>
                <w:rFonts w:ascii="宋体" w:hAnsi="宋体" w:cs="宋体"/>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tcPr>
          <w:p w14:paraId="727C6DE2">
            <w:pPr>
              <w:pStyle w:val="BodyText"/>
              <w:keepNext/>
              <w:snapToGrid w:val="0"/>
              <w:spacing w:after="0" w:line="360" w:lineRule="auto"/>
              <w:ind w:left="-240" w:right="-240" w:firstLine="480" w:leftChars="-100" w:rightChars="-100"/>
              <w:rPr>
                <w:rFonts w:ascii="宋体" w:hAnsi="宋体" w:cs="宋体"/>
                <w:sz w:val="24"/>
                <w:szCs w:val="24"/>
              </w:rPr>
            </w:pPr>
          </w:p>
        </w:tc>
        <w:tc>
          <w:tcPr>
            <w:tcW w:w="519" w:type="dxa"/>
            <w:tcBorders>
              <w:top w:val="single" w:sz="4" w:space="0" w:color="auto"/>
              <w:left w:val="single" w:sz="4" w:space="0" w:color="auto"/>
              <w:bottom w:val="single" w:sz="4" w:space="0" w:color="auto"/>
              <w:right w:val="single" w:sz="12" w:space="0" w:color="auto"/>
            </w:tcBorders>
            <w:vAlign w:val="center"/>
          </w:tcPr>
          <w:p w14:paraId="20A968FA">
            <w:pPr>
              <w:pStyle w:val="BodyText"/>
              <w:keepNext/>
              <w:snapToGrid w:val="0"/>
              <w:spacing w:after="0" w:line="360" w:lineRule="auto"/>
              <w:ind w:left="-240" w:right="-240" w:firstLine="480" w:leftChars="-100" w:rightChars="-100"/>
              <w:rPr>
                <w:rFonts w:ascii="宋体" w:hAnsi="宋体" w:cs="宋体"/>
                <w:sz w:val="24"/>
                <w:szCs w:val="24"/>
              </w:rPr>
            </w:pPr>
          </w:p>
        </w:tc>
      </w:tr>
      <w:tr w14:paraId="5F25D39F">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5B38E1D4">
            <w:pPr>
              <w:pStyle w:val="BodyText"/>
              <w:keepNext/>
              <w:snapToGrid w:val="0"/>
              <w:spacing w:after="0" w:line="360" w:lineRule="auto"/>
              <w:ind w:left="-240" w:right="-240" w:firstLine="480" w:leftChars="-100" w:rightChars="-100"/>
              <w:rPr>
                <w:rFonts w:ascii="宋体" w:hAnsi="宋体" w:cs="宋体"/>
                <w:sz w:val="24"/>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21FDA0F5">
            <w:pPr>
              <w:pStyle w:val="BodyText"/>
              <w:keepNext/>
              <w:snapToGrid w:val="0"/>
              <w:spacing w:after="0" w:line="360" w:lineRule="auto"/>
              <w:ind w:left="-240" w:right="-240" w:firstLine="480" w:leftChars="-100" w:rightChars="-100"/>
              <w:rPr>
                <w:rFonts w:ascii="宋体" w:hAnsi="宋体" w:cs="宋体"/>
                <w:sz w:val="24"/>
                <w:szCs w:val="24"/>
              </w:rPr>
            </w:pPr>
          </w:p>
        </w:tc>
        <w:tc>
          <w:tcPr>
            <w:tcW w:w="1325" w:type="dxa"/>
            <w:tcBorders>
              <w:top w:val="single" w:sz="4" w:space="0" w:color="auto"/>
              <w:left w:val="single" w:sz="4" w:space="0" w:color="auto"/>
              <w:bottom w:val="single" w:sz="4" w:space="0" w:color="auto"/>
              <w:right w:val="single" w:sz="4" w:space="0" w:color="auto"/>
            </w:tcBorders>
            <w:vAlign w:val="center"/>
          </w:tcPr>
          <w:p w14:paraId="0ADBB03C">
            <w:pPr>
              <w:pStyle w:val="BodyText"/>
              <w:keepNext/>
              <w:snapToGrid w:val="0"/>
              <w:spacing w:after="0" w:line="360" w:lineRule="auto"/>
              <w:ind w:left="-240" w:right="-240" w:firstLine="480" w:leftChars="-100" w:rightChars="-100"/>
              <w:rPr>
                <w:rFonts w:ascii="宋体" w:hAnsi="宋体" w:cs="宋体"/>
                <w:sz w:val="24"/>
                <w:szCs w:val="24"/>
              </w:rPr>
            </w:pPr>
          </w:p>
        </w:tc>
        <w:tc>
          <w:tcPr>
            <w:tcW w:w="879" w:type="dxa"/>
            <w:tcBorders>
              <w:top w:val="single" w:sz="4" w:space="0" w:color="auto"/>
              <w:left w:val="single" w:sz="4" w:space="0" w:color="auto"/>
              <w:bottom w:val="single" w:sz="4" w:space="0" w:color="auto"/>
              <w:right w:val="single" w:sz="4" w:space="0" w:color="auto"/>
            </w:tcBorders>
            <w:vAlign w:val="center"/>
          </w:tcPr>
          <w:p w14:paraId="1E999B7D">
            <w:pPr>
              <w:pStyle w:val="BodyText"/>
              <w:keepNext/>
              <w:snapToGrid w:val="0"/>
              <w:spacing w:after="0" w:line="360" w:lineRule="auto"/>
              <w:ind w:left="-240" w:right="-240" w:firstLine="480" w:leftChars="-100" w:rightChars="-100"/>
              <w:rPr>
                <w:rFonts w:ascii="宋体" w:hAnsi="宋体" w:cs="宋体"/>
                <w:sz w:val="24"/>
                <w:szCs w:val="24"/>
              </w:rPr>
            </w:pPr>
          </w:p>
        </w:tc>
        <w:tc>
          <w:tcPr>
            <w:tcW w:w="795" w:type="dxa"/>
            <w:tcBorders>
              <w:top w:val="single" w:sz="4" w:space="0" w:color="auto"/>
              <w:left w:val="single" w:sz="4" w:space="0" w:color="auto"/>
              <w:bottom w:val="single" w:sz="4" w:space="0" w:color="auto"/>
              <w:right w:val="single" w:sz="4" w:space="0" w:color="auto"/>
            </w:tcBorders>
            <w:vAlign w:val="center"/>
          </w:tcPr>
          <w:p w14:paraId="735FFC9B">
            <w:pPr>
              <w:pStyle w:val="BodyText"/>
              <w:keepNext/>
              <w:snapToGrid w:val="0"/>
              <w:spacing w:after="0" w:line="360" w:lineRule="auto"/>
              <w:ind w:left="-240" w:right="-240" w:firstLine="480" w:leftChars="-100" w:rightChars="-100"/>
              <w:rPr>
                <w:rFonts w:ascii="宋体" w:hAnsi="宋体" w:cs="宋体"/>
                <w:sz w:val="24"/>
                <w:szCs w:val="24"/>
              </w:rPr>
            </w:pPr>
          </w:p>
        </w:tc>
        <w:tc>
          <w:tcPr>
            <w:tcW w:w="975" w:type="dxa"/>
            <w:tcBorders>
              <w:top w:val="single" w:sz="4" w:space="0" w:color="auto"/>
              <w:left w:val="single" w:sz="4" w:space="0" w:color="auto"/>
              <w:bottom w:val="single" w:sz="4" w:space="0" w:color="auto"/>
              <w:right w:val="single" w:sz="4" w:space="0" w:color="auto"/>
            </w:tcBorders>
            <w:vAlign w:val="center"/>
          </w:tcPr>
          <w:p w14:paraId="581FC542">
            <w:pPr>
              <w:pStyle w:val="BodyText"/>
              <w:keepNext/>
              <w:snapToGrid w:val="0"/>
              <w:spacing w:after="0" w:line="360" w:lineRule="auto"/>
              <w:ind w:left="-240" w:right="-240" w:firstLine="480" w:leftChars="-100" w:rightChars="-100"/>
              <w:rPr>
                <w:rFonts w:ascii="宋体" w:hAnsi="宋体" w:cs="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1F41D8CE">
            <w:pPr>
              <w:pStyle w:val="BodyText"/>
              <w:keepNext/>
              <w:snapToGrid w:val="0"/>
              <w:spacing w:after="0" w:line="360" w:lineRule="auto"/>
              <w:ind w:left="-240" w:right="-240" w:firstLine="480" w:leftChars="-100" w:rightChars="-100"/>
              <w:rPr>
                <w:rFonts w:ascii="宋体" w:hAnsi="宋体" w:cs="宋体"/>
                <w:sz w:val="24"/>
                <w:szCs w:val="24"/>
              </w:rPr>
            </w:pPr>
          </w:p>
        </w:tc>
        <w:tc>
          <w:tcPr>
            <w:tcW w:w="695" w:type="dxa"/>
            <w:tcBorders>
              <w:top w:val="single" w:sz="4" w:space="0" w:color="auto"/>
              <w:left w:val="single" w:sz="4" w:space="0" w:color="auto"/>
              <w:bottom w:val="single" w:sz="4" w:space="0" w:color="auto"/>
              <w:right w:val="single" w:sz="4" w:space="0" w:color="auto"/>
            </w:tcBorders>
            <w:vAlign w:val="center"/>
          </w:tcPr>
          <w:p w14:paraId="5CE33AA1">
            <w:pPr>
              <w:pStyle w:val="BodyText"/>
              <w:keepNext/>
              <w:snapToGrid w:val="0"/>
              <w:spacing w:after="0" w:line="360" w:lineRule="auto"/>
              <w:ind w:left="-240" w:right="-240" w:firstLine="480" w:leftChars="-100" w:rightChars="-100"/>
              <w:rPr>
                <w:rFonts w:ascii="宋体" w:hAnsi="宋体" w:cs="宋体"/>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tcPr>
          <w:p w14:paraId="6E41EB89">
            <w:pPr>
              <w:pStyle w:val="BodyText"/>
              <w:keepNext/>
              <w:snapToGrid w:val="0"/>
              <w:spacing w:after="0" w:line="360" w:lineRule="auto"/>
              <w:ind w:left="-240" w:right="-240" w:firstLine="480" w:leftChars="-100" w:rightChars="-100"/>
              <w:rPr>
                <w:rFonts w:ascii="宋体" w:hAnsi="宋体" w:cs="宋体"/>
                <w:sz w:val="24"/>
                <w:szCs w:val="24"/>
              </w:rPr>
            </w:pPr>
          </w:p>
        </w:tc>
        <w:tc>
          <w:tcPr>
            <w:tcW w:w="519" w:type="dxa"/>
            <w:tcBorders>
              <w:top w:val="single" w:sz="4" w:space="0" w:color="auto"/>
              <w:left w:val="single" w:sz="4" w:space="0" w:color="auto"/>
              <w:bottom w:val="single" w:sz="4" w:space="0" w:color="auto"/>
              <w:right w:val="single" w:sz="12" w:space="0" w:color="auto"/>
            </w:tcBorders>
            <w:vAlign w:val="center"/>
          </w:tcPr>
          <w:p w14:paraId="0E14BE99">
            <w:pPr>
              <w:pStyle w:val="BodyText"/>
              <w:keepNext/>
              <w:snapToGrid w:val="0"/>
              <w:spacing w:after="0" w:line="360" w:lineRule="auto"/>
              <w:ind w:left="-240" w:right="-240" w:firstLine="480" w:leftChars="-100" w:rightChars="-100"/>
              <w:rPr>
                <w:rFonts w:ascii="宋体" w:hAnsi="宋体" w:cs="宋体"/>
                <w:sz w:val="24"/>
                <w:szCs w:val="24"/>
              </w:rPr>
            </w:pPr>
          </w:p>
        </w:tc>
      </w:tr>
      <w:tr w14:paraId="2BEE032D">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01AF5F42">
            <w:pPr>
              <w:pStyle w:val="BodyText"/>
              <w:keepNext/>
              <w:snapToGrid w:val="0"/>
              <w:spacing w:after="0" w:line="360" w:lineRule="auto"/>
              <w:ind w:left="-240" w:right="-240" w:firstLine="480" w:leftChars="-100" w:rightChars="-100"/>
              <w:rPr>
                <w:rFonts w:ascii="宋体" w:hAnsi="宋体" w:cs="宋体"/>
                <w:sz w:val="24"/>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2B65B17D">
            <w:pPr>
              <w:pStyle w:val="BodyText"/>
              <w:keepNext/>
              <w:snapToGrid w:val="0"/>
              <w:spacing w:after="0" w:line="360" w:lineRule="auto"/>
              <w:ind w:left="-240" w:right="-240" w:firstLine="480" w:leftChars="-100" w:rightChars="-100"/>
              <w:rPr>
                <w:rFonts w:ascii="宋体" w:hAnsi="宋体" w:cs="宋体"/>
                <w:sz w:val="24"/>
                <w:szCs w:val="24"/>
              </w:rPr>
            </w:pPr>
          </w:p>
        </w:tc>
        <w:tc>
          <w:tcPr>
            <w:tcW w:w="1325" w:type="dxa"/>
            <w:tcBorders>
              <w:top w:val="single" w:sz="4" w:space="0" w:color="auto"/>
              <w:left w:val="single" w:sz="4" w:space="0" w:color="auto"/>
              <w:bottom w:val="single" w:sz="4" w:space="0" w:color="auto"/>
              <w:right w:val="single" w:sz="4" w:space="0" w:color="auto"/>
            </w:tcBorders>
            <w:vAlign w:val="center"/>
          </w:tcPr>
          <w:p w14:paraId="77CAB63E">
            <w:pPr>
              <w:pStyle w:val="BodyText"/>
              <w:keepNext/>
              <w:snapToGrid w:val="0"/>
              <w:spacing w:after="0" w:line="360" w:lineRule="auto"/>
              <w:ind w:left="-240" w:right="-240" w:firstLine="480" w:leftChars="-100" w:rightChars="-100"/>
              <w:rPr>
                <w:rFonts w:ascii="宋体" w:hAnsi="宋体" w:cs="宋体"/>
                <w:sz w:val="24"/>
                <w:szCs w:val="24"/>
              </w:rPr>
            </w:pPr>
          </w:p>
        </w:tc>
        <w:tc>
          <w:tcPr>
            <w:tcW w:w="879" w:type="dxa"/>
            <w:tcBorders>
              <w:top w:val="single" w:sz="4" w:space="0" w:color="auto"/>
              <w:left w:val="single" w:sz="4" w:space="0" w:color="auto"/>
              <w:bottom w:val="single" w:sz="4" w:space="0" w:color="auto"/>
              <w:right w:val="single" w:sz="4" w:space="0" w:color="auto"/>
            </w:tcBorders>
            <w:vAlign w:val="center"/>
          </w:tcPr>
          <w:p w14:paraId="50768D13">
            <w:pPr>
              <w:pStyle w:val="BodyText"/>
              <w:keepNext/>
              <w:snapToGrid w:val="0"/>
              <w:spacing w:after="0" w:line="360" w:lineRule="auto"/>
              <w:ind w:left="-240" w:right="-240" w:firstLine="480" w:leftChars="-100" w:rightChars="-100"/>
              <w:rPr>
                <w:rFonts w:ascii="宋体" w:hAnsi="宋体" w:cs="宋体"/>
                <w:sz w:val="24"/>
                <w:szCs w:val="24"/>
              </w:rPr>
            </w:pPr>
          </w:p>
        </w:tc>
        <w:tc>
          <w:tcPr>
            <w:tcW w:w="795" w:type="dxa"/>
            <w:tcBorders>
              <w:top w:val="single" w:sz="4" w:space="0" w:color="auto"/>
              <w:left w:val="single" w:sz="4" w:space="0" w:color="auto"/>
              <w:bottom w:val="single" w:sz="4" w:space="0" w:color="auto"/>
              <w:right w:val="single" w:sz="4" w:space="0" w:color="auto"/>
            </w:tcBorders>
            <w:vAlign w:val="center"/>
          </w:tcPr>
          <w:p w14:paraId="6D7D0228">
            <w:pPr>
              <w:pStyle w:val="BodyText"/>
              <w:keepNext/>
              <w:snapToGrid w:val="0"/>
              <w:spacing w:after="0" w:line="360" w:lineRule="auto"/>
              <w:ind w:left="-240" w:right="-240" w:firstLine="480" w:leftChars="-100" w:rightChars="-100"/>
              <w:rPr>
                <w:rFonts w:ascii="宋体" w:hAnsi="宋体" w:cs="宋体"/>
                <w:sz w:val="24"/>
                <w:szCs w:val="24"/>
              </w:rPr>
            </w:pPr>
          </w:p>
        </w:tc>
        <w:tc>
          <w:tcPr>
            <w:tcW w:w="975" w:type="dxa"/>
            <w:tcBorders>
              <w:top w:val="single" w:sz="4" w:space="0" w:color="auto"/>
              <w:left w:val="single" w:sz="4" w:space="0" w:color="auto"/>
              <w:bottom w:val="single" w:sz="4" w:space="0" w:color="auto"/>
              <w:right w:val="single" w:sz="4" w:space="0" w:color="auto"/>
            </w:tcBorders>
            <w:vAlign w:val="center"/>
          </w:tcPr>
          <w:p w14:paraId="6E30EA2E">
            <w:pPr>
              <w:pStyle w:val="BodyText"/>
              <w:keepNext/>
              <w:snapToGrid w:val="0"/>
              <w:spacing w:after="0" w:line="360" w:lineRule="auto"/>
              <w:ind w:left="-240" w:right="-240" w:firstLine="480" w:leftChars="-100" w:rightChars="-100"/>
              <w:rPr>
                <w:rFonts w:ascii="宋体" w:hAnsi="宋体" w:cs="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398A55D0">
            <w:pPr>
              <w:pStyle w:val="BodyText"/>
              <w:keepNext/>
              <w:snapToGrid w:val="0"/>
              <w:spacing w:after="0" w:line="360" w:lineRule="auto"/>
              <w:ind w:left="-240" w:right="-240" w:firstLine="480" w:leftChars="-100" w:rightChars="-100"/>
              <w:rPr>
                <w:rFonts w:ascii="宋体" w:hAnsi="宋体" w:cs="宋体"/>
                <w:sz w:val="24"/>
                <w:szCs w:val="24"/>
              </w:rPr>
            </w:pPr>
          </w:p>
        </w:tc>
        <w:tc>
          <w:tcPr>
            <w:tcW w:w="695" w:type="dxa"/>
            <w:tcBorders>
              <w:top w:val="single" w:sz="4" w:space="0" w:color="auto"/>
              <w:left w:val="single" w:sz="4" w:space="0" w:color="auto"/>
              <w:bottom w:val="single" w:sz="4" w:space="0" w:color="auto"/>
              <w:right w:val="single" w:sz="4" w:space="0" w:color="auto"/>
            </w:tcBorders>
            <w:vAlign w:val="center"/>
          </w:tcPr>
          <w:p w14:paraId="4035BD16">
            <w:pPr>
              <w:pStyle w:val="BodyText"/>
              <w:keepNext/>
              <w:snapToGrid w:val="0"/>
              <w:spacing w:after="0" w:line="360" w:lineRule="auto"/>
              <w:ind w:left="-240" w:right="-240" w:firstLine="480" w:leftChars="-100" w:rightChars="-100"/>
              <w:rPr>
                <w:rFonts w:ascii="宋体" w:hAnsi="宋体" w:cs="宋体"/>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tcPr>
          <w:p w14:paraId="17E0E239">
            <w:pPr>
              <w:pStyle w:val="BodyText"/>
              <w:keepNext/>
              <w:snapToGrid w:val="0"/>
              <w:spacing w:after="0" w:line="360" w:lineRule="auto"/>
              <w:ind w:left="-240" w:right="-240" w:firstLine="480" w:leftChars="-100" w:rightChars="-100"/>
              <w:rPr>
                <w:rFonts w:ascii="宋体" w:hAnsi="宋体" w:cs="宋体"/>
                <w:sz w:val="24"/>
                <w:szCs w:val="24"/>
              </w:rPr>
            </w:pPr>
          </w:p>
        </w:tc>
        <w:tc>
          <w:tcPr>
            <w:tcW w:w="519" w:type="dxa"/>
            <w:tcBorders>
              <w:top w:val="single" w:sz="4" w:space="0" w:color="auto"/>
              <w:left w:val="single" w:sz="4" w:space="0" w:color="auto"/>
              <w:bottom w:val="single" w:sz="4" w:space="0" w:color="auto"/>
              <w:right w:val="single" w:sz="12" w:space="0" w:color="auto"/>
            </w:tcBorders>
            <w:vAlign w:val="center"/>
          </w:tcPr>
          <w:p w14:paraId="0D8D16CF">
            <w:pPr>
              <w:pStyle w:val="BodyText"/>
              <w:keepNext/>
              <w:snapToGrid w:val="0"/>
              <w:spacing w:after="0" w:line="360" w:lineRule="auto"/>
              <w:ind w:left="-240" w:right="-240" w:firstLine="480" w:leftChars="-100" w:rightChars="-100"/>
              <w:rPr>
                <w:rFonts w:ascii="宋体" w:hAnsi="宋体" w:cs="宋体"/>
                <w:sz w:val="24"/>
                <w:szCs w:val="24"/>
              </w:rPr>
            </w:pPr>
          </w:p>
        </w:tc>
      </w:tr>
      <w:tr w14:paraId="1421EE42">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4EA05C28">
            <w:pPr>
              <w:pStyle w:val="BodyText"/>
              <w:keepNext/>
              <w:snapToGrid w:val="0"/>
              <w:spacing w:after="0" w:line="360" w:lineRule="auto"/>
              <w:ind w:left="-240" w:right="-240" w:firstLine="480" w:leftChars="-100" w:rightChars="-100"/>
              <w:rPr>
                <w:rFonts w:ascii="宋体" w:hAnsi="宋体" w:cs="宋体"/>
                <w:sz w:val="24"/>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454E4249">
            <w:pPr>
              <w:pStyle w:val="BodyText"/>
              <w:keepNext/>
              <w:snapToGrid w:val="0"/>
              <w:spacing w:after="0" w:line="360" w:lineRule="auto"/>
              <w:ind w:left="-240" w:right="-240" w:firstLine="480" w:leftChars="-100" w:rightChars="-100"/>
              <w:rPr>
                <w:rFonts w:ascii="宋体" w:hAnsi="宋体" w:cs="宋体"/>
                <w:sz w:val="24"/>
                <w:szCs w:val="24"/>
              </w:rPr>
            </w:pPr>
          </w:p>
        </w:tc>
        <w:tc>
          <w:tcPr>
            <w:tcW w:w="1325" w:type="dxa"/>
            <w:tcBorders>
              <w:top w:val="single" w:sz="4" w:space="0" w:color="auto"/>
              <w:left w:val="single" w:sz="4" w:space="0" w:color="auto"/>
              <w:bottom w:val="single" w:sz="4" w:space="0" w:color="auto"/>
              <w:right w:val="single" w:sz="4" w:space="0" w:color="auto"/>
            </w:tcBorders>
            <w:vAlign w:val="center"/>
          </w:tcPr>
          <w:p w14:paraId="2E3D243B">
            <w:pPr>
              <w:pStyle w:val="BodyText"/>
              <w:keepNext/>
              <w:snapToGrid w:val="0"/>
              <w:spacing w:after="0" w:line="360" w:lineRule="auto"/>
              <w:ind w:left="-240" w:right="-240" w:firstLine="480" w:leftChars="-100" w:rightChars="-100"/>
              <w:rPr>
                <w:rFonts w:ascii="宋体" w:hAnsi="宋体" w:cs="宋体"/>
                <w:sz w:val="24"/>
                <w:szCs w:val="24"/>
              </w:rPr>
            </w:pPr>
          </w:p>
        </w:tc>
        <w:tc>
          <w:tcPr>
            <w:tcW w:w="879" w:type="dxa"/>
            <w:tcBorders>
              <w:top w:val="single" w:sz="4" w:space="0" w:color="auto"/>
              <w:left w:val="single" w:sz="4" w:space="0" w:color="auto"/>
              <w:bottom w:val="single" w:sz="4" w:space="0" w:color="auto"/>
              <w:right w:val="single" w:sz="4" w:space="0" w:color="auto"/>
            </w:tcBorders>
            <w:vAlign w:val="center"/>
          </w:tcPr>
          <w:p w14:paraId="3E692C26">
            <w:pPr>
              <w:pStyle w:val="BodyText"/>
              <w:keepNext/>
              <w:snapToGrid w:val="0"/>
              <w:spacing w:after="0" w:line="360" w:lineRule="auto"/>
              <w:ind w:left="-240" w:right="-240" w:firstLine="480" w:leftChars="-100" w:rightChars="-100"/>
              <w:rPr>
                <w:rFonts w:ascii="宋体" w:hAnsi="宋体" w:cs="宋体"/>
                <w:sz w:val="24"/>
                <w:szCs w:val="24"/>
              </w:rPr>
            </w:pPr>
          </w:p>
        </w:tc>
        <w:tc>
          <w:tcPr>
            <w:tcW w:w="795" w:type="dxa"/>
            <w:tcBorders>
              <w:top w:val="single" w:sz="4" w:space="0" w:color="auto"/>
              <w:left w:val="single" w:sz="4" w:space="0" w:color="auto"/>
              <w:bottom w:val="single" w:sz="4" w:space="0" w:color="auto"/>
              <w:right w:val="single" w:sz="4" w:space="0" w:color="auto"/>
            </w:tcBorders>
            <w:vAlign w:val="center"/>
          </w:tcPr>
          <w:p w14:paraId="484FB53E">
            <w:pPr>
              <w:pStyle w:val="BodyText"/>
              <w:keepNext/>
              <w:snapToGrid w:val="0"/>
              <w:spacing w:after="0" w:line="360" w:lineRule="auto"/>
              <w:ind w:left="-240" w:right="-240" w:firstLine="480" w:leftChars="-100" w:rightChars="-100"/>
              <w:rPr>
                <w:rFonts w:ascii="宋体" w:hAnsi="宋体" w:cs="宋体"/>
                <w:sz w:val="24"/>
                <w:szCs w:val="24"/>
              </w:rPr>
            </w:pPr>
          </w:p>
        </w:tc>
        <w:tc>
          <w:tcPr>
            <w:tcW w:w="975" w:type="dxa"/>
            <w:tcBorders>
              <w:top w:val="single" w:sz="4" w:space="0" w:color="auto"/>
              <w:left w:val="single" w:sz="4" w:space="0" w:color="auto"/>
              <w:bottom w:val="single" w:sz="4" w:space="0" w:color="auto"/>
              <w:right w:val="single" w:sz="4" w:space="0" w:color="auto"/>
            </w:tcBorders>
            <w:vAlign w:val="center"/>
          </w:tcPr>
          <w:p w14:paraId="78075F13">
            <w:pPr>
              <w:pStyle w:val="BodyText"/>
              <w:keepNext/>
              <w:snapToGrid w:val="0"/>
              <w:spacing w:after="0" w:line="360" w:lineRule="auto"/>
              <w:ind w:left="-240" w:right="-240" w:firstLine="480" w:leftChars="-100" w:rightChars="-100"/>
              <w:rPr>
                <w:rFonts w:ascii="宋体" w:hAnsi="宋体" w:cs="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30E1A5D5">
            <w:pPr>
              <w:pStyle w:val="BodyText"/>
              <w:keepNext/>
              <w:snapToGrid w:val="0"/>
              <w:spacing w:after="0" w:line="360" w:lineRule="auto"/>
              <w:ind w:left="-240" w:right="-240" w:firstLine="480" w:leftChars="-100" w:rightChars="-100"/>
              <w:rPr>
                <w:rFonts w:ascii="宋体" w:hAnsi="宋体" w:cs="宋体"/>
                <w:sz w:val="24"/>
                <w:szCs w:val="24"/>
              </w:rPr>
            </w:pPr>
          </w:p>
        </w:tc>
        <w:tc>
          <w:tcPr>
            <w:tcW w:w="695" w:type="dxa"/>
            <w:tcBorders>
              <w:top w:val="single" w:sz="4" w:space="0" w:color="auto"/>
              <w:left w:val="single" w:sz="4" w:space="0" w:color="auto"/>
              <w:bottom w:val="single" w:sz="4" w:space="0" w:color="auto"/>
              <w:right w:val="single" w:sz="4" w:space="0" w:color="auto"/>
            </w:tcBorders>
            <w:vAlign w:val="center"/>
          </w:tcPr>
          <w:p w14:paraId="51BB5BBE">
            <w:pPr>
              <w:pStyle w:val="BodyText"/>
              <w:keepNext/>
              <w:snapToGrid w:val="0"/>
              <w:spacing w:after="0" w:line="360" w:lineRule="auto"/>
              <w:ind w:left="-240" w:right="-240" w:firstLine="480" w:leftChars="-100" w:rightChars="-100"/>
              <w:rPr>
                <w:rFonts w:ascii="宋体" w:hAnsi="宋体" w:cs="宋体"/>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tcPr>
          <w:p w14:paraId="1DD301B7">
            <w:pPr>
              <w:pStyle w:val="BodyText"/>
              <w:keepNext/>
              <w:snapToGrid w:val="0"/>
              <w:spacing w:after="0" w:line="360" w:lineRule="auto"/>
              <w:ind w:left="-240" w:right="-240" w:firstLine="480" w:leftChars="-100" w:rightChars="-100"/>
              <w:rPr>
                <w:rFonts w:ascii="宋体" w:hAnsi="宋体" w:cs="宋体"/>
                <w:sz w:val="24"/>
                <w:szCs w:val="24"/>
              </w:rPr>
            </w:pPr>
          </w:p>
        </w:tc>
        <w:tc>
          <w:tcPr>
            <w:tcW w:w="519" w:type="dxa"/>
            <w:tcBorders>
              <w:top w:val="single" w:sz="4" w:space="0" w:color="auto"/>
              <w:left w:val="single" w:sz="4" w:space="0" w:color="auto"/>
              <w:bottom w:val="single" w:sz="4" w:space="0" w:color="auto"/>
              <w:right w:val="single" w:sz="12" w:space="0" w:color="auto"/>
            </w:tcBorders>
            <w:vAlign w:val="center"/>
          </w:tcPr>
          <w:p w14:paraId="13F9457D">
            <w:pPr>
              <w:pStyle w:val="BodyText"/>
              <w:keepNext/>
              <w:snapToGrid w:val="0"/>
              <w:spacing w:after="0" w:line="360" w:lineRule="auto"/>
              <w:ind w:left="-240" w:right="-240" w:firstLine="480" w:leftChars="-100" w:rightChars="-100"/>
              <w:rPr>
                <w:rFonts w:ascii="宋体" w:hAnsi="宋体" w:cs="宋体"/>
                <w:sz w:val="24"/>
                <w:szCs w:val="24"/>
              </w:rPr>
            </w:pPr>
          </w:p>
        </w:tc>
      </w:tr>
      <w:tr w14:paraId="527EE6A2">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1D62FAE5">
            <w:pPr>
              <w:snapToGrid w:val="0"/>
              <w:spacing w:line="360" w:lineRule="auto"/>
              <w:ind w:left="-240" w:right="-240" w:firstLine="480" w:leftChars="-100" w:rightChars="-100"/>
              <w:jc w:val="center"/>
              <w:rPr>
                <w:rFonts w:ascii="宋体" w:hAnsi="宋体" w:cs="宋体"/>
              </w:rPr>
            </w:pPr>
          </w:p>
        </w:tc>
        <w:tc>
          <w:tcPr>
            <w:tcW w:w="1311" w:type="dxa"/>
            <w:tcBorders>
              <w:top w:val="single" w:sz="4" w:space="0" w:color="auto"/>
              <w:left w:val="single" w:sz="4" w:space="0" w:color="auto"/>
              <w:bottom w:val="single" w:sz="4" w:space="0" w:color="auto"/>
              <w:right w:val="single" w:sz="4" w:space="0" w:color="auto"/>
            </w:tcBorders>
            <w:vAlign w:val="center"/>
          </w:tcPr>
          <w:p w14:paraId="5B8A89BA">
            <w:pPr>
              <w:snapToGrid w:val="0"/>
              <w:spacing w:line="360" w:lineRule="auto"/>
              <w:ind w:left="-240" w:right="-240" w:firstLine="480" w:leftChars="-100" w:rightChars="-100"/>
              <w:jc w:val="center"/>
              <w:rPr>
                <w:rFonts w:ascii="宋体" w:hAnsi="宋体" w:cs="宋体"/>
              </w:rPr>
            </w:pPr>
          </w:p>
        </w:tc>
        <w:tc>
          <w:tcPr>
            <w:tcW w:w="1325" w:type="dxa"/>
            <w:tcBorders>
              <w:top w:val="single" w:sz="4" w:space="0" w:color="auto"/>
              <w:left w:val="single" w:sz="4" w:space="0" w:color="auto"/>
              <w:bottom w:val="single" w:sz="4" w:space="0" w:color="auto"/>
              <w:right w:val="single" w:sz="4" w:space="0" w:color="auto"/>
            </w:tcBorders>
            <w:vAlign w:val="center"/>
          </w:tcPr>
          <w:p w14:paraId="5AE9E70A">
            <w:pPr>
              <w:snapToGrid w:val="0"/>
              <w:spacing w:line="360" w:lineRule="auto"/>
              <w:ind w:left="-240" w:right="-240" w:firstLine="480" w:leftChars="-100" w:rightChars="-100"/>
              <w:jc w:val="center"/>
              <w:rPr>
                <w:rFonts w:ascii="宋体" w:hAnsi="宋体" w:cs="宋体"/>
              </w:rPr>
            </w:pPr>
          </w:p>
        </w:tc>
        <w:tc>
          <w:tcPr>
            <w:tcW w:w="879" w:type="dxa"/>
            <w:tcBorders>
              <w:top w:val="single" w:sz="4" w:space="0" w:color="auto"/>
              <w:left w:val="single" w:sz="4" w:space="0" w:color="auto"/>
              <w:bottom w:val="single" w:sz="4" w:space="0" w:color="auto"/>
              <w:right w:val="single" w:sz="4" w:space="0" w:color="auto"/>
            </w:tcBorders>
            <w:vAlign w:val="center"/>
          </w:tcPr>
          <w:p w14:paraId="061D564B">
            <w:pPr>
              <w:snapToGrid w:val="0"/>
              <w:spacing w:line="360" w:lineRule="auto"/>
              <w:ind w:left="-240" w:right="-240" w:firstLine="480" w:leftChars="-100" w:rightChars="-100"/>
              <w:jc w:val="center"/>
              <w:rPr>
                <w:rFonts w:ascii="宋体" w:hAnsi="宋体" w:cs="宋体"/>
              </w:rPr>
            </w:pPr>
          </w:p>
        </w:tc>
        <w:tc>
          <w:tcPr>
            <w:tcW w:w="795" w:type="dxa"/>
            <w:tcBorders>
              <w:top w:val="single" w:sz="4" w:space="0" w:color="auto"/>
              <w:left w:val="single" w:sz="4" w:space="0" w:color="auto"/>
              <w:bottom w:val="single" w:sz="4" w:space="0" w:color="auto"/>
              <w:right w:val="single" w:sz="4" w:space="0" w:color="auto"/>
            </w:tcBorders>
            <w:vAlign w:val="center"/>
          </w:tcPr>
          <w:p w14:paraId="69158766">
            <w:pPr>
              <w:snapToGrid w:val="0"/>
              <w:spacing w:line="360" w:lineRule="auto"/>
              <w:ind w:left="-240" w:right="-240" w:firstLine="480" w:leftChars="-100" w:rightChars="-100"/>
              <w:jc w:val="center"/>
              <w:rPr>
                <w:rFonts w:ascii="宋体" w:hAnsi="宋体" w:cs="宋体"/>
              </w:rPr>
            </w:pPr>
          </w:p>
        </w:tc>
        <w:tc>
          <w:tcPr>
            <w:tcW w:w="975" w:type="dxa"/>
            <w:tcBorders>
              <w:top w:val="single" w:sz="4" w:space="0" w:color="auto"/>
              <w:left w:val="single" w:sz="4" w:space="0" w:color="auto"/>
              <w:bottom w:val="single" w:sz="4" w:space="0" w:color="auto"/>
              <w:right w:val="single" w:sz="4" w:space="0" w:color="auto"/>
            </w:tcBorders>
            <w:vAlign w:val="center"/>
          </w:tcPr>
          <w:p w14:paraId="0B1703B2">
            <w:pPr>
              <w:snapToGrid w:val="0"/>
              <w:spacing w:line="360" w:lineRule="auto"/>
              <w:ind w:left="-240" w:right="-240" w:firstLine="480" w:leftChars="-100" w:rightChars="-100"/>
              <w:jc w:val="center"/>
              <w:rPr>
                <w:rFonts w:ascii="宋体" w:hAnsi="宋体" w:cs="宋体"/>
              </w:rPr>
            </w:pPr>
          </w:p>
        </w:tc>
        <w:tc>
          <w:tcPr>
            <w:tcW w:w="927" w:type="dxa"/>
            <w:tcBorders>
              <w:top w:val="single" w:sz="4" w:space="0" w:color="auto"/>
              <w:left w:val="single" w:sz="4" w:space="0" w:color="auto"/>
              <w:bottom w:val="single" w:sz="4" w:space="0" w:color="auto"/>
              <w:right w:val="single" w:sz="4" w:space="0" w:color="auto"/>
            </w:tcBorders>
            <w:vAlign w:val="center"/>
          </w:tcPr>
          <w:p w14:paraId="1176CB19">
            <w:pPr>
              <w:snapToGrid w:val="0"/>
              <w:spacing w:line="360" w:lineRule="auto"/>
              <w:ind w:left="-240" w:right="-240" w:firstLine="480" w:leftChars="-100" w:rightChars="-100"/>
              <w:jc w:val="center"/>
              <w:rPr>
                <w:rFonts w:ascii="宋体" w:hAnsi="宋体" w:cs="宋体"/>
              </w:rPr>
            </w:pPr>
          </w:p>
        </w:tc>
        <w:tc>
          <w:tcPr>
            <w:tcW w:w="695" w:type="dxa"/>
            <w:tcBorders>
              <w:top w:val="single" w:sz="4" w:space="0" w:color="auto"/>
              <w:left w:val="single" w:sz="4" w:space="0" w:color="auto"/>
              <w:bottom w:val="single" w:sz="4" w:space="0" w:color="auto"/>
              <w:right w:val="single" w:sz="4" w:space="0" w:color="auto"/>
            </w:tcBorders>
            <w:vAlign w:val="center"/>
          </w:tcPr>
          <w:p w14:paraId="1B140C52">
            <w:pPr>
              <w:snapToGrid w:val="0"/>
              <w:spacing w:line="360" w:lineRule="auto"/>
              <w:ind w:left="-240" w:right="-240" w:firstLine="480" w:leftChars="-100" w:rightChars="-100"/>
              <w:jc w:val="center"/>
              <w:rPr>
                <w:rFonts w:ascii="宋体" w:hAnsi="宋体" w:cs="宋体"/>
              </w:rPr>
            </w:pPr>
          </w:p>
        </w:tc>
        <w:tc>
          <w:tcPr>
            <w:tcW w:w="798" w:type="dxa"/>
            <w:tcBorders>
              <w:top w:val="single" w:sz="4" w:space="0" w:color="auto"/>
              <w:left w:val="single" w:sz="4" w:space="0" w:color="auto"/>
              <w:bottom w:val="single" w:sz="4" w:space="0" w:color="auto"/>
              <w:right w:val="single" w:sz="4" w:space="0" w:color="auto"/>
            </w:tcBorders>
            <w:vAlign w:val="center"/>
          </w:tcPr>
          <w:p w14:paraId="1715D9D8">
            <w:pPr>
              <w:snapToGrid w:val="0"/>
              <w:spacing w:line="360" w:lineRule="auto"/>
              <w:ind w:left="-240" w:right="-240" w:firstLine="480" w:leftChars="-100" w:rightChars="-100"/>
              <w:jc w:val="center"/>
              <w:rPr>
                <w:rFonts w:ascii="宋体" w:hAnsi="宋体" w:cs="宋体"/>
              </w:rPr>
            </w:pPr>
          </w:p>
        </w:tc>
        <w:tc>
          <w:tcPr>
            <w:tcW w:w="519" w:type="dxa"/>
            <w:tcBorders>
              <w:top w:val="single" w:sz="4" w:space="0" w:color="auto"/>
              <w:left w:val="single" w:sz="4" w:space="0" w:color="auto"/>
              <w:bottom w:val="single" w:sz="4" w:space="0" w:color="auto"/>
              <w:right w:val="single" w:sz="12" w:space="0" w:color="auto"/>
            </w:tcBorders>
            <w:vAlign w:val="center"/>
          </w:tcPr>
          <w:p w14:paraId="2745D4BA">
            <w:pPr>
              <w:snapToGrid w:val="0"/>
              <w:spacing w:line="360" w:lineRule="auto"/>
              <w:ind w:left="-240" w:right="-240" w:firstLine="480" w:leftChars="-100" w:rightChars="-100"/>
              <w:jc w:val="center"/>
              <w:rPr>
                <w:rFonts w:ascii="宋体" w:hAnsi="宋体" w:cs="宋体"/>
              </w:rPr>
            </w:pPr>
          </w:p>
        </w:tc>
      </w:tr>
      <w:tr w14:paraId="645CB1E9">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0953094B">
            <w:pPr>
              <w:pStyle w:val="BodyText"/>
              <w:keepNext/>
              <w:snapToGrid w:val="0"/>
              <w:spacing w:after="0" w:line="360" w:lineRule="auto"/>
              <w:ind w:left="-240" w:right="-240" w:firstLine="480" w:leftChars="-100" w:rightChars="-100"/>
              <w:rPr>
                <w:rFonts w:ascii="宋体" w:hAnsi="宋体" w:cs="宋体"/>
                <w:sz w:val="24"/>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1E63FA49">
            <w:pPr>
              <w:pStyle w:val="BodyText"/>
              <w:keepNext/>
              <w:snapToGrid w:val="0"/>
              <w:spacing w:after="0" w:line="360" w:lineRule="auto"/>
              <w:ind w:left="-240" w:right="-240" w:firstLine="480" w:leftChars="-100" w:rightChars="-100"/>
              <w:rPr>
                <w:rFonts w:ascii="宋体" w:hAnsi="宋体" w:cs="宋体"/>
                <w:sz w:val="24"/>
                <w:szCs w:val="24"/>
              </w:rPr>
            </w:pPr>
          </w:p>
        </w:tc>
        <w:tc>
          <w:tcPr>
            <w:tcW w:w="1325" w:type="dxa"/>
            <w:tcBorders>
              <w:top w:val="single" w:sz="4" w:space="0" w:color="auto"/>
              <w:left w:val="single" w:sz="4" w:space="0" w:color="auto"/>
              <w:bottom w:val="single" w:sz="4" w:space="0" w:color="auto"/>
              <w:right w:val="single" w:sz="4" w:space="0" w:color="auto"/>
            </w:tcBorders>
            <w:vAlign w:val="center"/>
          </w:tcPr>
          <w:p w14:paraId="0546021A">
            <w:pPr>
              <w:pStyle w:val="BodyText"/>
              <w:keepNext/>
              <w:snapToGrid w:val="0"/>
              <w:spacing w:after="0" w:line="360" w:lineRule="auto"/>
              <w:ind w:left="-240" w:right="-240" w:firstLine="480" w:leftChars="-100" w:rightChars="-100"/>
              <w:rPr>
                <w:rFonts w:ascii="宋体" w:hAnsi="宋体" w:cs="宋体"/>
                <w:sz w:val="24"/>
                <w:szCs w:val="24"/>
              </w:rPr>
            </w:pPr>
          </w:p>
        </w:tc>
        <w:tc>
          <w:tcPr>
            <w:tcW w:w="879" w:type="dxa"/>
            <w:tcBorders>
              <w:top w:val="single" w:sz="4" w:space="0" w:color="auto"/>
              <w:left w:val="single" w:sz="4" w:space="0" w:color="auto"/>
              <w:bottom w:val="single" w:sz="4" w:space="0" w:color="auto"/>
              <w:right w:val="single" w:sz="4" w:space="0" w:color="auto"/>
            </w:tcBorders>
            <w:vAlign w:val="center"/>
          </w:tcPr>
          <w:p w14:paraId="465DF8BE">
            <w:pPr>
              <w:pStyle w:val="BodyText"/>
              <w:keepNext/>
              <w:snapToGrid w:val="0"/>
              <w:spacing w:after="0" w:line="360" w:lineRule="auto"/>
              <w:ind w:left="-240" w:right="-240" w:firstLine="480" w:leftChars="-100" w:rightChars="-100"/>
              <w:rPr>
                <w:rFonts w:ascii="宋体" w:hAnsi="宋体" w:cs="宋体"/>
                <w:sz w:val="24"/>
                <w:szCs w:val="24"/>
              </w:rPr>
            </w:pPr>
          </w:p>
        </w:tc>
        <w:tc>
          <w:tcPr>
            <w:tcW w:w="795" w:type="dxa"/>
            <w:tcBorders>
              <w:top w:val="single" w:sz="4" w:space="0" w:color="auto"/>
              <w:left w:val="single" w:sz="4" w:space="0" w:color="auto"/>
              <w:bottom w:val="single" w:sz="4" w:space="0" w:color="auto"/>
              <w:right w:val="single" w:sz="4" w:space="0" w:color="auto"/>
            </w:tcBorders>
            <w:vAlign w:val="center"/>
          </w:tcPr>
          <w:p w14:paraId="5EE38E5D">
            <w:pPr>
              <w:pStyle w:val="BodyText"/>
              <w:keepNext/>
              <w:snapToGrid w:val="0"/>
              <w:spacing w:after="0" w:line="360" w:lineRule="auto"/>
              <w:ind w:left="-240" w:right="-240" w:firstLine="480" w:leftChars="-100" w:rightChars="-100"/>
              <w:rPr>
                <w:rFonts w:ascii="宋体" w:hAnsi="宋体" w:cs="宋体"/>
                <w:sz w:val="24"/>
                <w:szCs w:val="24"/>
              </w:rPr>
            </w:pPr>
          </w:p>
        </w:tc>
        <w:tc>
          <w:tcPr>
            <w:tcW w:w="975" w:type="dxa"/>
            <w:tcBorders>
              <w:top w:val="single" w:sz="4" w:space="0" w:color="auto"/>
              <w:left w:val="single" w:sz="4" w:space="0" w:color="auto"/>
              <w:bottom w:val="single" w:sz="4" w:space="0" w:color="auto"/>
              <w:right w:val="single" w:sz="4" w:space="0" w:color="auto"/>
            </w:tcBorders>
            <w:vAlign w:val="center"/>
          </w:tcPr>
          <w:p w14:paraId="15C6AAD3">
            <w:pPr>
              <w:pStyle w:val="BodyText"/>
              <w:keepNext/>
              <w:snapToGrid w:val="0"/>
              <w:spacing w:after="0" w:line="360" w:lineRule="auto"/>
              <w:ind w:left="-240" w:right="-240" w:firstLine="480" w:leftChars="-100" w:rightChars="-100"/>
              <w:rPr>
                <w:rFonts w:ascii="宋体" w:hAnsi="宋体" w:cs="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5EEBF251">
            <w:pPr>
              <w:pStyle w:val="BodyText"/>
              <w:keepNext/>
              <w:snapToGrid w:val="0"/>
              <w:spacing w:after="0" w:line="360" w:lineRule="auto"/>
              <w:ind w:left="-240" w:right="-240" w:firstLine="480" w:leftChars="-100" w:rightChars="-100"/>
              <w:rPr>
                <w:rFonts w:ascii="宋体" w:hAnsi="宋体" w:cs="宋体"/>
                <w:sz w:val="24"/>
                <w:szCs w:val="24"/>
              </w:rPr>
            </w:pPr>
          </w:p>
        </w:tc>
        <w:tc>
          <w:tcPr>
            <w:tcW w:w="695" w:type="dxa"/>
            <w:tcBorders>
              <w:top w:val="single" w:sz="4" w:space="0" w:color="auto"/>
              <w:left w:val="single" w:sz="4" w:space="0" w:color="auto"/>
              <w:bottom w:val="single" w:sz="4" w:space="0" w:color="auto"/>
              <w:right w:val="single" w:sz="4" w:space="0" w:color="auto"/>
            </w:tcBorders>
            <w:vAlign w:val="center"/>
          </w:tcPr>
          <w:p w14:paraId="38DE1363">
            <w:pPr>
              <w:pStyle w:val="BodyText"/>
              <w:keepNext/>
              <w:snapToGrid w:val="0"/>
              <w:spacing w:after="0" w:line="360" w:lineRule="auto"/>
              <w:ind w:left="-240" w:right="-240" w:firstLine="480" w:leftChars="-100" w:rightChars="-100"/>
              <w:rPr>
                <w:rFonts w:ascii="宋体" w:hAnsi="宋体" w:cs="宋体"/>
                <w:sz w:val="24"/>
                <w:szCs w:val="24"/>
              </w:rPr>
            </w:pPr>
          </w:p>
        </w:tc>
        <w:tc>
          <w:tcPr>
            <w:tcW w:w="798" w:type="dxa"/>
            <w:tcBorders>
              <w:top w:val="single" w:sz="4" w:space="0" w:color="auto"/>
              <w:left w:val="single" w:sz="4" w:space="0" w:color="auto"/>
              <w:bottom w:val="single" w:sz="4" w:space="0" w:color="auto"/>
              <w:right w:val="single" w:sz="4" w:space="0" w:color="auto"/>
            </w:tcBorders>
            <w:vAlign w:val="center"/>
          </w:tcPr>
          <w:p w14:paraId="4043AAFC">
            <w:pPr>
              <w:pStyle w:val="BodyText"/>
              <w:keepNext/>
              <w:snapToGrid w:val="0"/>
              <w:spacing w:after="0" w:line="360" w:lineRule="auto"/>
              <w:ind w:left="-240" w:right="-240" w:firstLine="480" w:leftChars="-100" w:rightChars="-100"/>
              <w:rPr>
                <w:rFonts w:ascii="宋体" w:hAnsi="宋体" w:cs="宋体"/>
                <w:sz w:val="24"/>
                <w:szCs w:val="24"/>
              </w:rPr>
            </w:pPr>
          </w:p>
        </w:tc>
        <w:tc>
          <w:tcPr>
            <w:tcW w:w="519" w:type="dxa"/>
            <w:tcBorders>
              <w:top w:val="single" w:sz="4" w:space="0" w:color="auto"/>
              <w:left w:val="single" w:sz="4" w:space="0" w:color="auto"/>
              <w:bottom w:val="single" w:sz="4" w:space="0" w:color="auto"/>
              <w:right w:val="single" w:sz="12" w:space="0" w:color="auto"/>
            </w:tcBorders>
            <w:vAlign w:val="center"/>
          </w:tcPr>
          <w:p w14:paraId="461F0AA7">
            <w:pPr>
              <w:pStyle w:val="BodyText"/>
              <w:keepNext/>
              <w:snapToGrid w:val="0"/>
              <w:spacing w:after="0" w:line="360" w:lineRule="auto"/>
              <w:ind w:left="-240" w:right="-240" w:firstLine="480" w:leftChars="-100" w:rightChars="-100"/>
              <w:rPr>
                <w:rFonts w:ascii="宋体" w:hAnsi="宋体" w:cs="宋体"/>
                <w:sz w:val="24"/>
                <w:szCs w:val="24"/>
              </w:rPr>
            </w:pPr>
          </w:p>
        </w:tc>
      </w:tr>
      <w:tr w14:paraId="5F7506AE">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40A77388">
            <w:pPr>
              <w:snapToGrid w:val="0"/>
              <w:spacing w:line="360" w:lineRule="auto"/>
              <w:ind w:left="-240" w:right="-240" w:firstLine="480" w:leftChars="-100" w:rightChars="-100"/>
              <w:jc w:val="center"/>
              <w:rPr>
                <w:rFonts w:ascii="宋体" w:hAnsi="宋体" w:cs="宋体"/>
              </w:rPr>
            </w:pPr>
          </w:p>
        </w:tc>
        <w:tc>
          <w:tcPr>
            <w:tcW w:w="1311" w:type="dxa"/>
            <w:tcBorders>
              <w:top w:val="single" w:sz="4" w:space="0" w:color="auto"/>
              <w:left w:val="single" w:sz="4" w:space="0" w:color="auto"/>
              <w:bottom w:val="single" w:sz="4" w:space="0" w:color="auto"/>
              <w:right w:val="single" w:sz="4" w:space="0" w:color="auto"/>
            </w:tcBorders>
            <w:vAlign w:val="center"/>
          </w:tcPr>
          <w:p w14:paraId="3FA7DF74">
            <w:pPr>
              <w:snapToGrid w:val="0"/>
              <w:spacing w:line="360" w:lineRule="auto"/>
              <w:ind w:left="-240" w:right="-240" w:firstLine="480" w:leftChars="-100" w:rightChars="-100"/>
              <w:jc w:val="center"/>
              <w:rPr>
                <w:rFonts w:ascii="宋体" w:hAnsi="宋体" w:cs="宋体"/>
              </w:rPr>
            </w:pPr>
          </w:p>
        </w:tc>
        <w:tc>
          <w:tcPr>
            <w:tcW w:w="1325" w:type="dxa"/>
            <w:tcBorders>
              <w:top w:val="single" w:sz="4" w:space="0" w:color="auto"/>
              <w:left w:val="single" w:sz="4" w:space="0" w:color="auto"/>
              <w:bottom w:val="single" w:sz="4" w:space="0" w:color="auto"/>
              <w:right w:val="single" w:sz="4" w:space="0" w:color="auto"/>
            </w:tcBorders>
            <w:vAlign w:val="center"/>
          </w:tcPr>
          <w:p w14:paraId="68A929EC">
            <w:pPr>
              <w:snapToGrid w:val="0"/>
              <w:spacing w:line="360" w:lineRule="auto"/>
              <w:ind w:left="-240" w:right="-240" w:firstLine="480" w:leftChars="-100" w:rightChars="-100"/>
              <w:jc w:val="center"/>
              <w:rPr>
                <w:rFonts w:ascii="宋体" w:hAnsi="宋体" w:cs="宋体"/>
              </w:rPr>
            </w:pPr>
          </w:p>
        </w:tc>
        <w:tc>
          <w:tcPr>
            <w:tcW w:w="879" w:type="dxa"/>
            <w:tcBorders>
              <w:top w:val="single" w:sz="4" w:space="0" w:color="auto"/>
              <w:left w:val="single" w:sz="4" w:space="0" w:color="auto"/>
              <w:bottom w:val="single" w:sz="4" w:space="0" w:color="auto"/>
              <w:right w:val="single" w:sz="4" w:space="0" w:color="auto"/>
            </w:tcBorders>
            <w:vAlign w:val="center"/>
          </w:tcPr>
          <w:p w14:paraId="58A43366">
            <w:pPr>
              <w:snapToGrid w:val="0"/>
              <w:spacing w:line="360" w:lineRule="auto"/>
              <w:ind w:left="-240" w:right="-240" w:firstLine="480" w:leftChars="-100" w:rightChars="-100"/>
              <w:jc w:val="center"/>
              <w:rPr>
                <w:rFonts w:ascii="宋体" w:hAnsi="宋体" w:cs="宋体"/>
              </w:rPr>
            </w:pPr>
          </w:p>
        </w:tc>
        <w:tc>
          <w:tcPr>
            <w:tcW w:w="795" w:type="dxa"/>
            <w:tcBorders>
              <w:top w:val="single" w:sz="4" w:space="0" w:color="auto"/>
              <w:left w:val="single" w:sz="4" w:space="0" w:color="auto"/>
              <w:bottom w:val="single" w:sz="4" w:space="0" w:color="auto"/>
              <w:right w:val="single" w:sz="4" w:space="0" w:color="auto"/>
            </w:tcBorders>
            <w:vAlign w:val="center"/>
          </w:tcPr>
          <w:p w14:paraId="5517DE7E">
            <w:pPr>
              <w:snapToGrid w:val="0"/>
              <w:spacing w:line="360" w:lineRule="auto"/>
              <w:ind w:left="-240" w:right="-240" w:firstLine="480" w:leftChars="-100" w:rightChars="-100"/>
              <w:jc w:val="center"/>
              <w:rPr>
                <w:rFonts w:ascii="宋体" w:hAnsi="宋体" w:cs="宋体"/>
              </w:rPr>
            </w:pPr>
          </w:p>
        </w:tc>
        <w:tc>
          <w:tcPr>
            <w:tcW w:w="975" w:type="dxa"/>
            <w:tcBorders>
              <w:top w:val="single" w:sz="4" w:space="0" w:color="auto"/>
              <w:left w:val="single" w:sz="4" w:space="0" w:color="auto"/>
              <w:bottom w:val="single" w:sz="4" w:space="0" w:color="auto"/>
              <w:right w:val="single" w:sz="4" w:space="0" w:color="auto"/>
            </w:tcBorders>
            <w:vAlign w:val="center"/>
          </w:tcPr>
          <w:p w14:paraId="2A5304E0">
            <w:pPr>
              <w:snapToGrid w:val="0"/>
              <w:spacing w:line="360" w:lineRule="auto"/>
              <w:ind w:left="-240" w:right="-240" w:firstLine="480" w:leftChars="-100" w:rightChars="-100"/>
              <w:jc w:val="center"/>
              <w:rPr>
                <w:rFonts w:ascii="宋体" w:hAnsi="宋体" w:cs="宋体"/>
              </w:rPr>
            </w:pPr>
          </w:p>
        </w:tc>
        <w:tc>
          <w:tcPr>
            <w:tcW w:w="927" w:type="dxa"/>
            <w:tcBorders>
              <w:top w:val="single" w:sz="4" w:space="0" w:color="auto"/>
              <w:left w:val="single" w:sz="4" w:space="0" w:color="auto"/>
              <w:bottom w:val="single" w:sz="4" w:space="0" w:color="auto"/>
              <w:right w:val="single" w:sz="4" w:space="0" w:color="auto"/>
            </w:tcBorders>
            <w:vAlign w:val="center"/>
          </w:tcPr>
          <w:p w14:paraId="29E61450">
            <w:pPr>
              <w:snapToGrid w:val="0"/>
              <w:spacing w:line="360" w:lineRule="auto"/>
              <w:ind w:left="-240" w:right="-240" w:firstLine="480" w:leftChars="-100" w:rightChars="-100"/>
              <w:jc w:val="center"/>
              <w:rPr>
                <w:rFonts w:ascii="宋体" w:hAnsi="宋体" w:cs="宋体"/>
              </w:rPr>
            </w:pPr>
          </w:p>
        </w:tc>
        <w:tc>
          <w:tcPr>
            <w:tcW w:w="695" w:type="dxa"/>
            <w:tcBorders>
              <w:top w:val="single" w:sz="4" w:space="0" w:color="auto"/>
              <w:left w:val="single" w:sz="4" w:space="0" w:color="auto"/>
              <w:bottom w:val="single" w:sz="4" w:space="0" w:color="auto"/>
              <w:right w:val="single" w:sz="4" w:space="0" w:color="auto"/>
            </w:tcBorders>
            <w:vAlign w:val="center"/>
          </w:tcPr>
          <w:p w14:paraId="7F315609">
            <w:pPr>
              <w:snapToGrid w:val="0"/>
              <w:spacing w:line="360" w:lineRule="auto"/>
              <w:ind w:left="-240" w:right="-240" w:firstLine="480" w:leftChars="-100" w:rightChars="-100"/>
              <w:jc w:val="center"/>
              <w:rPr>
                <w:rFonts w:ascii="宋体" w:hAnsi="宋体" w:cs="宋体"/>
              </w:rPr>
            </w:pPr>
          </w:p>
        </w:tc>
        <w:tc>
          <w:tcPr>
            <w:tcW w:w="798" w:type="dxa"/>
            <w:tcBorders>
              <w:top w:val="single" w:sz="4" w:space="0" w:color="auto"/>
              <w:left w:val="single" w:sz="4" w:space="0" w:color="auto"/>
              <w:bottom w:val="single" w:sz="4" w:space="0" w:color="auto"/>
              <w:right w:val="single" w:sz="4" w:space="0" w:color="auto"/>
            </w:tcBorders>
            <w:vAlign w:val="center"/>
          </w:tcPr>
          <w:p w14:paraId="0B6E1D30">
            <w:pPr>
              <w:snapToGrid w:val="0"/>
              <w:spacing w:line="360" w:lineRule="auto"/>
              <w:ind w:left="-240" w:right="-240" w:firstLine="480" w:leftChars="-100" w:rightChars="-100"/>
              <w:jc w:val="center"/>
              <w:rPr>
                <w:rFonts w:ascii="宋体" w:hAnsi="宋体" w:cs="宋体"/>
              </w:rPr>
            </w:pPr>
          </w:p>
        </w:tc>
        <w:tc>
          <w:tcPr>
            <w:tcW w:w="519" w:type="dxa"/>
            <w:tcBorders>
              <w:top w:val="single" w:sz="4" w:space="0" w:color="auto"/>
              <w:left w:val="single" w:sz="4" w:space="0" w:color="auto"/>
              <w:bottom w:val="single" w:sz="4" w:space="0" w:color="auto"/>
              <w:right w:val="single" w:sz="12" w:space="0" w:color="auto"/>
            </w:tcBorders>
            <w:vAlign w:val="center"/>
          </w:tcPr>
          <w:p w14:paraId="65F05378">
            <w:pPr>
              <w:snapToGrid w:val="0"/>
              <w:spacing w:line="360" w:lineRule="auto"/>
              <w:ind w:left="-240" w:right="-240" w:firstLine="480" w:leftChars="-100" w:rightChars="-100"/>
              <w:jc w:val="center"/>
              <w:rPr>
                <w:rFonts w:ascii="宋体" w:hAnsi="宋体" w:cs="宋体"/>
              </w:rPr>
            </w:pPr>
          </w:p>
        </w:tc>
      </w:tr>
      <w:tr w14:paraId="68325392">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31D6D9D4">
            <w:pPr>
              <w:snapToGrid w:val="0"/>
              <w:spacing w:line="360" w:lineRule="auto"/>
              <w:ind w:left="-240" w:right="-240" w:firstLine="480" w:leftChars="-100" w:rightChars="-100"/>
              <w:jc w:val="center"/>
              <w:rPr>
                <w:rFonts w:ascii="宋体" w:hAnsi="宋体" w:cs="宋体"/>
              </w:rPr>
            </w:pPr>
          </w:p>
        </w:tc>
        <w:tc>
          <w:tcPr>
            <w:tcW w:w="1311" w:type="dxa"/>
            <w:tcBorders>
              <w:top w:val="single" w:sz="4" w:space="0" w:color="auto"/>
              <w:left w:val="single" w:sz="4" w:space="0" w:color="auto"/>
              <w:bottom w:val="single" w:sz="4" w:space="0" w:color="auto"/>
              <w:right w:val="single" w:sz="4" w:space="0" w:color="auto"/>
            </w:tcBorders>
            <w:vAlign w:val="center"/>
          </w:tcPr>
          <w:p w14:paraId="45911412">
            <w:pPr>
              <w:snapToGrid w:val="0"/>
              <w:spacing w:line="360" w:lineRule="auto"/>
              <w:ind w:left="-240" w:right="-240" w:firstLine="480" w:leftChars="-100" w:rightChars="-100"/>
              <w:jc w:val="center"/>
              <w:rPr>
                <w:rFonts w:ascii="宋体" w:hAnsi="宋体" w:cs="宋体"/>
              </w:rPr>
            </w:pPr>
          </w:p>
        </w:tc>
        <w:tc>
          <w:tcPr>
            <w:tcW w:w="1325" w:type="dxa"/>
            <w:tcBorders>
              <w:top w:val="single" w:sz="4" w:space="0" w:color="auto"/>
              <w:left w:val="single" w:sz="4" w:space="0" w:color="auto"/>
              <w:bottom w:val="single" w:sz="4" w:space="0" w:color="auto"/>
              <w:right w:val="single" w:sz="4" w:space="0" w:color="auto"/>
            </w:tcBorders>
            <w:vAlign w:val="center"/>
          </w:tcPr>
          <w:p w14:paraId="3846CAFC">
            <w:pPr>
              <w:snapToGrid w:val="0"/>
              <w:spacing w:line="360" w:lineRule="auto"/>
              <w:ind w:left="-240" w:right="-240" w:firstLine="480" w:leftChars="-100" w:rightChars="-100"/>
              <w:jc w:val="center"/>
              <w:rPr>
                <w:rFonts w:ascii="宋体" w:hAnsi="宋体" w:cs="宋体"/>
              </w:rPr>
            </w:pPr>
          </w:p>
        </w:tc>
        <w:tc>
          <w:tcPr>
            <w:tcW w:w="879" w:type="dxa"/>
            <w:tcBorders>
              <w:top w:val="single" w:sz="4" w:space="0" w:color="auto"/>
              <w:left w:val="single" w:sz="4" w:space="0" w:color="auto"/>
              <w:bottom w:val="single" w:sz="4" w:space="0" w:color="auto"/>
              <w:right w:val="single" w:sz="4" w:space="0" w:color="auto"/>
            </w:tcBorders>
            <w:vAlign w:val="center"/>
          </w:tcPr>
          <w:p w14:paraId="4156AC46">
            <w:pPr>
              <w:snapToGrid w:val="0"/>
              <w:spacing w:line="360" w:lineRule="auto"/>
              <w:ind w:left="-240" w:right="-240" w:firstLine="480" w:leftChars="-100" w:rightChars="-100"/>
              <w:jc w:val="center"/>
              <w:rPr>
                <w:rFonts w:ascii="宋体" w:hAnsi="宋体" w:cs="宋体"/>
              </w:rPr>
            </w:pPr>
          </w:p>
        </w:tc>
        <w:tc>
          <w:tcPr>
            <w:tcW w:w="795" w:type="dxa"/>
            <w:tcBorders>
              <w:top w:val="single" w:sz="4" w:space="0" w:color="auto"/>
              <w:left w:val="single" w:sz="4" w:space="0" w:color="auto"/>
              <w:bottom w:val="single" w:sz="4" w:space="0" w:color="auto"/>
              <w:right w:val="single" w:sz="4" w:space="0" w:color="auto"/>
            </w:tcBorders>
            <w:vAlign w:val="center"/>
          </w:tcPr>
          <w:p w14:paraId="2B0D4B15">
            <w:pPr>
              <w:snapToGrid w:val="0"/>
              <w:spacing w:line="360" w:lineRule="auto"/>
              <w:ind w:left="-240" w:right="-240" w:firstLine="480" w:leftChars="-100" w:rightChars="-100"/>
              <w:jc w:val="center"/>
              <w:rPr>
                <w:rFonts w:ascii="宋体" w:hAnsi="宋体" w:cs="宋体"/>
              </w:rPr>
            </w:pPr>
          </w:p>
        </w:tc>
        <w:tc>
          <w:tcPr>
            <w:tcW w:w="975" w:type="dxa"/>
            <w:tcBorders>
              <w:top w:val="single" w:sz="4" w:space="0" w:color="auto"/>
              <w:left w:val="single" w:sz="4" w:space="0" w:color="auto"/>
              <w:bottom w:val="single" w:sz="4" w:space="0" w:color="auto"/>
              <w:right w:val="single" w:sz="4" w:space="0" w:color="auto"/>
            </w:tcBorders>
            <w:vAlign w:val="center"/>
          </w:tcPr>
          <w:p w14:paraId="3B69B949">
            <w:pPr>
              <w:snapToGrid w:val="0"/>
              <w:spacing w:line="360" w:lineRule="auto"/>
              <w:ind w:left="-240" w:right="-240" w:firstLine="480" w:leftChars="-100" w:rightChars="-100"/>
              <w:jc w:val="center"/>
              <w:rPr>
                <w:rFonts w:ascii="宋体" w:hAnsi="宋体" w:cs="宋体"/>
              </w:rPr>
            </w:pPr>
          </w:p>
        </w:tc>
        <w:tc>
          <w:tcPr>
            <w:tcW w:w="927" w:type="dxa"/>
            <w:tcBorders>
              <w:top w:val="single" w:sz="4" w:space="0" w:color="auto"/>
              <w:left w:val="single" w:sz="4" w:space="0" w:color="auto"/>
              <w:bottom w:val="single" w:sz="4" w:space="0" w:color="auto"/>
              <w:right w:val="single" w:sz="4" w:space="0" w:color="auto"/>
            </w:tcBorders>
            <w:vAlign w:val="center"/>
          </w:tcPr>
          <w:p w14:paraId="51CCD890">
            <w:pPr>
              <w:snapToGrid w:val="0"/>
              <w:spacing w:line="360" w:lineRule="auto"/>
              <w:ind w:left="-240" w:right="-240" w:firstLine="480" w:leftChars="-100" w:rightChars="-100"/>
              <w:jc w:val="center"/>
              <w:rPr>
                <w:rFonts w:ascii="宋体" w:hAnsi="宋体" w:cs="宋体"/>
              </w:rPr>
            </w:pPr>
          </w:p>
        </w:tc>
        <w:tc>
          <w:tcPr>
            <w:tcW w:w="695" w:type="dxa"/>
            <w:tcBorders>
              <w:top w:val="single" w:sz="4" w:space="0" w:color="auto"/>
              <w:left w:val="single" w:sz="4" w:space="0" w:color="auto"/>
              <w:bottom w:val="single" w:sz="4" w:space="0" w:color="auto"/>
              <w:right w:val="single" w:sz="4" w:space="0" w:color="auto"/>
            </w:tcBorders>
            <w:vAlign w:val="center"/>
          </w:tcPr>
          <w:p w14:paraId="13B292CA">
            <w:pPr>
              <w:snapToGrid w:val="0"/>
              <w:spacing w:line="360" w:lineRule="auto"/>
              <w:ind w:left="-240" w:right="-240" w:firstLine="480" w:leftChars="-100" w:rightChars="-100"/>
              <w:jc w:val="center"/>
              <w:rPr>
                <w:rFonts w:ascii="宋体" w:hAnsi="宋体" w:cs="宋体"/>
              </w:rPr>
            </w:pPr>
          </w:p>
        </w:tc>
        <w:tc>
          <w:tcPr>
            <w:tcW w:w="798" w:type="dxa"/>
            <w:tcBorders>
              <w:top w:val="single" w:sz="4" w:space="0" w:color="auto"/>
              <w:left w:val="single" w:sz="4" w:space="0" w:color="auto"/>
              <w:bottom w:val="single" w:sz="4" w:space="0" w:color="auto"/>
              <w:right w:val="single" w:sz="4" w:space="0" w:color="auto"/>
            </w:tcBorders>
            <w:vAlign w:val="center"/>
          </w:tcPr>
          <w:p w14:paraId="39054944">
            <w:pPr>
              <w:snapToGrid w:val="0"/>
              <w:spacing w:line="360" w:lineRule="auto"/>
              <w:ind w:left="-240" w:right="-240" w:firstLine="480" w:leftChars="-100" w:rightChars="-100"/>
              <w:jc w:val="center"/>
              <w:rPr>
                <w:rFonts w:ascii="宋体" w:hAnsi="宋体" w:cs="宋体"/>
              </w:rPr>
            </w:pPr>
          </w:p>
        </w:tc>
        <w:tc>
          <w:tcPr>
            <w:tcW w:w="519" w:type="dxa"/>
            <w:tcBorders>
              <w:top w:val="single" w:sz="4" w:space="0" w:color="auto"/>
              <w:left w:val="single" w:sz="4" w:space="0" w:color="auto"/>
              <w:bottom w:val="single" w:sz="4" w:space="0" w:color="auto"/>
              <w:right w:val="single" w:sz="12" w:space="0" w:color="auto"/>
            </w:tcBorders>
            <w:vAlign w:val="center"/>
          </w:tcPr>
          <w:p w14:paraId="7E1366D4">
            <w:pPr>
              <w:snapToGrid w:val="0"/>
              <w:spacing w:line="360" w:lineRule="auto"/>
              <w:ind w:left="-240" w:right="-240" w:firstLine="480" w:leftChars="-100" w:rightChars="-100"/>
              <w:jc w:val="center"/>
              <w:rPr>
                <w:rFonts w:ascii="宋体" w:hAnsi="宋体" w:cs="宋体"/>
              </w:rPr>
            </w:pPr>
          </w:p>
        </w:tc>
      </w:tr>
      <w:tr w14:paraId="53DC303C">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1CFAE5CF">
            <w:pPr>
              <w:snapToGrid w:val="0"/>
              <w:spacing w:line="360" w:lineRule="auto"/>
              <w:ind w:left="-240" w:right="-240" w:firstLine="480" w:leftChars="-100" w:rightChars="-100"/>
              <w:jc w:val="center"/>
              <w:rPr>
                <w:rFonts w:ascii="宋体" w:hAnsi="宋体" w:cs="宋体"/>
              </w:rPr>
            </w:pPr>
          </w:p>
        </w:tc>
        <w:tc>
          <w:tcPr>
            <w:tcW w:w="1311" w:type="dxa"/>
            <w:tcBorders>
              <w:top w:val="single" w:sz="4" w:space="0" w:color="auto"/>
              <w:left w:val="single" w:sz="4" w:space="0" w:color="auto"/>
              <w:bottom w:val="single" w:sz="4" w:space="0" w:color="auto"/>
              <w:right w:val="single" w:sz="4" w:space="0" w:color="auto"/>
            </w:tcBorders>
            <w:vAlign w:val="center"/>
          </w:tcPr>
          <w:p w14:paraId="4C92353E">
            <w:pPr>
              <w:snapToGrid w:val="0"/>
              <w:spacing w:line="360" w:lineRule="auto"/>
              <w:ind w:left="-240" w:right="-240" w:firstLine="480" w:leftChars="-100" w:rightChars="-100"/>
              <w:jc w:val="center"/>
              <w:rPr>
                <w:rFonts w:ascii="宋体" w:hAnsi="宋体" w:cs="宋体"/>
              </w:rPr>
            </w:pPr>
          </w:p>
        </w:tc>
        <w:tc>
          <w:tcPr>
            <w:tcW w:w="1325" w:type="dxa"/>
            <w:tcBorders>
              <w:top w:val="single" w:sz="4" w:space="0" w:color="auto"/>
              <w:left w:val="single" w:sz="4" w:space="0" w:color="auto"/>
              <w:bottom w:val="single" w:sz="4" w:space="0" w:color="auto"/>
              <w:right w:val="single" w:sz="4" w:space="0" w:color="auto"/>
            </w:tcBorders>
            <w:vAlign w:val="center"/>
          </w:tcPr>
          <w:p w14:paraId="2417313E">
            <w:pPr>
              <w:snapToGrid w:val="0"/>
              <w:spacing w:line="360" w:lineRule="auto"/>
              <w:ind w:left="-240" w:right="-240" w:firstLine="480" w:leftChars="-100" w:rightChars="-100"/>
              <w:jc w:val="center"/>
              <w:rPr>
                <w:rFonts w:ascii="宋体" w:hAnsi="宋体" w:cs="宋体"/>
              </w:rPr>
            </w:pPr>
          </w:p>
        </w:tc>
        <w:tc>
          <w:tcPr>
            <w:tcW w:w="879" w:type="dxa"/>
            <w:tcBorders>
              <w:top w:val="single" w:sz="4" w:space="0" w:color="auto"/>
              <w:left w:val="single" w:sz="4" w:space="0" w:color="auto"/>
              <w:bottom w:val="single" w:sz="4" w:space="0" w:color="auto"/>
              <w:right w:val="single" w:sz="4" w:space="0" w:color="auto"/>
            </w:tcBorders>
            <w:vAlign w:val="center"/>
          </w:tcPr>
          <w:p w14:paraId="44F923A1">
            <w:pPr>
              <w:snapToGrid w:val="0"/>
              <w:spacing w:line="360" w:lineRule="auto"/>
              <w:ind w:left="-240" w:right="-240" w:firstLine="480" w:leftChars="-100" w:rightChars="-100"/>
              <w:jc w:val="center"/>
              <w:rPr>
                <w:rFonts w:ascii="宋体" w:hAnsi="宋体" w:cs="宋体"/>
              </w:rPr>
            </w:pPr>
          </w:p>
        </w:tc>
        <w:tc>
          <w:tcPr>
            <w:tcW w:w="795" w:type="dxa"/>
            <w:tcBorders>
              <w:top w:val="single" w:sz="4" w:space="0" w:color="auto"/>
              <w:left w:val="single" w:sz="4" w:space="0" w:color="auto"/>
              <w:bottom w:val="single" w:sz="4" w:space="0" w:color="auto"/>
              <w:right w:val="single" w:sz="4" w:space="0" w:color="auto"/>
            </w:tcBorders>
            <w:vAlign w:val="center"/>
          </w:tcPr>
          <w:p w14:paraId="4E89C6B1">
            <w:pPr>
              <w:snapToGrid w:val="0"/>
              <w:spacing w:line="360" w:lineRule="auto"/>
              <w:ind w:left="-240" w:right="-240" w:firstLine="480" w:leftChars="-100" w:rightChars="-100"/>
              <w:jc w:val="center"/>
              <w:rPr>
                <w:rFonts w:ascii="宋体" w:hAnsi="宋体" w:cs="宋体"/>
              </w:rPr>
            </w:pPr>
          </w:p>
        </w:tc>
        <w:tc>
          <w:tcPr>
            <w:tcW w:w="975" w:type="dxa"/>
            <w:tcBorders>
              <w:top w:val="single" w:sz="4" w:space="0" w:color="auto"/>
              <w:left w:val="single" w:sz="4" w:space="0" w:color="auto"/>
              <w:bottom w:val="single" w:sz="4" w:space="0" w:color="auto"/>
              <w:right w:val="single" w:sz="4" w:space="0" w:color="auto"/>
            </w:tcBorders>
            <w:vAlign w:val="center"/>
          </w:tcPr>
          <w:p w14:paraId="66763717">
            <w:pPr>
              <w:snapToGrid w:val="0"/>
              <w:spacing w:line="360" w:lineRule="auto"/>
              <w:ind w:left="-240" w:right="-240" w:firstLine="480" w:leftChars="-100" w:rightChars="-100"/>
              <w:jc w:val="center"/>
              <w:rPr>
                <w:rFonts w:ascii="宋体" w:hAnsi="宋体" w:cs="宋体"/>
              </w:rPr>
            </w:pPr>
          </w:p>
        </w:tc>
        <w:tc>
          <w:tcPr>
            <w:tcW w:w="927" w:type="dxa"/>
            <w:tcBorders>
              <w:top w:val="single" w:sz="4" w:space="0" w:color="auto"/>
              <w:left w:val="single" w:sz="4" w:space="0" w:color="auto"/>
              <w:bottom w:val="single" w:sz="4" w:space="0" w:color="auto"/>
              <w:right w:val="single" w:sz="4" w:space="0" w:color="auto"/>
            </w:tcBorders>
            <w:vAlign w:val="center"/>
          </w:tcPr>
          <w:p w14:paraId="788FDEF2">
            <w:pPr>
              <w:snapToGrid w:val="0"/>
              <w:spacing w:line="360" w:lineRule="auto"/>
              <w:ind w:left="-240" w:right="-240" w:firstLine="480" w:leftChars="-100" w:rightChars="-100"/>
              <w:jc w:val="center"/>
              <w:rPr>
                <w:rFonts w:ascii="宋体" w:hAnsi="宋体" w:cs="宋体"/>
              </w:rPr>
            </w:pPr>
          </w:p>
        </w:tc>
        <w:tc>
          <w:tcPr>
            <w:tcW w:w="695" w:type="dxa"/>
            <w:tcBorders>
              <w:top w:val="single" w:sz="4" w:space="0" w:color="auto"/>
              <w:left w:val="single" w:sz="4" w:space="0" w:color="auto"/>
              <w:bottom w:val="single" w:sz="4" w:space="0" w:color="auto"/>
              <w:right w:val="single" w:sz="4" w:space="0" w:color="auto"/>
            </w:tcBorders>
            <w:vAlign w:val="center"/>
          </w:tcPr>
          <w:p w14:paraId="2A50DAE7">
            <w:pPr>
              <w:snapToGrid w:val="0"/>
              <w:spacing w:line="360" w:lineRule="auto"/>
              <w:ind w:left="-240" w:right="-240" w:firstLine="480" w:leftChars="-100" w:rightChars="-100"/>
              <w:jc w:val="center"/>
              <w:rPr>
                <w:rFonts w:ascii="宋体" w:hAnsi="宋体" w:cs="宋体"/>
              </w:rPr>
            </w:pPr>
          </w:p>
        </w:tc>
        <w:tc>
          <w:tcPr>
            <w:tcW w:w="798" w:type="dxa"/>
            <w:tcBorders>
              <w:top w:val="single" w:sz="4" w:space="0" w:color="auto"/>
              <w:left w:val="single" w:sz="4" w:space="0" w:color="auto"/>
              <w:bottom w:val="single" w:sz="4" w:space="0" w:color="auto"/>
              <w:right w:val="single" w:sz="4" w:space="0" w:color="auto"/>
            </w:tcBorders>
            <w:vAlign w:val="center"/>
          </w:tcPr>
          <w:p w14:paraId="2D385A6A">
            <w:pPr>
              <w:snapToGrid w:val="0"/>
              <w:spacing w:line="360" w:lineRule="auto"/>
              <w:ind w:left="-240" w:right="-240" w:firstLine="480" w:leftChars="-100" w:rightChars="-100"/>
              <w:jc w:val="center"/>
              <w:rPr>
                <w:rFonts w:ascii="宋体" w:hAnsi="宋体" w:cs="宋体"/>
              </w:rPr>
            </w:pPr>
          </w:p>
        </w:tc>
        <w:tc>
          <w:tcPr>
            <w:tcW w:w="519" w:type="dxa"/>
            <w:tcBorders>
              <w:top w:val="single" w:sz="4" w:space="0" w:color="auto"/>
              <w:left w:val="single" w:sz="4" w:space="0" w:color="auto"/>
              <w:bottom w:val="single" w:sz="4" w:space="0" w:color="auto"/>
              <w:right w:val="single" w:sz="12" w:space="0" w:color="auto"/>
            </w:tcBorders>
            <w:vAlign w:val="center"/>
          </w:tcPr>
          <w:p w14:paraId="12B14B2A">
            <w:pPr>
              <w:snapToGrid w:val="0"/>
              <w:spacing w:line="360" w:lineRule="auto"/>
              <w:ind w:left="-240" w:right="-240" w:firstLine="480" w:leftChars="-100" w:rightChars="-100"/>
              <w:jc w:val="center"/>
              <w:rPr>
                <w:rFonts w:ascii="宋体" w:hAnsi="宋体" w:cs="宋体"/>
              </w:rPr>
            </w:pPr>
          </w:p>
        </w:tc>
      </w:tr>
      <w:tr w14:paraId="29F3E284">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20C916EB">
            <w:pPr>
              <w:snapToGrid w:val="0"/>
              <w:spacing w:line="360" w:lineRule="auto"/>
              <w:ind w:left="-240" w:right="-240" w:firstLine="480" w:leftChars="-100" w:rightChars="-100"/>
              <w:jc w:val="center"/>
              <w:rPr>
                <w:rFonts w:ascii="宋体" w:hAnsi="宋体" w:cs="宋体"/>
              </w:rPr>
            </w:pPr>
          </w:p>
        </w:tc>
        <w:tc>
          <w:tcPr>
            <w:tcW w:w="1311" w:type="dxa"/>
            <w:tcBorders>
              <w:top w:val="single" w:sz="4" w:space="0" w:color="auto"/>
              <w:left w:val="single" w:sz="4" w:space="0" w:color="auto"/>
              <w:bottom w:val="single" w:sz="4" w:space="0" w:color="auto"/>
              <w:right w:val="single" w:sz="4" w:space="0" w:color="auto"/>
            </w:tcBorders>
            <w:vAlign w:val="center"/>
          </w:tcPr>
          <w:p w14:paraId="2E190A6C">
            <w:pPr>
              <w:snapToGrid w:val="0"/>
              <w:spacing w:line="360" w:lineRule="auto"/>
              <w:ind w:left="-240" w:right="-240" w:firstLine="480" w:leftChars="-100" w:rightChars="-100"/>
              <w:jc w:val="center"/>
              <w:rPr>
                <w:rFonts w:ascii="宋体" w:hAnsi="宋体" w:cs="宋体"/>
              </w:rPr>
            </w:pPr>
          </w:p>
        </w:tc>
        <w:tc>
          <w:tcPr>
            <w:tcW w:w="1325" w:type="dxa"/>
            <w:tcBorders>
              <w:top w:val="single" w:sz="4" w:space="0" w:color="auto"/>
              <w:left w:val="single" w:sz="4" w:space="0" w:color="auto"/>
              <w:bottom w:val="single" w:sz="4" w:space="0" w:color="auto"/>
              <w:right w:val="single" w:sz="4" w:space="0" w:color="auto"/>
            </w:tcBorders>
            <w:vAlign w:val="center"/>
          </w:tcPr>
          <w:p w14:paraId="7AFA622B">
            <w:pPr>
              <w:snapToGrid w:val="0"/>
              <w:spacing w:line="360" w:lineRule="auto"/>
              <w:ind w:left="-240" w:right="-240" w:firstLine="480" w:leftChars="-100" w:rightChars="-100"/>
              <w:jc w:val="center"/>
              <w:rPr>
                <w:rFonts w:ascii="宋体" w:hAnsi="宋体" w:cs="宋体"/>
              </w:rPr>
            </w:pPr>
          </w:p>
        </w:tc>
        <w:tc>
          <w:tcPr>
            <w:tcW w:w="879" w:type="dxa"/>
            <w:tcBorders>
              <w:top w:val="single" w:sz="4" w:space="0" w:color="auto"/>
              <w:left w:val="single" w:sz="4" w:space="0" w:color="auto"/>
              <w:bottom w:val="single" w:sz="4" w:space="0" w:color="auto"/>
              <w:right w:val="single" w:sz="4" w:space="0" w:color="auto"/>
            </w:tcBorders>
            <w:vAlign w:val="center"/>
          </w:tcPr>
          <w:p w14:paraId="574EE0B8">
            <w:pPr>
              <w:snapToGrid w:val="0"/>
              <w:spacing w:line="360" w:lineRule="auto"/>
              <w:ind w:left="-240" w:right="-240" w:firstLine="480" w:leftChars="-100" w:rightChars="-100"/>
              <w:jc w:val="center"/>
              <w:rPr>
                <w:rFonts w:ascii="宋体" w:hAnsi="宋体" w:cs="宋体"/>
              </w:rPr>
            </w:pPr>
          </w:p>
        </w:tc>
        <w:tc>
          <w:tcPr>
            <w:tcW w:w="795" w:type="dxa"/>
            <w:tcBorders>
              <w:top w:val="single" w:sz="4" w:space="0" w:color="auto"/>
              <w:left w:val="single" w:sz="4" w:space="0" w:color="auto"/>
              <w:bottom w:val="single" w:sz="4" w:space="0" w:color="auto"/>
              <w:right w:val="single" w:sz="4" w:space="0" w:color="auto"/>
            </w:tcBorders>
            <w:vAlign w:val="center"/>
          </w:tcPr>
          <w:p w14:paraId="322CA6C6">
            <w:pPr>
              <w:snapToGrid w:val="0"/>
              <w:spacing w:line="360" w:lineRule="auto"/>
              <w:ind w:left="-240" w:right="-240" w:firstLine="480" w:leftChars="-100" w:rightChars="-100"/>
              <w:jc w:val="center"/>
              <w:rPr>
                <w:rFonts w:ascii="宋体" w:hAnsi="宋体" w:cs="宋体"/>
              </w:rPr>
            </w:pPr>
          </w:p>
        </w:tc>
        <w:tc>
          <w:tcPr>
            <w:tcW w:w="975" w:type="dxa"/>
            <w:tcBorders>
              <w:top w:val="single" w:sz="4" w:space="0" w:color="auto"/>
              <w:left w:val="single" w:sz="4" w:space="0" w:color="auto"/>
              <w:bottom w:val="single" w:sz="4" w:space="0" w:color="auto"/>
              <w:right w:val="single" w:sz="4" w:space="0" w:color="auto"/>
            </w:tcBorders>
            <w:vAlign w:val="center"/>
          </w:tcPr>
          <w:p w14:paraId="718A6F2F">
            <w:pPr>
              <w:snapToGrid w:val="0"/>
              <w:spacing w:line="360" w:lineRule="auto"/>
              <w:ind w:left="-240" w:right="-240" w:firstLine="480" w:leftChars="-100" w:rightChars="-100"/>
              <w:jc w:val="center"/>
              <w:rPr>
                <w:rFonts w:ascii="宋体" w:hAnsi="宋体" w:cs="宋体"/>
              </w:rPr>
            </w:pPr>
          </w:p>
        </w:tc>
        <w:tc>
          <w:tcPr>
            <w:tcW w:w="927" w:type="dxa"/>
            <w:tcBorders>
              <w:top w:val="single" w:sz="4" w:space="0" w:color="auto"/>
              <w:left w:val="single" w:sz="4" w:space="0" w:color="auto"/>
              <w:bottom w:val="single" w:sz="4" w:space="0" w:color="auto"/>
              <w:right w:val="single" w:sz="4" w:space="0" w:color="auto"/>
            </w:tcBorders>
            <w:vAlign w:val="center"/>
          </w:tcPr>
          <w:p w14:paraId="7481DB66">
            <w:pPr>
              <w:snapToGrid w:val="0"/>
              <w:spacing w:line="360" w:lineRule="auto"/>
              <w:ind w:left="-240" w:right="-240" w:firstLine="480" w:leftChars="-100" w:rightChars="-100"/>
              <w:jc w:val="center"/>
              <w:rPr>
                <w:rFonts w:ascii="宋体" w:hAnsi="宋体" w:cs="宋体"/>
              </w:rPr>
            </w:pPr>
          </w:p>
        </w:tc>
        <w:tc>
          <w:tcPr>
            <w:tcW w:w="695" w:type="dxa"/>
            <w:tcBorders>
              <w:top w:val="single" w:sz="4" w:space="0" w:color="auto"/>
              <w:left w:val="single" w:sz="4" w:space="0" w:color="auto"/>
              <w:bottom w:val="single" w:sz="4" w:space="0" w:color="auto"/>
              <w:right w:val="single" w:sz="4" w:space="0" w:color="auto"/>
            </w:tcBorders>
            <w:vAlign w:val="center"/>
          </w:tcPr>
          <w:p w14:paraId="35F5815A">
            <w:pPr>
              <w:snapToGrid w:val="0"/>
              <w:spacing w:line="360" w:lineRule="auto"/>
              <w:ind w:left="-240" w:right="-240" w:firstLine="480" w:leftChars="-100" w:rightChars="-100"/>
              <w:jc w:val="center"/>
              <w:rPr>
                <w:rFonts w:ascii="宋体" w:hAnsi="宋体" w:cs="宋体"/>
              </w:rPr>
            </w:pPr>
          </w:p>
        </w:tc>
        <w:tc>
          <w:tcPr>
            <w:tcW w:w="798" w:type="dxa"/>
            <w:tcBorders>
              <w:top w:val="single" w:sz="4" w:space="0" w:color="auto"/>
              <w:left w:val="single" w:sz="4" w:space="0" w:color="auto"/>
              <w:bottom w:val="single" w:sz="4" w:space="0" w:color="auto"/>
              <w:right w:val="single" w:sz="4" w:space="0" w:color="auto"/>
            </w:tcBorders>
            <w:vAlign w:val="center"/>
          </w:tcPr>
          <w:p w14:paraId="2F536C21">
            <w:pPr>
              <w:snapToGrid w:val="0"/>
              <w:spacing w:line="360" w:lineRule="auto"/>
              <w:ind w:left="-240" w:right="-240" w:firstLine="480" w:leftChars="-100" w:rightChars="-100"/>
              <w:jc w:val="center"/>
              <w:rPr>
                <w:rFonts w:ascii="宋体" w:hAnsi="宋体" w:cs="宋体"/>
              </w:rPr>
            </w:pPr>
          </w:p>
        </w:tc>
        <w:tc>
          <w:tcPr>
            <w:tcW w:w="519" w:type="dxa"/>
            <w:tcBorders>
              <w:top w:val="single" w:sz="4" w:space="0" w:color="auto"/>
              <w:left w:val="single" w:sz="4" w:space="0" w:color="auto"/>
              <w:bottom w:val="single" w:sz="4" w:space="0" w:color="auto"/>
              <w:right w:val="single" w:sz="12" w:space="0" w:color="auto"/>
            </w:tcBorders>
            <w:vAlign w:val="center"/>
          </w:tcPr>
          <w:p w14:paraId="31B7DB86">
            <w:pPr>
              <w:snapToGrid w:val="0"/>
              <w:spacing w:line="360" w:lineRule="auto"/>
              <w:ind w:left="-240" w:right="-240" w:firstLine="480" w:leftChars="-100" w:rightChars="-100"/>
              <w:jc w:val="center"/>
              <w:rPr>
                <w:rFonts w:ascii="宋体" w:hAnsi="宋体" w:cs="宋体"/>
              </w:rPr>
            </w:pPr>
          </w:p>
        </w:tc>
      </w:tr>
      <w:tr w14:paraId="38604058">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1F015BB6">
            <w:pPr>
              <w:snapToGrid w:val="0"/>
              <w:spacing w:line="360" w:lineRule="auto"/>
              <w:ind w:left="-240" w:right="-240" w:firstLine="480" w:leftChars="-100" w:rightChars="-100"/>
              <w:jc w:val="center"/>
              <w:rPr>
                <w:rFonts w:ascii="宋体" w:hAnsi="宋体" w:cs="宋体"/>
              </w:rPr>
            </w:pPr>
          </w:p>
        </w:tc>
        <w:tc>
          <w:tcPr>
            <w:tcW w:w="1311" w:type="dxa"/>
            <w:tcBorders>
              <w:top w:val="single" w:sz="4" w:space="0" w:color="auto"/>
              <w:left w:val="single" w:sz="4" w:space="0" w:color="auto"/>
              <w:bottom w:val="single" w:sz="4" w:space="0" w:color="auto"/>
              <w:right w:val="single" w:sz="4" w:space="0" w:color="auto"/>
            </w:tcBorders>
            <w:vAlign w:val="center"/>
          </w:tcPr>
          <w:p w14:paraId="50E064A4">
            <w:pPr>
              <w:snapToGrid w:val="0"/>
              <w:spacing w:line="360" w:lineRule="auto"/>
              <w:ind w:left="-240" w:right="-240" w:firstLine="480" w:leftChars="-100" w:rightChars="-100"/>
              <w:jc w:val="center"/>
              <w:rPr>
                <w:rFonts w:ascii="宋体" w:hAnsi="宋体" w:cs="宋体"/>
              </w:rPr>
            </w:pPr>
          </w:p>
        </w:tc>
        <w:tc>
          <w:tcPr>
            <w:tcW w:w="1325" w:type="dxa"/>
            <w:tcBorders>
              <w:top w:val="single" w:sz="4" w:space="0" w:color="auto"/>
              <w:left w:val="single" w:sz="4" w:space="0" w:color="auto"/>
              <w:bottom w:val="single" w:sz="4" w:space="0" w:color="auto"/>
              <w:right w:val="single" w:sz="4" w:space="0" w:color="auto"/>
            </w:tcBorders>
            <w:vAlign w:val="center"/>
          </w:tcPr>
          <w:p w14:paraId="49784A83">
            <w:pPr>
              <w:snapToGrid w:val="0"/>
              <w:spacing w:line="360" w:lineRule="auto"/>
              <w:ind w:left="-240" w:right="-240" w:firstLine="480" w:leftChars="-100" w:rightChars="-100"/>
              <w:jc w:val="center"/>
              <w:rPr>
                <w:rFonts w:ascii="宋体" w:hAnsi="宋体" w:cs="宋体"/>
              </w:rPr>
            </w:pPr>
          </w:p>
        </w:tc>
        <w:tc>
          <w:tcPr>
            <w:tcW w:w="879" w:type="dxa"/>
            <w:tcBorders>
              <w:top w:val="single" w:sz="4" w:space="0" w:color="auto"/>
              <w:left w:val="single" w:sz="4" w:space="0" w:color="auto"/>
              <w:bottom w:val="single" w:sz="4" w:space="0" w:color="auto"/>
              <w:right w:val="single" w:sz="4" w:space="0" w:color="auto"/>
            </w:tcBorders>
            <w:vAlign w:val="center"/>
          </w:tcPr>
          <w:p w14:paraId="57E0AF9B">
            <w:pPr>
              <w:snapToGrid w:val="0"/>
              <w:spacing w:line="360" w:lineRule="auto"/>
              <w:ind w:left="-240" w:right="-240" w:firstLine="480" w:leftChars="-100" w:rightChars="-100"/>
              <w:jc w:val="center"/>
              <w:rPr>
                <w:rFonts w:ascii="宋体" w:hAnsi="宋体" w:cs="宋体"/>
              </w:rPr>
            </w:pPr>
          </w:p>
        </w:tc>
        <w:tc>
          <w:tcPr>
            <w:tcW w:w="795" w:type="dxa"/>
            <w:tcBorders>
              <w:top w:val="single" w:sz="4" w:space="0" w:color="auto"/>
              <w:left w:val="single" w:sz="4" w:space="0" w:color="auto"/>
              <w:bottom w:val="single" w:sz="4" w:space="0" w:color="auto"/>
              <w:right w:val="single" w:sz="4" w:space="0" w:color="auto"/>
            </w:tcBorders>
            <w:vAlign w:val="center"/>
          </w:tcPr>
          <w:p w14:paraId="522A435C">
            <w:pPr>
              <w:snapToGrid w:val="0"/>
              <w:spacing w:line="360" w:lineRule="auto"/>
              <w:ind w:left="-240" w:right="-240" w:firstLine="480" w:leftChars="-100" w:rightChars="-100"/>
              <w:jc w:val="center"/>
              <w:rPr>
                <w:rFonts w:ascii="宋体" w:hAnsi="宋体" w:cs="宋体"/>
              </w:rPr>
            </w:pPr>
          </w:p>
        </w:tc>
        <w:tc>
          <w:tcPr>
            <w:tcW w:w="975" w:type="dxa"/>
            <w:tcBorders>
              <w:top w:val="single" w:sz="4" w:space="0" w:color="auto"/>
              <w:left w:val="single" w:sz="4" w:space="0" w:color="auto"/>
              <w:bottom w:val="single" w:sz="4" w:space="0" w:color="auto"/>
              <w:right w:val="single" w:sz="4" w:space="0" w:color="auto"/>
            </w:tcBorders>
            <w:vAlign w:val="center"/>
          </w:tcPr>
          <w:p w14:paraId="2A85AD10">
            <w:pPr>
              <w:snapToGrid w:val="0"/>
              <w:spacing w:line="360" w:lineRule="auto"/>
              <w:ind w:left="-240" w:right="-240" w:firstLine="480" w:leftChars="-100" w:rightChars="-100"/>
              <w:jc w:val="center"/>
              <w:rPr>
                <w:rFonts w:ascii="宋体" w:hAnsi="宋体" w:cs="宋体"/>
              </w:rPr>
            </w:pPr>
          </w:p>
        </w:tc>
        <w:tc>
          <w:tcPr>
            <w:tcW w:w="927" w:type="dxa"/>
            <w:tcBorders>
              <w:top w:val="single" w:sz="4" w:space="0" w:color="auto"/>
              <w:left w:val="single" w:sz="4" w:space="0" w:color="auto"/>
              <w:bottom w:val="single" w:sz="4" w:space="0" w:color="auto"/>
              <w:right w:val="single" w:sz="4" w:space="0" w:color="auto"/>
            </w:tcBorders>
            <w:vAlign w:val="center"/>
          </w:tcPr>
          <w:p w14:paraId="46F8DECF">
            <w:pPr>
              <w:snapToGrid w:val="0"/>
              <w:spacing w:line="360" w:lineRule="auto"/>
              <w:ind w:left="-240" w:right="-240" w:firstLine="480" w:leftChars="-100" w:rightChars="-100"/>
              <w:jc w:val="center"/>
              <w:rPr>
                <w:rFonts w:ascii="宋体" w:hAnsi="宋体" w:cs="宋体"/>
              </w:rPr>
            </w:pPr>
          </w:p>
        </w:tc>
        <w:tc>
          <w:tcPr>
            <w:tcW w:w="695" w:type="dxa"/>
            <w:tcBorders>
              <w:top w:val="single" w:sz="4" w:space="0" w:color="auto"/>
              <w:left w:val="single" w:sz="4" w:space="0" w:color="auto"/>
              <w:bottom w:val="single" w:sz="4" w:space="0" w:color="auto"/>
              <w:right w:val="single" w:sz="4" w:space="0" w:color="auto"/>
            </w:tcBorders>
            <w:vAlign w:val="center"/>
          </w:tcPr>
          <w:p w14:paraId="741BB32B">
            <w:pPr>
              <w:snapToGrid w:val="0"/>
              <w:spacing w:line="360" w:lineRule="auto"/>
              <w:ind w:left="-240" w:right="-240" w:firstLine="480" w:leftChars="-100" w:rightChars="-100"/>
              <w:jc w:val="center"/>
              <w:rPr>
                <w:rFonts w:ascii="宋体" w:hAnsi="宋体" w:cs="宋体"/>
              </w:rPr>
            </w:pPr>
          </w:p>
        </w:tc>
        <w:tc>
          <w:tcPr>
            <w:tcW w:w="798" w:type="dxa"/>
            <w:tcBorders>
              <w:top w:val="single" w:sz="4" w:space="0" w:color="auto"/>
              <w:left w:val="single" w:sz="4" w:space="0" w:color="auto"/>
              <w:bottom w:val="single" w:sz="4" w:space="0" w:color="auto"/>
              <w:right w:val="single" w:sz="4" w:space="0" w:color="auto"/>
            </w:tcBorders>
            <w:vAlign w:val="center"/>
          </w:tcPr>
          <w:p w14:paraId="45E4EBF9">
            <w:pPr>
              <w:snapToGrid w:val="0"/>
              <w:spacing w:line="360" w:lineRule="auto"/>
              <w:ind w:left="-240" w:right="-240" w:firstLine="480" w:leftChars="-100" w:rightChars="-100"/>
              <w:jc w:val="center"/>
              <w:rPr>
                <w:rFonts w:ascii="宋体" w:hAnsi="宋体" w:cs="宋体"/>
              </w:rPr>
            </w:pPr>
          </w:p>
        </w:tc>
        <w:tc>
          <w:tcPr>
            <w:tcW w:w="519" w:type="dxa"/>
            <w:tcBorders>
              <w:top w:val="single" w:sz="4" w:space="0" w:color="auto"/>
              <w:left w:val="single" w:sz="4" w:space="0" w:color="auto"/>
              <w:bottom w:val="single" w:sz="4" w:space="0" w:color="auto"/>
              <w:right w:val="single" w:sz="12" w:space="0" w:color="auto"/>
            </w:tcBorders>
            <w:vAlign w:val="center"/>
          </w:tcPr>
          <w:p w14:paraId="561CF9C6">
            <w:pPr>
              <w:snapToGrid w:val="0"/>
              <w:spacing w:line="360" w:lineRule="auto"/>
              <w:ind w:left="-240" w:right="-240" w:firstLine="480" w:leftChars="-100" w:rightChars="-100"/>
              <w:jc w:val="center"/>
              <w:rPr>
                <w:rFonts w:ascii="宋体" w:hAnsi="宋体" w:cs="宋体"/>
              </w:rPr>
            </w:pPr>
          </w:p>
        </w:tc>
      </w:tr>
      <w:tr w14:paraId="16F40637">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29DC2E33">
            <w:pPr>
              <w:snapToGrid w:val="0"/>
              <w:spacing w:line="360" w:lineRule="auto"/>
              <w:ind w:left="-240" w:right="-240" w:firstLine="480" w:leftChars="-100" w:rightChars="-100"/>
              <w:jc w:val="center"/>
              <w:rPr>
                <w:rFonts w:ascii="宋体" w:hAnsi="宋体" w:cs="宋体"/>
              </w:rPr>
            </w:pPr>
          </w:p>
        </w:tc>
        <w:tc>
          <w:tcPr>
            <w:tcW w:w="1311" w:type="dxa"/>
            <w:tcBorders>
              <w:top w:val="single" w:sz="4" w:space="0" w:color="auto"/>
              <w:left w:val="single" w:sz="4" w:space="0" w:color="auto"/>
              <w:bottom w:val="single" w:sz="4" w:space="0" w:color="auto"/>
              <w:right w:val="single" w:sz="4" w:space="0" w:color="auto"/>
            </w:tcBorders>
            <w:vAlign w:val="center"/>
          </w:tcPr>
          <w:p w14:paraId="722CAFBC">
            <w:pPr>
              <w:snapToGrid w:val="0"/>
              <w:spacing w:line="360" w:lineRule="auto"/>
              <w:ind w:left="-240" w:right="-240" w:firstLine="480" w:leftChars="-100" w:rightChars="-100"/>
              <w:jc w:val="center"/>
              <w:rPr>
                <w:rFonts w:ascii="宋体" w:hAnsi="宋体" w:cs="宋体"/>
              </w:rPr>
            </w:pPr>
          </w:p>
        </w:tc>
        <w:tc>
          <w:tcPr>
            <w:tcW w:w="1325" w:type="dxa"/>
            <w:tcBorders>
              <w:top w:val="single" w:sz="4" w:space="0" w:color="auto"/>
              <w:left w:val="single" w:sz="4" w:space="0" w:color="auto"/>
              <w:bottom w:val="single" w:sz="4" w:space="0" w:color="auto"/>
              <w:right w:val="single" w:sz="4" w:space="0" w:color="auto"/>
            </w:tcBorders>
            <w:vAlign w:val="center"/>
          </w:tcPr>
          <w:p w14:paraId="3680A8C1">
            <w:pPr>
              <w:snapToGrid w:val="0"/>
              <w:spacing w:line="360" w:lineRule="auto"/>
              <w:ind w:left="-240" w:right="-240" w:firstLine="480" w:leftChars="-100" w:rightChars="-100"/>
              <w:jc w:val="center"/>
              <w:rPr>
                <w:rFonts w:ascii="宋体" w:hAnsi="宋体" w:cs="宋体"/>
              </w:rPr>
            </w:pPr>
          </w:p>
        </w:tc>
        <w:tc>
          <w:tcPr>
            <w:tcW w:w="879" w:type="dxa"/>
            <w:tcBorders>
              <w:top w:val="single" w:sz="4" w:space="0" w:color="auto"/>
              <w:left w:val="single" w:sz="4" w:space="0" w:color="auto"/>
              <w:bottom w:val="single" w:sz="4" w:space="0" w:color="auto"/>
              <w:right w:val="single" w:sz="4" w:space="0" w:color="auto"/>
            </w:tcBorders>
            <w:vAlign w:val="center"/>
          </w:tcPr>
          <w:p w14:paraId="50793111">
            <w:pPr>
              <w:snapToGrid w:val="0"/>
              <w:spacing w:line="360" w:lineRule="auto"/>
              <w:ind w:left="-240" w:right="-240" w:firstLine="480" w:leftChars="-100" w:rightChars="-100"/>
              <w:jc w:val="center"/>
              <w:rPr>
                <w:rFonts w:ascii="宋体" w:hAnsi="宋体" w:cs="宋体"/>
              </w:rPr>
            </w:pPr>
          </w:p>
        </w:tc>
        <w:tc>
          <w:tcPr>
            <w:tcW w:w="795" w:type="dxa"/>
            <w:tcBorders>
              <w:top w:val="single" w:sz="4" w:space="0" w:color="auto"/>
              <w:left w:val="single" w:sz="4" w:space="0" w:color="auto"/>
              <w:bottom w:val="single" w:sz="4" w:space="0" w:color="auto"/>
              <w:right w:val="single" w:sz="4" w:space="0" w:color="auto"/>
            </w:tcBorders>
            <w:vAlign w:val="center"/>
          </w:tcPr>
          <w:p w14:paraId="34631D4B">
            <w:pPr>
              <w:snapToGrid w:val="0"/>
              <w:spacing w:line="360" w:lineRule="auto"/>
              <w:ind w:left="-240" w:right="-240" w:firstLine="480" w:leftChars="-100" w:rightChars="-100"/>
              <w:jc w:val="center"/>
              <w:rPr>
                <w:rFonts w:ascii="宋体" w:hAnsi="宋体" w:cs="宋体"/>
              </w:rPr>
            </w:pPr>
          </w:p>
        </w:tc>
        <w:tc>
          <w:tcPr>
            <w:tcW w:w="975" w:type="dxa"/>
            <w:tcBorders>
              <w:top w:val="single" w:sz="4" w:space="0" w:color="auto"/>
              <w:left w:val="single" w:sz="4" w:space="0" w:color="auto"/>
              <w:bottom w:val="single" w:sz="4" w:space="0" w:color="auto"/>
              <w:right w:val="single" w:sz="4" w:space="0" w:color="auto"/>
            </w:tcBorders>
            <w:vAlign w:val="center"/>
          </w:tcPr>
          <w:p w14:paraId="6EBF88D7">
            <w:pPr>
              <w:snapToGrid w:val="0"/>
              <w:spacing w:line="360" w:lineRule="auto"/>
              <w:ind w:left="-240" w:right="-240" w:firstLine="480" w:leftChars="-100" w:rightChars="-100"/>
              <w:jc w:val="center"/>
              <w:rPr>
                <w:rFonts w:ascii="宋体" w:hAnsi="宋体" w:cs="宋体"/>
              </w:rPr>
            </w:pPr>
          </w:p>
        </w:tc>
        <w:tc>
          <w:tcPr>
            <w:tcW w:w="927" w:type="dxa"/>
            <w:tcBorders>
              <w:top w:val="single" w:sz="4" w:space="0" w:color="auto"/>
              <w:left w:val="single" w:sz="4" w:space="0" w:color="auto"/>
              <w:bottom w:val="single" w:sz="4" w:space="0" w:color="auto"/>
              <w:right w:val="single" w:sz="4" w:space="0" w:color="auto"/>
            </w:tcBorders>
            <w:vAlign w:val="center"/>
          </w:tcPr>
          <w:p w14:paraId="73E2509A">
            <w:pPr>
              <w:snapToGrid w:val="0"/>
              <w:spacing w:line="360" w:lineRule="auto"/>
              <w:ind w:left="-240" w:right="-240" w:firstLine="480" w:leftChars="-100" w:rightChars="-100"/>
              <w:jc w:val="center"/>
              <w:rPr>
                <w:rFonts w:ascii="宋体" w:hAnsi="宋体" w:cs="宋体"/>
              </w:rPr>
            </w:pPr>
          </w:p>
        </w:tc>
        <w:tc>
          <w:tcPr>
            <w:tcW w:w="695" w:type="dxa"/>
            <w:tcBorders>
              <w:top w:val="single" w:sz="4" w:space="0" w:color="auto"/>
              <w:left w:val="single" w:sz="4" w:space="0" w:color="auto"/>
              <w:bottom w:val="single" w:sz="4" w:space="0" w:color="auto"/>
              <w:right w:val="single" w:sz="4" w:space="0" w:color="auto"/>
            </w:tcBorders>
            <w:vAlign w:val="center"/>
          </w:tcPr>
          <w:p w14:paraId="3EDEDE8E">
            <w:pPr>
              <w:snapToGrid w:val="0"/>
              <w:spacing w:line="360" w:lineRule="auto"/>
              <w:ind w:left="-240" w:right="-240" w:firstLine="480" w:leftChars="-100" w:rightChars="-100"/>
              <w:jc w:val="center"/>
              <w:rPr>
                <w:rFonts w:ascii="宋体" w:hAnsi="宋体" w:cs="宋体"/>
              </w:rPr>
            </w:pPr>
          </w:p>
        </w:tc>
        <w:tc>
          <w:tcPr>
            <w:tcW w:w="798" w:type="dxa"/>
            <w:tcBorders>
              <w:top w:val="single" w:sz="4" w:space="0" w:color="auto"/>
              <w:left w:val="single" w:sz="4" w:space="0" w:color="auto"/>
              <w:bottom w:val="single" w:sz="4" w:space="0" w:color="auto"/>
              <w:right w:val="single" w:sz="4" w:space="0" w:color="auto"/>
            </w:tcBorders>
            <w:vAlign w:val="center"/>
          </w:tcPr>
          <w:p w14:paraId="4C0FA6E7">
            <w:pPr>
              <w:snapToGrid w:val="0"/>
              <w:spacing w:line="360" w:lineRule="auto"/>
              <w:ind w:left="-240" w:right="-240" w:firstLine="480" w:leftChars="-100" w:rightChars="-100"/>
              <w:jc w:val="center"/>
              <w:rPr>
                <w:rFonts w:ascii="宋体" w:hAnsi="宋体" w:cs="宋体"/>
              </w:rPr>
            </w:pPr>
          </w:p>
        </w:tc>
        <w:tc>
          <w:tcPr>
            <w:tcW w:w="519" w:type="dxa"/>
            <w:tcBorders>
              <w:top w:val="single" w:sz="4" w:space="0" w:color="auto"/>
              <w:left w:val="single" w:sz="4" w:space="0" w:color="auto"/>
              <w:bottom w:val="single" w:sz="4" w:space="0" w:color="auto"/>
              <w:right w:val="single" w:sz="12" w:space="0" w:color="auto"/>
            </w:tcBorders>
            <w:vAlign w:val="center"/>
          </w:tcPr>
          <w:p w14:paraId="602D7FA0">
            <w:pPr>
              <w:snapToGrid w:val="0"/>
              <w:spacing w:line="360" w:lineRule="auto"/>
              <w:ind w:left="-240" w:right="-240" w:firstLine="480" w:leftChars="-100" w:rightChars="-100"/>
              <w:jc w:val="center"/>
              <w:rPr>
                <w:rFonts w:ascii="宋体" w:hAnsi="宋体" w:cs="宋体"/>
              </w:rPr>
            </w:pPr>
          </w:p>
        </w:tc>
      </w:tr>
      <w:tr w14:paraId="71486A2F">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06F29C3E">
            <w:pPr>
              <w:snapToGrid w:val="0"/>
              <w:spacing w:line="360" w:lineRule="auto"/>
              <w:ind w:left="-240" w:right="-240" w:firstLine="480" w:leftChars="-100" w:rightChars="-100"/>
              <w:jc w:val="center"/>
              <w:rPr>
                <w:rFonts w:ascii="宋体" w:hAnsi="宋体" w:cs="宋体"/>
              </w:rPr>
            </w:pPr>
          </w:p>
        </w:tc>
        <w:tc>
          <w:tcPr>
            <w:tcW w:w="1311" w:type="dxa"/>
            <w:tcBorders>
              <w:top w:val="single" w:sz="4" w:space="0" w:color="auto"/>
              <w:left w:val="single" w:sz="4" w:space="0" w:color="auto"/>
              <w:bottom w:val="single" w:sz="4" w:space="0" w:color="auto"/>
              <w:right w:val="single" w:sz="4" w:space="0" w:color="auto"/>
            </w:tcBorders>
            <w:vAlign w:val="center"/>
          </w:tcPr>
          <w:p w14:paraId="41797CD5">
            <w:pPr>
              <w:snapToGrid w:val="0"/>
              <w:spacing w:line="360" w:lineRule="auto"/>
              <w:ind w:left="-240" w:right="-240" w:firstLine="480" w:leftChars="-100" w:rightChars="-100"/>
              <w:jc w:val="center"/>
              <w:rPr>
                <w:rFonts w:ascii="宋体" w:hAnsi="宋体" w:cs="宋体"/>
              </w:rPr>
            </w:pPr>
          </w:p>
        </w:tc>
        <w:tc>
          <w:tcPr>
            <w:tcW w:w="1325" w:type="dxa"/>
            <w:tcBorders>
              <w:top w:val="single" w:sz="4" w:space="0" w:color="auto"/>
              <w:left w:val="single" w:sz="4" w:space="0" w:color="auto"/>
              <w:bottom w:val="single" w:sz="4" w:space="0" w:color="auto"/>
              <w:right w:val="single" w:sz="4" w:space="0" w:color="auto"/>
            </w:tcBorders>
            <w:vAlign w:val="center"/>
          </w:tcPr>
          <w:p w14:paraId="5B5D47C0">
            <w:pPr>
              <w:snapToGrid w:val="0"/>
              <w:spacing w:line="360" w:lineRule="auto"/>
              <w:ind w:left="-240" w:right="-240" w:firstLine="480" w:leftChars="-100" w:rightChars="-100"/>
              <w:jc w:val="center"/>
              <w:rPr>
                <w:rFonts w:ascii="宋体" w:hAnsi="宋体" w:cs="宋体"/>
              </w:rPr>
            </w:pPr>
          </w:p>
        </w:tc>
        <w:tc>
          <w:tcPr>
            <w:tcW w:w="879" w:type="dxa"/>
            <w:tcBorders>
              <w:top w:val="single" w:sz="4" w:space="0" w:color="auto"/>
              <w:left w:val="single" w:sz="4" w:space="0" w:color="auto"/>
              <w:bottom w:val="single" w:sz="4" w:space="0" w:color="auto"/>
              <w:right w:val="single" w:sz="4" w:space="0" w:color="auto"/>
            </w:tcBorders>
            <w:vAlign w:val="center"/>
          </w:tcPr>
          <w:p w14:paraId="4D1E79B8">
            <w:pPr>
              <w:snapToGrid w:val="0"/>
              <w:spacing w:line="360" w:lineRule="auto"/>
              <w:ind w:left="-240" w:right="-240" w:firstLine="480" w:leftChars="-100" w:rightChars="-100"/>
              <w:jc w:val="center"/>
              <w:rPr>
                <w:rFonts w:ascii="宋体" w:hAnsi="宋体" w:cs="宋体"/>
              </w:rPr>
            </w:pPr>
          </w:p>
        </w:tc>
        <w:tc>
          <w:tcPr>
            <w:tcW w:w="795" w:type="dxa"/>
            <w:tcBorders>
              <w:top w:val="single" w:sz="4" w:space="0" w:color="auto"/>
              <w:left w:val="single" w:sz="4" w:space="0" w:color="auto"/>
              <w:bottom w:val="single" w:sz="4" w:space="0" w:color="auto"/>
              <w:right w:val="single" w:sz="4" w:space="0" w:color="auto"/>
            </w:tcBorders>
            <w:vAlign w:val="center"/>
          </w:tcPr>
          <w:p w14:paraId="75E5B139">
            <w:pPr>
              <w:snapToGrid w:val="0"/>
              <w:spacing w:line="360" w:lineRule="auto"/>
              <w:ind w:left="-240" w:right="-240" w:firstLine="480" w:leftChars="-100" w:rightChars="-100"/>
              <w:jc w:val="center"/>
              <w:rPr>
                <w:rFonts w:ascii="宋体" w:hAnsi="宋体" w:cs="宋体"/>
              </w:rPr>
            </w:pPr>
          </w:p>
        </w:tc>
        <w:tc>
          <w:tcPr>
            <w:tcW w:w="975" w:type="dxa"/>
            <w:tcBorders>
              <w:top w:val="single" w:sz="4" w:space="0" w:color="auto"/>
              <w:left w:val="single" w:sz="4" w:space="0" w:color="auto"/>
              <w:bottom w:val="single" w:sz="4" w:space="0" w:color="auto"/>
              <w:right w:val="single" w:sz="4" w:space="0" w:color="auto"/>
            </w:tcBorders>
            <w:vAlign w:val="center"/>
          </w:tcPr>
          <w:p w14:paraId="0006AAF6">
            <w:pPr>
              <w:snapToGrid w:val="0"/>
              <w:spacing w:line="360" w:lineRule="auto"/>
              <w:ind w:left="-240" w:right="-240" w:firstLine="480" w:leftChars="-100" w:rightChars="-100"/>
              <w:jc w:val="center"/>
              <w:rPr>
                <w:rFonts w:ascii="宋体" w:hAnsi="宋体" w:cs="宋体"/>
              </w:rPr>
            </w:pPr>
          </w:p>
        </w:tc>
        <w:tc>
          <w:tcPr>
            <w:tcW w:w="927" w:type="dxa"/>
            <w:tcBorders>
              <w:top w:val="single" w:sz="4" w:space="0" w:color="auto"/>
              <w:left w:val="single" w:sz="4" w:space="0" w:color="auto"/>
              <w:bottom w:val="single" w:sz="4" w:space="0" w:color="auto"/>
              <w:right w:val="single" w:sz="4" w:space="0" w:color="auto"/>
            </w:tcBorders>
            <w:vAlign w:val="center"/>
          </w:tcPr>
          <w:p w14:paraId="0208196D">
            <w:pPr>
              <w:snapToGrid w:val="0"/>
              <w:spacing w:line="360" w:lineRule="auto"/>
              <w:ind w:left="-240" w:right="-240" w:firstLine="480" w:leftChars="-100" w:rightChars="-100"/>
              <w:jc w:val="center"/>
              <w:rPr>
                <w:rFonts w:ascii="宋体" w:hAnsi="宋体" w:cs="宋体"/>
              </w:rPr>
            </w:pPr>
          </w:p>
        </w:tc>
        <w:tc>
          <w:tcPr>
            <w:tcW w:w="695" w:type="dxa"/>
            <w:tcBorders>
              <w:top w:val="single" w:sz="4" w:space="0" w:color="auto"/>
              <w:left w:val="single" w:sz="4" w:space="0" w:color="auto"/>
              <w:bottom w:val="single" w:sz="4" w:space="0" w:color="auto"/>
              <w:right w:val="single" w:sz="4" w:space="0" w:color="auto"/>
            </w:tcBorders>
            <w:vAlign w:val="center"/>
          </w:tcPr>
          <w:p w14:paraId="471307E4">
            <w:pPr>
              <w:snapToGrid w:val="0"/>
              <w:spacing w:line="360" w:lineRule="auto"/>
              <w:ind w:left="-240" w:right="-240" w:firstLine="480" w:leftChars="-100" w:rightChars="-100"/>
              <w:jc w:val="center"/>
              <w:rPr>
                <w:rFonts w:ascii="宋体" w:hAnsi="宋体" w:cs="宋体"/>
              </w:rPr>
            </w:pPr>
          </w:p>
        </w:tc>
        <w:tc>
          <w:tcPr>
            <w:tcW w:w="798" w:type="dxa"/>
            <w:tcBorders>
              <w:top w:val="single" w:sz="4" w:space="0" w:color="auto"/>
              <w:left w:val="single" w:sz="4" w:space="0" w:color="auto"/>
              <w:bottom w:val="single" w:sz="4" w:space="0" w:color="auto"/>
              <w:right w:val="single" w:sz="4" w:space="0" w:color="auto"/>
            </w:tcBorders>
            <w:vAlign w:val="center"/>
          </w:tcPr>
          <w:p w14:paraId="7A5C4D07">
            <w:pPr>
              <w:snapToGrid w:val="0"/>
              <w:spacing w:line="360" w:lineRule="auto"/>
              <w:ind w:left="-240" w:right="-240" w:firstLine="480" w:leftChars="-100" w:rightChars="-100"/>
              <w:jc w:val="center"/>
              <w:rPr>
                <w:rFonts w:ascii="宋体" w:hAnsi="宋体" w:cs="宋体"/>
              </w:rPr>
            </w:pPr>
          </w:p>
        </w:tc>
        <w:tc>
          <w:tcPr>
            <w:tcW w:w="519" w:type="dxa"/>
            <w:tcBorders>
              <w:top w:val="single" w:sz="4" w:space="0" w:color="auto"/>
              <w:left w:val="single" w:sz="4" w:space="0" w:color="auto"/>
              <w:bottom w:val="single" w:sz="4" w:space="0" w:color="auto"/>
              <w:right w:val="single" w:sz="12" w:space="0" w:color="auto"/>
            </w:tcBorders>
            <w:vAlign w:val="center"/>
          </w:tcPr>
          <w:p w14:paraId="42FEEA06">
            <w:pPr>
              <w:snapToGrid w:val="0"/>
              <w:spacing w:line="360" w:lineRule="auto"/>
              <w:ind w:left="-240" w:right="-240" w:firstLine="480" w:leftChars="-100" w:rightChars="-100"/>
              <w:jc w:val="center"/>
              <w:rPr>
                <w:rFonts w:ascii="宋体" w:hAnsi="宋体" w:cs="宋体"/>
              </w:rPr>
            </w:pPr>
          </w:p>
        </w:tc>
      </w:tr>
      <w:tr w14:paraId="601DC7A1">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4" w:space="0" w:color="auto"/>
              <w:right w:val="single" w:sz="4" w:space="0" w:color="auto"/>
            </w:tcBorders>
            <w:vAlign w:val="center"/>
          </w:tcPr>
          <w:p w14:paraId="4A7C2A98">
            <w:pPr>
              <w:snapToGrid w:val="0"/>
              <w:spacing w:line="360" w:lineRule="auto"/>
              <w:ind w:left="-240" w:right="-240" w:firstLine="480" w:leftChars="-100" w:rightChars="-100"/>
              <w:jc w:val="center"/>
              <w:rPr>
                <w:rFonts w:ascii="宋体" w:hAnsi="宋体" w:cs="宋体"/>
              </w:rPr>
            </w:pPr>
          </w:p>
        </w:tc>
        <w:tc>
          <w:tcPr>
            <w:tcW w:w="1311" w:type="dxa"/>
            <w:tcBorders>
              <w:top w:val="single" w:sz="4" w:space="0" w:color="auto"/>
              <w:left w:val="single" w:sz="4" w:space="0" w:color="auto"/>
              <w:bottom w:val="single" w:sz="4" w:space="0" w:color="auto"/>
              <w:right w:val="single" w:sz="4" w:space="0" w:color="auto"/>
            </w:tcBorders>
            <w:vAlign w:val="center"/>
          </w:tcPr>
          <w:p w14:paraId="7C7FE0DB">
            <w:pPr>
              <w:snapToGrid w:val="0"/>
              <w:spacing w:line="360" w:lineRule="auto"/>
              <w:ind w:left="-240" w:right="-240" w:firstLine="480" w:leftChars="-100" w:rightChars="-100"/>
              <w:jc w:val="center"/>
              <w:rPr>
                <w:rFonts w:ascii="宋体" w:hAnsi="宋体" w:cs="宋体"/>
              </w:rPr>
            </w:pPr>
          </w:p>
        </w:tc>
        <w:tc>
          <w:tcPr>
            <w:tcW w:w="1325" w:type="dxa"/>
            <w:tcBorders>
              <w:top w:val="single" w:sz="4" w:space="0" w:color="auto"/>
              <w:left w:val="single" w:sz="4" w:space="0" w:color="auto"/>
              <w:bottom w:val="single" w:sz="4" w:space="0" w:color="auto"/>
              <w:right w:val="single" w:sz="4" w:space="0" w:color="auto"/>
            </w:tcBorders>
            <w:vAlign w:val="center"/>
          </w:tcPr>
          <w:p w14:paraId="2D4FA8D3">
            <w:pPr>
              <w:snapToGrid w:val="0"/>
              <w:spacing w:line="360" w:lineRule="auto"/>
              <w:ind w:left="-240" w:right="-240" w:firstLine="480" w:leftChars="-100" w:rightChars="-100"/>
              <w:jc w:val="center"/>
              <w:rPr>
                <w:rFonts w:ascii="宋体" w:hAnsi="宋体" w:cs="宋体"/>
              </w:rPr>
            </w:pPr>
          </w:p>
        </w:tc>
        <w:tc>
          <w:tcPr>
            <w:tcW w:w="879" w:type="dxa"/>
            <w:tcBorders>
              <w:top w:val="single" w:sz="4" w:space="0" w:color="auto"/>
              <w:left w:val="single" w:sz="4" w:space="0" w:color="auto"/>
              <w:bottom w:val="single" w:sz="4" w:space="0" w:color="auto"/>
              <w:right w:val="single" w:sz="4" w:space="0" w:color="auto"/>
            </w:tcBorders>
            <w:vAlign w:val="center"/>
          </w:tcPr>
          <w:p w14:paraId="4DFC4519">
            <w:pPr>
              <w:snapToGrid w:val="0"/>
              <w:spacing w:line="360" w:lineRule="auto"/>
              <w:ind w:left="-240" w:right="-240" w:firstLine="480" w:leftChars="-100" w:rightChars="-100"/>
              <w:jc w:val="center"/>
              <w:rPr>
                <w:rFonts w:ascii="宋体" w:hAnsi="宋体" w:cs="宋体"/>
              </w:rPr>
            </w:pPr>
          </w:p>
        </w:tc>
        <w:tc>
          <w:tcPr>
            <w:tcW w:w="795" w:type="dxa"/>
            <w:tcBorders>
              <w:top w:val="single" w:sz="4" w:space="0" w:color="auto"/>
              <w:left w:val="single" w:sz="4" w:space="0" w:color="auto"/>
              <w:bottom w:val="single" w:sz="4" w:space="0" w:color="auto"/>
              <w:right w:val="single" w:sz="4" w:space="0" w:color="auto"/>
            </w:tcBorders>
            <w:vAlign w:val="center"/>
          </w:tcPr>
          <w:p w14:paraId="5E2B6F68">
            <w:pPr>
              <w:snapToGrid w:val="0"/>
              <w:spacing w:line="360" w:lineRule="auto"/>
              <w:ind w:left="-240" w:right="-240" w:firstLine="480" w:leftChars="-100" w:rightChars="-100"/>
              <w:jc w:val="center"/>
              <w:rPr>
                <w:rFonts w:ascii="宋体" w:hAnsi="宋体" w:cs="宋体"/>
              </w:rPr>
            </w:pPr>
          </w:p>
        </w:tc>
        <w:tc>
          <w:tcPr>
            <w:tcW w:w="975" w:type="dxa"/>
            <w:tcBorders>
              <w:top w:val="single" w:sz="4" w:space="0" w:color="auto"/>
              <w:left w:val="single" w:sz="4" w:space="0" w:color="auto"/>
              <w:bottom w:val="single" w:sz="4" w:space="0" w:color="auto"/>
              <w:right w:val="single" w:sz="4" w:space="0" w:color="auto"/>
            </w:tcBorders>
            <w:vAlign w:val="center"/>
          </w:tcPr>
          <w:p w14:paraId="45162104">
            <w:pPr>
              <w:snapToGrid w:val="0"/>
              <w:spacing w:line="360" w:lineRule="auto"/>
              <w:ind w:left="-240" w:right="-240" w:firstLine="480" w:leftChars="-100" w:rightChars="-100"/>
              <w:jc w:val="center"/>
              <w:rPr>
                <w:rFonts w:ascii="宋体" w:hAnsi="宋体" w:cs="宋体"/>
              </w:rPr>
            </w:pPr>
          </w:p>
        </w:tc>
        <w:tc>
          <w:tcPr>
            <w:tcW w:w="927" w:type="dxa"/>
            <w:tcBorders>
              <w:top w:val="single" w:sz="4" w:space="0" w:color="auto"/>
              <w:left w:val="single" w:sz="4" w:space="0" w:color="auto"/>
              <w:bottom w:val="single" w:sz="4" w:space="0" w:color="auto"/>
              <w:right w:val="single" w:sz="4" w:space="0" w:color="auto"/>
            </w:tcBorders>
            <w:vAlign w:val="center"/>
          </w:tcPr>
          <w:p w14:paraId="3E4151DA">
            <w:pPr>
              <w:snapToGrid w:val="0"/>
              <w:spacing w:line="360" w:lineRule="auto"/>
              <w:ind w:left="-240" w:right="-240" w:firstLine="480" w:leftChars="-100" w:rightChars="-100"/>
              <w:jc w:val="center"/>
              <w:rPr>
                <w:rFonts w:ascii="宋体" w:hAnsi="宋体" w:cs="宋体"/>
              </w:rPr>
            </w:pPr>
          </w:p>
        </w:tc>
        <w:tc>
          <w:tcPr>
            <w:tcW w:w="695" w:type="dxa"/>
            <w:tcBorders>
              <w:top w:val="single" w:sz="4" w:space="0" w:color="auto"/>
              <w:left w:val="single" w:sz="4" w:space="0" w:color="auto"/>
              <w:bottom w:val="single" w:sz="4" w:space="0" w:color="auto"/>
              <w:right w:val="single" w:sz="4" w:space="0" w:color="auto"/>
            </w:tcBorders>
            <w:vAlign w:val="center"/>
          </w:tcPr>
          <w:p w14:paraId="1927E3E0">
            <w:pPr>
              <w:snapToGrid w:val="0"/>
              <w:spacing w:line="360" w:lineRule="auto"/>
              <w:ind w:left="-240" w:right="-240" w:firstLine="480" w:leftChars="-100" w:rightChars="-100"/>
              <w:jc w:val="center"/>
              <w:rPr>
                <w:rFonts w:ascii="宋体" w:hAnsi="宋体" w:cs="宋体"/>
              </w:rPr>
            </w:pPr>
          </w:p>
        </w:tc>
        <w:tc>
          <w:tcPr>
            <w:tcW w:w="798" w:type="dxa"/>
            <w:tcBorders>
              <w:top w:val="single" w:sz="4" w:space="0" w:color="auto"/>
              <w:left w:val="single" w:sz="4" w:space="0" w:color="auto"/>
              <w:bottom w:val="single" w:sz="4" w:space="0" w:color="auto"/>
              <w:right w:val="single" w:sz="4" w:space="0" w:color="auto"/>
            </w:tcBorders>
            <w:vAlign w:val="center"/>
          </w:tcPr>
          <w:p w14:paraId="28E43D23">
            <w:pPr>
              <w:snapToGrid w:val="0"/>
              <w:spacing w:line="360" w:lineRule="auto"/>
              <w:ind w:left="-240" w:right="-240" w:firstLine="480" w:leftChars="-100" w:rightChars="-100"/>
              <w:jc w:val="center"/>
              <w:rPr>
                <w:rFonts w:ascii="宋体" w:hAnsi="宋体" w:cs="宋体"/>
              </w:rPr>
            </w:pPr>
          </w:p>
        </w:tc>
        <w:tc>
          <w:tcPr>
            <w:tcW w:w="519" w:type="dxa"/>
            <w:tcBorders>
              <w:top w:val="single" w:sz="4" w:space="0" w:color="auto"/>
              <w:left w:val="single" w:sz="4" w:space="0" w:color="auto"/>
              <w:bottom w:val="single" w:sz="4" w:space="0" w:color="auto"/>
              <w:right w:val="single" w:sz="12" w:space="0" w:color="auto"/>
            </w:tcBorders>
            <w:vAlign w:val="center"/>
          </w:tcPr>
          <w:p w14:paraId="126E7054">
            <w:pPr>
              <w:snapToGrid w:val="0"/>
              <w:spacing w:line="360" w:lineRule="auto"/>
              <w:ind w:left="-240" w:right="-240" w:firstLine="480" w:leftChars="-100" w:rightChars="-100"/>
              <w:jc w:val="center"/>
              <w:rPr>
                <w:rFonts w:ascii="宋体" w:hAnsi="宋体" w:cs="宋体"/>
              </w:rPr>
            </w:pPr>
          </w:p>
        </w:tc>
      </w:tr>
      <w:tr w14:paraId="649DA161">
        <w:tblPrEx>
          <w:tblW w:w="0" w:type="auto"/>
          <w:jc w:val="center"/>
          <w:tblLayout w:type="fixed"/>
          <w:tblCellMar>
            <w:top w:w="0" w:type="dxa"/>
            <w:left w:w="28" w:type="dxa"/>
            <w:bottom w:w="0" w:type="dxa"/>
            <w:right w:w="28" w:type="dxa"/>
          </w:tblCellMar>
        </w:tblPrEx>
        <w:trPr>
          <w:trHeight w:val="567"/>
          <w:jc w:val="center"/>
        </w:trPr>
        <w:tc>
          <w:tcPr>
            <w:tcW w:w="676" w:type="dxa"/>
            <w:tcBorders>
              <w:top w:val="single" w:sz="4" w:space="0" w:color="auto"/>
              <w:left w:val="single" w:sz="12" w:space="0" w:color="auto"/>
              <w:bottom w:val="single" w:sz="12" w:space="0" w:color="auto"/>
              <w:right w:val="single" w:sz="4" w:space="0" w:color="auto"/>
            </w:tcBorders>
            <w:vAlign w:val="center"/>
          </w:tcPr>
          <w:p w14:paraId="4DC99D5E">
            <w:pPr>
              <w:snapToGrid w:val="0"/>
              <w:spacing w:line="360" w:lineRule="auto"/>
              <w:ind w:left="-240" w:right="-240" w:firstLine="480" w:leftChars="-100" w:rightChars="-100"/>
              <w:jc w:val="center"/>
              <w:rPr>
                <w:rFonts w:ascii="宋体" w:hAnsi="宋体" w:cs="宋体"/>
              </w:rPr>
            </w:pPr>
          </w:p>
        </w:tc>
        <w:tc>
          <w:tcPr>
            <w:tcW w:w="1311" w:type="dxa"/>
            <w:tcBorders>
              <w:top w:val="single" w:sz="4" w:space="0" w:color="auto"/>
              <w:left w:val="single" w:sz="4" w:space="0" w:color="auto"/>
              <w:bottom w:val="single" w:sz="12" w:space="0" w:color="auto"/>
              <w:right w:val="single" w:sz="4" w:space="0" w:color="auto"/>
            </w:tcBorders>
            <w:vAlign w:val="center"/>
          </w:tcPr>
          <w:p w14:paraId="0FFF8E6A">
            <w:pPr>
              <w:snapToGrid w:val="0"/>
              <w:spacing w:line="360" w:lineRule="auto"/>
              <w:ind w:left="-240" w:right="-240" w:firstLine="480" w:leftChars="-100" w:rightChars="-100"/>
              <w:jc w:val="center"/>
              <w:rPr>
                <w:rFonts w:ascii="宋体" w:hAnsi="宋体" w:cs="宋体"/>
              </w:rPr>
            </w:pPr>
          </w:p>
        </w:tc>
        <w:tc>
          <w:tcPr>
            <w:tcW w:w="1325" w:type="dxa"/>
            <w:tcBorders>
              <w:top w:val="single" w:sz="4" w:space="0" w:color="auto"/>
              <w:left w:val="single" w:sz="4" w:space="0" w:color="auto"/>
              <w:bottom w:val="single" w:sz="12" w:space="0" w:color="auto"/>
              <w:right w:val="single" w:sz="4" w:space="0" w:color="auto"/>
            </w:tcBorders>
            <w:vAlign w:val="center"/>
          </w:tcPr>
          <w:p w14:paraId="747583F4">
            <w:pPr>
              <w:snapToGrid w:val="0"/>
              <w:spacing w:line="360" w:lineRule="auto"/>
              <w:ind w:left="-240" w:right="-240" w:firstLine="480" w:leftChars="-100" w:rightChars="-100"/>
              <w:jc w:val="center"/>
              <w:rPr>
                <w:rFonts w:ascii="宋体" w:hAnsi="宋体" w:cs="宋体"/>
              </w:rPr>
            </w:pPr>
          </w:p>
        </w:tc>
        <w:tc>
          <w:tcPr>
            <w:tcW w:w="879" w:type="dxa"/>
            <w:tcBorders>
              <w:top w:val="single" w:sz="4" w:space="0" w:color="auto"/>
              <w:left w:val="single" w:sz="4" w:space="0" w:color="auto"/>
              <w:bottom w:val="single" w:sz="12" w:space="0" w:color="auto"/>
              <w:right w:val="single" w:sz="4" w:space="0" w:color="auto"/>
            </w:tcBorders>
            <w:vAlign w:val="center"/>
          </w:tcPr>
          <w:p w14:paraId="6F4738F2">
            <w:pPr>
              <w:snapToGrid w:val="0"/>
              <w:spacing w:line="360" w:lineRule="auto"/>
              <w:ind w:left="-240" w:right="-240" w:firstLine="480" w:leftChars="-100" w:rightChars="-100"/>
              <w:jc w:val="center"/>
              <w:rPr>
                <w:rFonts w:ascii="宋体" w:hAnsi="宋体" w:cs="宋体"/>
              </w:rPr>
            </w:pPr>
          </w:p>
        </w:tc>
        <w:tc>
          <w:tcPr>
            <w:tcW w:w="795" w:type="dxa"/>
            <w:tcBorders>
              <w:top w:val="single" w:sz="4" w:space="0" w:color="auto"/>
              <w:left w:val="single" w:sz="4" w:space="0" w:color="auto"/>
              <w:bottom w:val="single" w:sz="12" w:space="0" w:color="auto"/>
              <w:right w:val="single" w:sz="4" w:space="0" w:color="auto"/>
            </w:tcBorders>
            <w:vAlign w:val="center"/>
          </w:tcPr>
          <w:p w14:paraId="2CC1169B">
            <w:pPr>
              <w:snapToGrid w:val="0"/>
              <w:spacing w:line="360" w:lineRule="auto"/>
              <w:ind w:left="-240" w:right="-240" w:firstLine="480" w:leftChars="-100" w:rightChars="-100"/>
              <w:jc w:val="center"/>
              <w:rPr>
                <w:rFonts w:ascii="宋体" w:hAnsi="宋体" w:cs="宋体"/>
              </w:rPr>
            </w:pPr>
          </w:p>
        </w:tc>
        <w:tc>
          <w:tcPr>
            <w:tcW w:w="975" w:type="dxa"/>
            <w:tcBorders>
              <w:top w:val="single" w:sz="4" w:space="0" w:color="auto"/>
              <w:left w:val="single" w:sz="4" w:space="0" w:color="auto"/>
              <w:bottom w:val="single" w:sz="12" w:space="0" w:color="auto"/>
              <w:right w:val="single" w:sz="4" w:space="0" w:color="auto"/>
            </w:tcBorders>
            <w:vAlign w:val="center"/>
          </w:tcPr>
          <w:p w14:paraId="05EB3D10">
            <w:pPr>
              <w:snapToGrid w:val="0"/>
              <w:spacing w:line="360" w:lineRule="auto"/>
              <w:ind w:left="-240" w:right="-240" w:firstLine="480" w:leftChars="-100" w:rightChars="-100"/>
              <w:jc w:val="center"/>
              <w:rPr>
                <w:rFonts w:ascii="宋体" w:hAnsi="宋体" w:cs="宋体"/>
              </w:rPr>
            </w:pPr>
          </w:p>
        </w:tc>
        <w:tc>
          <w:tcPr>
            <w:tcW w:w="927" w:type="dxa"/>
            <w:tcBorders>
              <w:top w:val="single" w:sz="4" w:space="0" w:color="auto"/>
              <w:left w:val="single" w:sz="4" w:space="0" w:color="auto"/>
              <w:bottom w:val="single" w:sz="12" w:space="0" w:color="auto"/>
              <w:right w:val="single" w:sz="4" w:space="0" w:color="auto"/>
            </w:tcBorders>
            <w:vAlign w:val="center"/>
          </w:tcPr>
          <w:p w14:paraId="58C1D60D">
            <w:pPr>
              <w:snapToGrid w:val="0"/>
              <w:spacing w:line="360" w:lineRule="auto"/>
              <w:ind w:left="-240" w:right="-240" w:firstLine="480" w:leftChars="-100" w:rightChars="-100"/>
              <w:jc w:val="center"/>
              <w:rPr>
                <w:rFonts w:ascii="宋体" w:hAnsi="宋体" w:cs="宋体"/>
              </w:rPr>
            </w:pPr>
          </w:p>
        </w:tc>
        <w:tc>
          <w:tcPr>
            <w:tcW w:w="695" w:type="dxa"/>
            <w:tcBorders>
              <w:top w:val="single" w:sz="4" w:space="0" w:color="auto"/>
              <w:left w:val="single" w:sz="4" w:space="0" w:color="auto"/>
              <w:bottom w:val="single" w:sz="12" w:space="0" w:color="auto"/>
              <w:right w:val="single" w:sz="4" w:space="0" w:color="auto"/>
            </w:tcBorders>
            <w:vAlign w:val="center"/>
          </w:tcPr>
          <w:p w14:paraId="1F2D49C9">
            <w:pPr>
              <w:snapToGrid w:val="0"/>
              <w:spacing w:line="360" w:lineRule="auto"/>
              <w:ind w:left="-240" w:right="-240" w:firstLine="480" w:leftChars="-100" w:rightChars="-100"/>
              <w:jc w:val="center"/>
              <w:rPr>
                <w:rFonts w:ascii="宋体" w:hAnsi="宋体" w:cs="宋体"/>
              </w:rPr>
            </w:pPr>
          </w:p>
        </w:tc>
        <w:tc>
          <w:tcPr>
            <w:tcW w:w="798" w:type="dxa"/>
            <w:tcBorders>
              <w:top w:val="single" w:sz="4" w:space="0" w:color="auto"/>
              <w:left w:val="single" w:sz="4" w:space="0" w:color="auto"/>
              <w:bottom w:val="single" w:sz="12" w:space="0" w:color="auto"/>
              <w:right w:val="single" w:sz="4" w:space="0" w:color="auto"/>
            </w:tcBorders>
            <w:vAlign w:val="center"/>
          </w:tcPr>
          <w:p w14:paraId="508CB583">
            <w:pPr>
              <w:snapToGrid w:val="0"/>
              <w:spacing w:line="360" w:lineRule="auto"/>
              <w:ind w:left="-240" w:right="-240" w:firstLine="480" w:leftChars="-100" w:rightChars="-100"/>
              <w:jc w:val="center"/>
              <w:rPr>
                <w:rFonts w:ascii="宋体" w:hAnsi="宋体" w:cs="宋体"/>
              </w:rPr>
            </w:pPr>
          </w:p>
        </w:tc>
        <w:tc>
          <w:tcPr>
            <w:tcW w:w="519" w:type="dxa"/>
            <w:tcBorders>
              <w:top w:val="single" w:sz="4" w:space="0" w:color="auto"/>
              <w:left w:val="single" w:sz="4" w:space="0" w:color="auto"/>
              <w:bottom w:val="single" w:sz="12" w:space="0" w:color="auto"/>
              <w:right w:val="single" w:sz="12" w:space="0" w:color="auto"/>
            </w:tcBorders>
            <w:vAlign w:val="center"/>
          </w:tcPr>
          <w:p w14:paraId="6DAA69F2">
            <w:pPr>
              <w:snapToGrid w:val="0"/>
              <w:spacing w:line="360" w:lineRule="auto"/>
              <w:ind w:left="-240" w:right="-240" w:firstLine="480" w:leftChars="-100" w:rightChars="-100"/>
              <w:jc w:val="center"/>
              <w:rPr>
                <w:rFonts w:ascii="宋体" w:hAnsi="宋体" w:cs="宋体"/>
              </w:rPr>
            </w:pPr>
          </w:p>
        </w:tc>
      </w:tr>
    </w:tbl>
    <w:p w14:paraId="39104635">
      <w:pPr>
        <w:spacing w:line="360" w:lineRule="auto"/>
        <w:ind w:left="-240" w:right="-240" w:leftChars="-100" w:rightChars="-100"/>
        <w:rPr>
          <w:rFonts w:ascii="宋体" w:hAnsi="宋体" w:cs="宋体"/>
          <w:kern w:val="2"/>
        </w:rPr>
      </w:pPr>
    </w:p>
    <w:p w14:paraId="6C1730CB">
      <w:pPr>
        <w:spacing w:line="360" w:lineRule="auto"/>
        <w:ind w:left="-240" w:right="-240" w:leftChars="-100" w:rightChars="-100"/>
        <w:rPr>
          <w:rFonts w:ascii="宋体" w:hAnsi="宋体" w:cs="宋体"/>
        </w:rPr>
      </w:pPr>
    </w:p>
    <w:p w14:paraId="79EF4554">
      <w:pPr>
        <w:spacing w:line="360" w:lineRule="auto"/>
        <w:rPr>
          <w:rFonts w:ascii="宋体" w:hAnsi="宋体" w:cs="宋体"/>
          <w:color w:val="000000"/>
        </w:rPr>
        <w:sectPr>
          <w:pgSz w:w="11906" w:h="16838"/>
          <w:pgMar w:top="2098" w:right="1531" w:bottom="1984" w:left="1531" w:header="851" w:footer="1417" w:gutter="0"/>
          <w:cols w:num="1" w:space="720"/>
          <w:docGrid w:type="lines" w:linePitch="312" w:charSpace="0"/>
        </w:sectPr>
      </w:pPr>
    </w:p>
    <w:p w14:paraId="4FAEBAFE">
      <w:pPr>
        <w:spacing w:line="360" w:lineRule="auto"/>
        <w:ind w:left="-240" w:right="-240" w:leftChars="-100" w:rightChars="-100"/>
        <w:outlineLvl w:val="1"/>
        <w:rPr>
          <w:rFonts w:ascii="宋体" w:hAnsi="宋体" w:cs="宋体"/>
          <w:b/>
          <w:bCs/>
        </w:rPr>
      </w:pPr>
      <w:bookmarkStart w:id="1483" w:name="_Toc121452988"/>
      <w:bookmarkStart w:id="1484" w:name="_Toc283425744"/>
      <w:bookmarkStart w:id="1485" w:name="_Toc1053508749"/>
      <w:r>
        <w:rPr>
          <w:rFonts w:ascii="宋体" w:hAnsi="宋体" w:cs="宋体" w:hint="eastAsia"/>
          <w:b/>
          <w:bCs/>
        </w:rPr>
        <w:t>附件5：</w:t>
      </w:r>
      <w:bookmarkEnd w:id="1483"/>
      <w:bookmarkEnd w:id="1484"/>
      <w:bookmarkEnd w:id="1485"/>
    </w:p>
    <w:p w14:paraId="1A7A7943">
      <w:pPr>
        <w:spacing w:line="360" w:lineRule="auto"/>
        <w:ind w:left="-240" w:right="-240" w:leftChars="-100" w:rightChars="-100"/>
        <w:jc w:val="center"/>
        <w:outlineLvl w:val="1"/>
        <w:rPr>
          <w:rFonts w:ascii="宋体" w:hAnsi="宋体" w:cs="宋体"/>
        </w:rPr>
      </w:pPr>
      <w:bookmarkStart w:id="1486" w:name="_Toc18017"/>
      <w:bookmarkStart w:id="1487" w:name="_Toc30591"/>
      <w:bookmarkStart w:id="1488" w:name="_Toc1788163381"/>
      <w:bookmarkStart w:id="1489" w:name="_Toc936"/>
      <w:bookmarkStart w:id="1490" w:name="_Toc1909146247"/>
      <w:bookmarkStart w:id="1491" w:name="_Toc23379"/>
      <w:r>
        <w:rPr>
          <w:rFonts w:ascii="宋体" w:hAnsi="宋体" w:cs="宋体" w:hint="eastAsia"/>
          <w:bCs/>
        </w:rPr>
        <w:t>发包人供应苗木一览表</w:t>
      </w:r>
      <w:bookmarkEnd w:id="1486"/>
      <w:bookmarkEnd w:id="1487"/>
      <w:bookmarkEnd w:id="1488"/>
      <w:bookmarkEnd w:id="1489"/>
      <w:bookmarkEnd w:id="1490"/>
      <w:bookmarkEnd w:id="1491"/>
    </w:p>
    <w:tbl>
      <w:tblPr>
        <w:tblStyle w:val="TableNorm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28" w:type="dxa"/>
          <w:bottom w:w="0" w:type="dxa"/>
          <w:right w:w="28" w:type="dxa"/>
        </w:tblCellMar>
      </w:tblPr>
      <w:tblGrid>
        <w:gridCol w:w="627"/>
        <w:gridCol w:w="1283"/>
        <w:gridCol w:w="1425"/>
        <w:gridCol w:w="945"/>
        <w:gridCol w:w="855"/>
        <w:gridCol w:w="1049"/>
        <w:gridCol w:w="855"/>
        <w:gridCol w:w="935"/>
        <w:gridCol w:w="474"/>
      </w:tblGrid>
      <w:tr w14:paraId="5E99D12B">
        <w:tblPrEx>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28" w:type="dxa"/>
            <w:bottom w:w="0" w:type="dxa"/>
            <w:right w:w="28" w:type="dxa"/>
          </w:tblCellMar>
        </w:tblPrEx>
        <w:trPr>
          <w:trHeight w:val="567"/>
          <w:jc w:val="center"/>
        </w:trPr>
        <w:tc>
          <w:tcPr>
            <w:tcW w:w="627" w:type="dxa"/>
            <w:tcBorders>
              <w:top w:val="single" w:sz="12" w:space="0" w:color="auto"/>
              <w:left w:val="single" w:sz="12" w:space="0" w:color="auto"/>
              <w:bottom w:val="single" w:sz="4" w:space="0" w:color="auto"/>
              <w:right w:val="single" w:sz="4" w:space="0" w:color="auto"/>
            </w:tcBorders>
            <w:vAlign w:val="center"/>
          </w:tcPr>
          <w:p w14:paraId="3D78BA71">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序号</w:t>
            </w:r>
          </w:p>
        </w:tc>
        <w:tc>
          <w:tcPr>
            <w:tcW w:w="1283" w:type="dxa"/>
            <w:tcBorders>
              <w:top w:val="single" w:sz="12" w:space="0" w:color="auto"/>
              <w:left w:val="single" w:sz="4" w:space="0" w:color="auto"/>
              <w:bottom w:val="single" w:sz="4" w:space="0" w:color="auto"/>
              <w:right w:val="single" w:sz="4" w:space="0" w:color="auto"/>
            </w:tcBorders>
            <w:vAlign w:val="center"/>
          </w:tcPr>
          <w:p w14:paraId="082CAAD0">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苗木材料名    称</w:t>
            </w:r>
          </w:p>
        </w:tc>
        <w:tc>
          <w:tcPr>
            <w:tcW w:w="1425" w:type="dxa"/>
            <w:tcBorders>
              <w:top w:val="single" w:sz="12" w:space="0" w:color="auto"/>
              <w:left w:val="single" w:sz="4" w:space="0" w:color="auto"/>
              <w:bottom w:val="single" w:sz="4" w:space="0" w:color="auto"/>
              <w:right w:val="single" w:sz="4" w:space="0" w:color="auto"/>
            </w:tcBorders>
            <w:vAlign w:val="center"/>
          </w:tcPr>
          <w:p w14:paraId="2C1F1F94">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规格</w:t>
            </w:r>
          </w:p>
        </w:tc>
        <w:tc>
          <w:tcPr>
            <w:tcW w:w="945" w:type="dxa"/>
            <w:tcBorders>
              <w:top w:val="single" w:sz="12" w:space="0" w:color="auto"/>
              <w:left w:val="single" w:sz="4" w:space="0" w:color="auto"/>
              <w:bottom w:val="single" w:sz="4" w:space="0" w:color="auto"/>
              <w:right w:val="single" w:sz="4" w:space="0" w:color="auto"/>
            </w:tcBorders>
            <w:vAlign w:val="center"/>
          </w:tcPr>
          <w:p w14:paraId="5132B5DC">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单位</w:t>
            </w:r>
          </w:p>
        </w:tc>
        <w:tc>
          <w:tcPr>
            <w:tcW w:w="855" w:type="dxa"/>
            <w:tcBorders>
              <w:top w:val="single" w:sz="12" w:space="0" w:color="auto"/>
              <w:left w:val="single" w:sz="4" w:space="0" w:color="auto"/>
              <w:bottom w:val="single" w:sz="4" w:space="0" w:color="auto"/>
              <w:right w:val="single" w:sz="4" w:space="0" w:color="auto"/>
            </w:tcBorders>
            <w:vAlign w:val="center"/>
          </w:tcPr>
          <w:p w14:paraId="0521D9F2">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数量</w:t>
            </w:r>
          </w:p>
        </w:tc>
        <w:tc>
          <w:tcPr>
            <w:tcW w:w="1049" w:type="dxa"/>
            <w:tcBorders>
              <w:top w:val="single" w:sz="12" w:space="0" w:color="auto"/>
              <w:left w:val="single" w:sz="4" w:space="0" w:color="auto"/>
              <w:bottom w:val="single" w:sz="4" w:space="0" w:color="auto"/>
              <w:right w:val="single" w:sz="4" w:space="0" w:color="auto"/>
            </w:tcBorders>
            <w:vAlign w:val="center"/>
          </w:tcPr>
          <w:p w14:paraId="7E303D1D">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单价（元）</w:t>
            </w:r>
          </w:p>
        </w:tc>
        <w:tc>
          <w:tcPr>
            <w:tcW w:w="855" w:type="dxa"/>
            <w:tcBorders>
              <w:top w:val="single" w:sz="12" w:space="0" w:color="auto"/>
              <w:left w:val="single" w:sz="4" w:space="0" w:color="auto"/>
              <w:bottom w:val="single" w:sz="4" w:space="0" w:color="auto"/>
              <w:right w:val="single" w:sz="4" w:space="0" w:color="auto"/>
            </w:tcBorders>
            <w:vAlign w:val="center"/>
          </w:tcPr>
          <w:p w14:paraId="15822005">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供 应</w:t>
            </w:r>
          </w:p>
          <w:p w14:paraId="485838B1">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时 间</w:t>
            </w:r>
          </w:p>
        </w:tc>
        <w:tc>
          <w:tcPr>
            <w:tcW w:w="935" w:type="dxa"/>
            <w:tcBorders>
              <w:top w:val="single" w:sz="12" w:space="0" w:color="auto"/>
              <w:left w:val="single" w:sz="4" w:space="0" w:color="auto"/>
              <w:bottom w:val="single" w:sz="4" w:space="0" w:color="auto"/>
              <w:right w:val="single" w:sz="4" w:space="0" w:color="auto"/>
            </w:tcBorders>
            <w:vAlign w:val="center"/>
          </w:tcPr>
          <w:p w14:paraId="4FC4E175">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送 达</w:t>
            </w:r>
          </w:p>
          <w:p w14:paraId="18A62D7D">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地 点</w:t>
            </w:r>
          </w:p>
        </w:tc>
        <w:tc>
          <w:tcPr>
            <w:tcW w:w="474" w:type="dxa"/>
            <w:tcBorders>
              <w:top w:val="single" w:sz="12" w:space="0" w:color="auto"/>
              <w:left w:val="single" w:sz="4" w:space="0" w:color="auto"/>
              <w:bottom w:val="single" w:sz="4" w:space="0" w:color="auto"/>
              <w:right w:val="single" w:sz="12" w:space="0" w:color="auto"/>
            </w:tcBorders>
            <w:vAlign w:val="center"/>
          </w:tcPr>
          <w:p w14:paraId="22E78164">
            <w:pPr>
              <w:pStyle w:val="BodyText"/>
              <w:keepNext/>
              <w:snapToGrid w:val="0"/>
              <w:spacing w:after="0" w:line="360" w:lineRule="auto"/>
              <w:ind w:left="-240" w:right="-240" w:leftChars="-100" w:rightChars="-100"/>
              <w:rPr>
                <w:rFonts w:ascii="宋体" w:hAnsi="宋体" w:cs="宋体"/>
                <w:sz w:val="24"/>
                <w:szCs w:val="24"/>
              </w:rPr>
            </w:pPr>
            <w:r>
              <w:rPr>
                <w:rFonts w:ascii="宋体" w:hAnsi="宋体" w:cs="宋体" w:hint="eastAsia"/>
                <w:sz w:val="24"/>
                <w:szCs w:val="24"/>
              </w:rPr>
              <w:t>备注</w:t>
            </w:r>
          </w:p>
        </w:tc>
      </w:tr>
      <w:tr w14:paraId="7E55FD68">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379F623D">
            <w:pPr>
              <w:pStyle w:val="BodyText"/>
              <w:keepNext/>
              <w:snapToGrid w:val="0"/>
              <w:spacing w:after="0" w:line="360" w:lineRule="auto"/>
              <w:ind w:left="-240" w:right="-240" w:firstLine="480" w:leftChars="-100" w:rightChars="-100"/>
              <w:rPr>
                <w:rFonts w:ascii="宋体" w:hAnsi="宋体" w:cs="宋体"/>
                <w:sz w:val="24"/>
                <w:szCs w:val="24"/>
              </w:rPr>
            </w:pPr>
          </w:p>
        </w:tc>
        <w:tc>
          <w:tcPr>
            <w:tcW w:w="1283" w:type="dxa"/>
            <w:tcBorders>
              <w:top w:val="single" w:sz="4" w:space="0" w:color="auto"/>
              <w:left w:val="single" w:sz="4" w:space="0" w:color="auto"/>
              <w:bottom w:val="single" w:sz="4" w:space="0" w:color="auto"/>
              <w:right w:val="single" w:sz="4" w:space="0" w:color="auto"/>
            </w:tcBorders>
            <w:vAlign w:val="center"/>
          </w:tcPr>
          <w:p w14:paraId="2D0ABAF5">
            <w:pPr>
              <w:pStyle w:val="BodyText"/>
              <w:keepNext/>
              <w:snapToGrid w:val="0"/>
              <w:spacing w:after="0" w:line="360" w:lineRule="auto"/>
              <w:ind w:left="-240" w:right="-240" w:firstLine="480" w:leftChars="-100" w:rightChars="-100"/>
              <w:rPr>
                <w:rFonts w:ascii="宋体" w:hAnsi="宋体" w:cs="宋体"/>
                <w:sz w:val="24"/>
                <w:szCs w:val="24"/>
              </w:rPr>
            </w:pPr>
          </w:p>
        </w:tc>
        <w:tc>
          <w:tcPr>
            <w:tcW w:w="1425" w:type="dxa"/>
            <w:tcBorders>
              <w:top w:val="single" w:sz="4" w:space="0" w:color="auto"/>
              <w:left w:val="single" w:sz="4" w:space="0" w:color="auto"/>
              <w:bottom w:val="single" w:sz="4" w:space="0" w:color="auto"/>
              <w:right w:val="single" w:sz="4" w:space="0" w:color="auto"/>
            </w:tcBorders>
            <w:vAlign w:val="center"/>
          </w:tcPr>
          <w:p w14:paraId="19E88778">
            <w:pPr>
              <w:pStyle w:val="BodyText"/>
              <w:keepNext/>
              <w:snapToGrid w:val="0"/>
              <w:spacing w:after="0" w:line="360" w:lineRule="auto"/>
              <w:ind w:left="-240" w:right="-240" w:firstLine="480" w:leftChars="-100" w:rightChars="-100"/>
              <w:rPr>
                <w:rFonts w:ascii="宋体" w:hAnsi="宋体" w:cs="宋体"/>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1AA9CD99">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5FB2D83F">
            <w:pPr>
              <w:pStyle w:val="BodyText"/>
              <w:keepNext/>
              <w:snapToGrid w:val="0"/>
              <w:spacing w:after="0" w:line="360" w:lineRule="auto"/>
              <w:ind w:left="-240" w:right="-240" w:firstLine="480" w:leftChars="-100" w:rightChars="-100"/>
              <w:rPr>
                <w:rFonts w:ascii="宋体" w:hAnsi="宋体" w:cs="宋体"/>
                <w:sz w:val="24"/>
                <w:szCs w:val="24"/>
              </w:rPr>
            </w:pPr>
          </w:p>
        </w:tc>
        <w:tc>
          <w:tcPr>
            <w:tcW w:w="1049" w:type="dxa"/>
            <w:tcBorders>
              <w:top w:val="single" w:sz="4" w:space="0" w:color="auto"/>
              <w:left w:val="single" w:sz="4" w:space="0" w:color="auto"/>
              <w:bottom w:val="single" w:sz="4" w:space="0" w:color="auto"/>
              <w:right w:val="single" w:sz="4" w:space="0" w:color="auto"/>
            </w:tcBorders>
            <w:vAlign w:val="center"/>
          </w:tcPr>
          <w:p w14:paraId="319D24D6">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455F2E2D">
            <w:pPr>
              <w:pStyle w:val="BodyText"/>
              <w:keepNext/>
              <w:snapToGrid w:val="0"/>
              <w:spacing w:after="0" w:line="360" w:lineRule="auto"/>
              <w:ind w:left="-240" w:right="-240" w:firstLine="480" w:leftChars="-100" w:rightChars="-100"/>
              <w:rPr>
                <w:rFonts w:ascii="宋体" w:hAnsi="宋体" w:cs="宋体"/>
                <w:sz w:val="24"/>
                <w:szCs w:val="24"/>
              </w:rPr>
            </w:pPr>
          </w:p>
        </w:tc>
        <w:tc>
          <w:tcPr>
            <w:tcW w:w="935" w:type="dxa"/>
            <w:tcBorders>
              <w:top w:val="single" w:sz="4" w:space="0" w:color="auto"/>
              <w:left w:val="single" w:sz="4" w:space="0" w:color="auto"/>
              <w:bottom w:val="single" w:sz="4" w:space="0" w:color="auto"/>
              <w:right w:val="single" w:sz="4" w:space="0" w:color="auto"/>
            </w:tcBorders>
            <w:vAlign w:val="center"/>
          </w:tcPr>
          <w:p w14:paraId="3DA5C330">
            <w:pPr>
              <w:pStyle w:val="BodyText"/>
              <w:keepNext/>
              <w:snapToGrid w:val="0"/>
              <w:spacing w:after="0" w:line="360" w:lineRule="auto"/>
              <w:ind w:left="-240" w:right="-240" w:firstLine="480" w:leftChars="-100" w:rightChars="-100"/>
              <w:rPr>
                <w:rFonts w:ascii="宋体" w:hAnsi="宋体" w:cs="宋体"/>
                <w:sz w:val="24"/>
                <w:szCs w:val="24"/>
              </w:rPr>
            </w:pPr>
          </w:p>
        </w:tc>
        <w:tc>
          <w:tcPr>
            <w:tcW w:w="474" w:type="dxa"/>
            <w:tcBorders>
              <w:top w:val="single" w:sz="4" w:space="0" w:color="auto"/>
              <w:left w:val="single" w:sz="4" w:space="0" w:color="auto"/>
              <w:bottom w:val="single" w:sz="4" w:space="0" w:color="auto"/>
              <w:right w:val="single" w:sz="12" w:space="0" w:color="auto"/>
            </w:tcBorders>
            <w:vAlign w:val="center"/>
          </w:tcPr>
          <w:p w14:paraId="03BF4C36">
            <w:pPr>
              <w:pStyle w:val="BodyText"/>
              <w:keepNext/>
              <w:snapToGrid w:val="0"/>
              <w:spacing w:after="0" w:line="360" w:lineRule="auto"/>
              <w:ind w:left="-240" w:right="-240" w:firstLine="480" w:leftChars="-100" w:rightChars="-100"/>
              <w:rPr>
                <w:rFonts w:ascii="宋体" w:hAnsi="宋体" w:cs="宋体"/>
                <w:sz w:val="24"/>
                <w:szCs w:val="24"/>
              </w:rPr>
            </w:pPr>
          </w:p>
        </w:tc>
      </w:tr>
      <w:tr w14:paraId="6006A6CE">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2F8F8A79">
            <w:pPr>
              <w:pStyle w:val="BodyText"/>
              <w:keepNext/>
              <w:snapToGrid w:val="0"/>
              <w:spacing w:after="0" w:line="360" w:lineRule="auto"/>
              <w:ind w:left="-240" w:right="-240" w:firstLine="480" w:leftChars="-100" w:rightChars="-100"/>
              <w:rPr>
                <w:rFonts w:ascii="宋体" w:hAnsi="宋体" w:cs="宋体"/>
                <w:sz w:val="24"/>
                <w:szCs w:val="24"/>
              </w:rPr>
            </w:pPr>
          </w:p>
        </w:tc>
        <w:tc>
          <w:tcPr>
            <w:tcW w:w="1283" w:type="dxa"/>
            <w:tcBorders>
              <w:top w:val="single" w:sz="4" w:space="0" w:color="auto"/>
              <w:left w:val="single" w:sz="4" w:space="0" w:color="auto"/>
              <w:bottom w:val="single" w:sz="4" w:space="0" w:color="auto"/>
              <w:right w:val="single" w:sz="4" w:space="0" w:color="auto"/>
            </w:tcBorders>
            <w:vAlign w:val="center"/>
          </w:tcPr>
          <w:p w14:paraId="7B1ED63F">
            <w:pPr>
              <w:pStyle w:val="BodyText"/>
              <w:keepNext/>
              <w:snapToGrid w:val="0"/>
              <w:spacing w:after="0" w:line="360" w:lineRule="auto"/>
              <w:ind w:left="-240" w:right="-240" w:firstLine="480" w:leftChars="-100" w:rightChars="-100"/>
              <w:rPr>
                <w:rFonts w:ascii="宋体" w:hAnsi="宋体" w:cs="宋体"/>
                <w:sz w:val="24"/>
                <w:szCs w:val="24"/>
              </w:rPr>
            </w:pPr>
          </w:p>
        </w:tc>
        <w:tc>
          <w:tcPr>
            <w:tcW w:w="1425" w:type="dxa"/>
            <w:tcBorders>
              <w:top w:val="single" w:sz="4" w:space="0" w:color="auto"/>
              <w:left w:val="single" w:sz="4" w:space="0" w:color="auto"/>
              <w:bottom w:val="single" w:sz="4" w:space="0" w:color="auto"/>
              <w:right w:val="single" w:sz="4" w:space="0" w:color="auto"/>
            </w:tcBorders>
            <w:vAlign w:val="center"/>
          </w:tcPr>
          <w:p w14:paraId="70439A64">
            <w:pPr>
              <w:pStyle w:val="BodyText"/>
              <w:keepNext/>
              <w:snapToGrid w:val="0"/>
              <w:spacing w:after="0" w:line="360" w:lineRule="auto"/>
              <w:ind w:left="-240" w:right="-240" w:firstLine="480" w:leftChars="-100" w:rightChars="-100"/>
              <w:rPr>
                <w:rFonts w:ascii="宋体" w:hAnsi="宋体" w:cs="宋体"/>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5E258B10">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7608E9EA">
            <w:pPr>
              <w:pStyle w:val="BodyText"/>
              <w:keepNext/>
              <w:snapToGrid w:val="0"/>
              <w:spacing w:after="0" w:line="360" w:lineRule="auto"/>
              <w:ind w:left="-240" w:right="-240" w:firstLine="480" w:leftChars="-100" w:rightChars="-100"/>
              <w:rPr>
                <w:rFonts w:ascii="宋体" w:hAnsi="宋体" w:cs="宋体"/>
                <w:sz w:val="24"/>
                <w:szCs w:val="24"/>
              </w:rPr>
            </w:pPr>
          </w:p>
        </w:tc>
        <w:tc>
          <w:tcPr>
            <w:tcW w:w="1049" w:type="dxa"/>
            <w:tcBorders>
              <w:top w:val="single" w:sz="4" w:space="0" w:color="auto"/>
              <w:left w:val="single" w:sz="4" w:space="0" w:color="auto"/>
              <w:bottom w:val="single" w:sz="4" w:space="0" w:color="auto"/>
              <w:right w:val="single" w:sz="4" w:space="0" w:color="auto"/>
            </w:tcBorders>
            <w:vAlign w:val="center"/>
          </w:tcPr>
          <w:p w14:paraId="46446DCC">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1B55D9E6">
            <w:pPr>
              <w:pStyle w:val="BodyText"/>
              <w:keepNext/>
              <w:snapToGrid w:val="0"/>
              <w:spacing w:after="0" w:line="360" w:lineRule="auto"/>
              <w:ind w:left="-240" w:right="-240" w:firstLine="480" w:leftChars="-100" w:rightChars="-100"/>
              <w:rPr>
                <w:rFonts w:ascii="宋体" w:hAnsi="宋体" w:cs="宋体"/>
                <w:sz w:val="24"/>
                <w:szCs w:val="24"/>
              </w:rPr>
            </w:pPr>
          </w:p>
        </w:tc>
        <w:tc>
          <w:tcPr>
            <w:tcW w:w="935" w:type="dxa"/>
            <w:tcBorders>
              <w:top w:val="single" w:sz="4" w:space="0" w:color="auto"/>
              <w:left w:val="single" w:sz="4" w:space="0" w:color="auto"/>
              <w:bottom w:val="single" w:sz="4" w:space="0" w:color="auto"/>
              <w:right w:val="single" w:sz="4" w:space="0" w:color="auto"/>
            </w:tcBorders>
            <w:vAlign w:val="center"/>
          </w:tcPr>
          <w:p w14:paraId="073BED15">
            <w:pPr>
              <w:pStyle w:val="BodyText"/>
              <w:keepNext/>
              <w:snapToGrid w:val="0"/>
              <w:spacing w:after="0" w:line="360" w:lineRule="auto"/>
              <w:ind w:left="-240" w:right="-240" w:firstLine="480" w:leftChars="-100" w:rightChars="-100"/>
              <w:rPr>
                <w:rFonts w:ascii="宋体" w:hAnsi="宋体" w:cs="宋体"/>
                <w:sz w:val="24"/>
                <w:szCs w:val="24"/>
              </w:rPr>
            </w:pPr>
          </w:p>
        </w:tc>
        <w:tc>
          <w:tcPr>
            <w:tcW w:w="474" w:type="dxa"/>
            <w:tcBorders>
              <w:top w:val="single" w:sz="4" w:space="0" w:color="auto"/>
              <w:left w:val="single" w:sz="4" w:space="0" w:color="auto"/>
              <w:bottom w:val="single" w:sz="4" w:space="0" w:color="auto"/>
              <w:right w:val="single" w:sz="12" w:space="0" w:color="auto"/>
            </w:tcBorders>
            <w:vAlign w:val="center"/>
          </w:tcPr>
          <w:p w14:paraId="4EE01DDF">
            <w:pPr>
              <w:pStyle w:val="BodyText"/>
              <w:keepNext/>
              <w:snapToGrid w:val="0"/>
              <w:spacing w:after="0" w:line="360" w:lineRule="auto"/>
              <w:ind w:left="-240" w:right="-240" w:firstLine="480" w:leftChars="-100" w:rightChars="-100"/>
              <w:rPr>
                <w:rFonts w:ascii="宋体" w:hAnsi="宋体" w:cs="宋体"/>
                <w:sz w:val="24"/>
                <w:szCs w:val="24"/>
              </w:rPr>
            </w:pPr>
          </w:p>
        </w:tc>
      </w:tr>
      <w:tr w14:paraId="19B1D7FD">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1570A2CB">
            <w:pPr>
              <w:pStyle w:val="BodyText"/>
              <w:keepNext/>
              <w:snapToGrid w:val="0"/>
              <w:spacing w:after="0" w:line="360" w:lineRule="auto"/>
              <w:ind w:left="-240" w:right="-240" w:firstLine="480" w:leftChars="-100" w:rightChars="-100"/>
              <w:rPr>
                <w:rFonts w:ascii="宋体" w:hAnsi="宋体" w:cs="宋体"/>
                <w:sz w:val="24"/>
                <w:szCs w:val="24"/>
              </w:rPr>
            </w:pPr>
          </w:p>
        </w:tc>
        <w:tc>
          <w:tcPr>
            <w:tcW w:w="1283" w:type="dxa"/>
            <w:tcBorders>
              <w:top w:val="single" w:sz="4" w:space="0" w:color="auto"/>
              <w:left w:val="single" w:sz="4" w:space="0" w:color="auto"/>
              <w:bottom w:val="single" w:sz="4" w:space="0" w:color="auto"/>
              <w:right w:val="single" w:sz="4" w:space="0" w:color="auto"/>
            </w:tcBorders>
            <w:vAlign w:val="center"/>
          </w:tcPr>
          <w:p w14:paraId="4B7F701C">
            <w:pPr>
              <w:pStyle w:val="BodyText"/>
              <w:keepNext/>
              <w:snapToGrid w:val="0"/>
              <w:spacing w:after="0" w:line="360" w:lineRule="auto"/>
              <w:ind w:left="-240" w:right="-240" w:firstLine="480" w:leftChars="-100" w:rightChars="-100"/>
              <w:rPr>
                <w:rFonts w:ascii="宋体" w:hAnsi="宋体" w:cs="宋体"/>
                <w:sz w:val="24"/>
                <w:szCs w:val="24"/>
              </w:rPr>
            </w:pPr>
          </w:p>
        </w:tc>
        <w:tc>
          <w:tcPr>
            <w:tcW w:w="1425" w:type="dxa"/>
            <w:tcBorders>
              <w:top w:val="single" w:sz="4" w:space="0" w:color="auto"/>
              <w:left w:val="single" w:sz="4" w:space="0" w:color="auto"/>
              <w:bottom w:val="single" w:sz="4" w:space="0" w:color="auto"/>
              <w:right w:val="single" w:sz="4" w:space="0" w:color="auto"/>
            </w:tcBorders>
            <w:vAlign w:val="center"/>
          </w:tcPr>
          <w:p w14:paraId="13DACF80">
            <w:pPr>
              <w:pStyle w:val="BodyText"/>
              <w:keepNext/>
              <w:snapToGrid w:val="0"/>
              <w:spacing w:after="0" w:line="360" w:lineRule="auto"/>
              <w:ind w:left="-240" w:right="-240" w:firstLine="480" w:leftChars="-100" w:rightChars="-100"/>
              <w:rPr>
                <w:rFonts w:ascii="宋体" w:hAnsi="宋体" w:cs="宋体"/>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1982D399">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52675A85">
            <w:pPr>
              <w:pStyle w:val="BodyText"/>
              <w:keepNext/>
              <w:snapToGrid w:val="0"/>
              <w:spacing w:after="0" w:line="360" w:lineRule="auto"/>
              <w:ind w:left="-240" w:right="-240" w:firstLine="480" w:leftChars="-100" w:rightChars="-100"/>
              <w:rPr>
                <w:rFonts w:ascii="宋体" w:hAnsi="宋体" w:cs="宋体"/>
                <w:sz w:val="24"/>
                <w:szCs w:val="24"/>
              </w:rPr>
            </w:pPr>
          </w:p>
        </w:tc>
        <w:tc>
          <w:tcPr>
            <w:tcW w:w="1049" w:type="dxa"/>
            <w:tcBorders>
              <w:top w:val="single" w:sz="4" w:space="0" w:color="auto"/>
              <w:left w:val="single" w:sz="4" w:space="0" w:color="auto"/>
              <w:bottom w:val="single" w:sz="4" w:space="0" w:color="auto"/>
              <w:right w:val="single" w:sz="4" w:space="0" w:color="auto"/>
            </w:tcBorders>
            <w:vAlign w:val="center"/>
          </w:tcPr>
          <w:p w14:paraId="40D8F832">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5F858471">
            <w:pPr>
              <w:pStyle w:val="BodyText"/>
              <w:keepNext/>
              <w:snapToGrid w:val="0"/>
              <w:spacing w:after="0" w:line="360" w:lineRule="auto"/>
              <w:ind w:left="-240" w:right="-240" w:firstLine="480" w:leftChars="-100" w:rightChars="-100"/>
              <w:rPr>
                <w:rFonts w:ascii="宋体" w:hAnsi="宋体" w:cs="宋体"/>
                <w:sz w:val="24"/>
                <w:szCs w:val="24"/>
              </w:rPr>
            </w:pPr>
          </w:p>
        </w:tc>
        <w:tc>
          <w:tcPr>
            <w:tcW w:w="935" w:type="dxa"/>
            <w:tcBorders>
              <w:top w:val="single" w:sz="4" w:space="0" w:color="auto"/>
              <w:left w:val="single" w:sz="4" w:space="0" w:color="auto"/>
              <w:bottom w:val="single" w:sz="4" w:space="0" w:color="auto"/>
              <w:right w:val="single" w:sz="4" w:space="0" w:color="auto"/>
            </w:tcBorders>
            <w:vAlign w:val="center"/>
          </w:tcPr>
          <w:p w14:paraId="79243FC4">
            <w:pPr>
              <w:pStyle w:val="BodyText"/>
              <w:keepNext/>
              <w:snapToGrid w:val="0"/>
              <w:spacing w:after="0" w:line="360" w:lineRule="auto"/>
              <w:ind w:left="-240" w:right="-240" w:firstLine="480" w:leftChars="-100" w:rightChars="-100"/>
              <w:rPr>
                <w:rFonts w:ascii="宋体" w:hAnsi="宋体" w:cs="宋体"/>
                <w:sz w:val="24"/>
                <w:szCs w:val="24"/>
              </w:rPr>
            </w:pPr>
          </w:p>
        </w:tc>
        <w:tc>
          <w:tcPr>
            <w:tcW w:w="474" w:type="dxa"/>
            <w:tcBorders>
              <w:top w:val="single" w:sz="4" w:space="0" w:color="auto"/>
              <w:left w:val="single" w:sz="4" w:space="0" w:color="auto"/>
              <w:bottom w:val="single" w:sz="4" w:space="0" w:color="auto"/>
              <w:right w:val="single" w:sz="12" w:space="0" w:color="auto"/>
            </w:tcBorders>
            <w:vAlign w:val="center"/>
          </w:tcPr>
          <w:p w14:paraId="5561C6D8">
            <w:pPr>
              <w:pStyle w:val="BodyText"/>
              <w:keepNext/>
              <w:snapToGrid w:val="0"/>
              <w:spacing w:after="0" w:line="360" w:lineRule="auto"/>
              <w:ind w:left="-240" w:right="-240" w:firstLine="480" w:leftChars="-100" w:rightChars="-100"/>
              <w:rPr>
                <w:rFonts w:ascii="宋体" w:hAnsi="宋体" w:cs="宋体"/>
                <w:sz w:val="24"/>
                <w:szCs w:val="24"/>
              </w:rPr>
            </w:pPr>
          </w:p>
        </w:tc>
      </w:tr>
      <w:tr w14:paraId="48E4DA54">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0FB09741">
            <w:pPr>
              <w:pStyle w:val="BodyText"/>
              <w:keepNext/>
              <w:snapToGrid w:val="0"/>
              <w:spacing w:after="0" w:line="360" w:lineRule="auto"/>
              <w:ind w:left="-240" w:right="-240" w:firstLine="480" w:leftChars="-100" w:rightChars="-100"/>
              <w:rPr>
                <w:rFonts w:ascii="宋体" w:hAnsi="宋体" w:cs="宋体"/>
                <w:sz w:val="24"/>
                <w:szCs w:val="24"/>
              </w:rPr>
            </w:pPr>
          </w:p>
        </w:tc>
        <w:tc>
          <w:tcPr>
            <w:tcW w:w="1283" w:type="dxa"/>
            <w:tcBorders>
              <w:top w:val="single" w:sz="4" w:space="0" w:color="auto"/>
              <w:left w:val="single" w:sz="4" w:space="0" w:color="auto"/>
              <w:bottom w:val="single" w:sz="4" w:space="0" w:color="auto"/>
              <w:right w:val="single" w:sz="4" w:space="0" w:color="auto"/>
            </w:tcBorders>
            <w:vAlign w:val="center"/>
          </w:tcPr>
          <w:p w14:paraId="1220523D">
            <w:pPr>
              <w:pStyle w:val="BodyText"/>
              <w:keepNext/>
              <w:snapToGrid w:val="0"/>
              <w:spacing w:after="0" w:line="360" w:lineRule="auto"/>
              <w:ind w:left="-240" w:right="-240" w:firstLine="480" w:leftChars="-100" w:rightChars="-100"/>
              <w:rPr>
                <w:rFonts w:ascii="宋体" w:hAnsi="宋体" w:cs="宋体"/>
                <w:sz w:val="24"/>
                <w:szCs w:val="24"/>
              </w:rPr>
            </w:pPr>
          </w:p>
        </w:tc>
        <w:tc>
          <w:tcPr>
            <w:tcW w:w="1425" w:type="dxa"/>
            <w:tcBorders>
              <w:top w:val="single" w:sz="4" w:space="0" w:color="auto"/>
              <w:left w:val="single" w:sz="4" w:space="0" w:color="auto"/>
              <w:bottom w:val="single" w:sz="4" w:space="0" w:color="auto"/>
              <w:right w:val="single" w:sz="4" w:space="0" w:color="auto"/>
            </w:tcBorders>
            <w:vAlign w:val="center"/>
          </w:tcPr>
          <w:p w14:paraId="77D83B1C">
            <w:pPr>
              <w:pStyle w:val="BodyText"/>
              <w:keepNext/>
              <w:snapToGrid w:val="0"/>
              <w:spacing w:after="0" w:line="360" w:lineRule="auto"/>
              <w:ind w:left="-240" w:right="-240" w:firstLine="480" w:leftChars="-100" w:rightChars="-100"/>
              <w:rPr>
                <w:rFonts w:ascii="宋体" w:hAnsi="宋体" w:cs="宋体"/>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1E3448FA">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57F74295">
            <w:pPr>
              <w:pStyle w:val="BodyText"/>
              <w:keepNext/>
              <w:snapToGrid w:val="0"/>
              <w:spacing w:after="0" w:line="360" w:lineRule="auto"/>
              <w:ind w:left="-240" w:right="-240" w:firstLine="480" w:leftChars="-100" w:rightChars="-100"/>
              <w:rPr>
                <w:rFonts w:ascii="宋体" w:hAnsi="宋体" w:cs="宋体"/>
                <w:sz w:val="24"/>
                <w:szCs w:val="24"/>
              </w:rPr>
            </w:pPr>
          </w:p>
        </w:tc>
        <w:tc>
          <w:tcPr>
            <w:tcW w:w="1049" w:type="dxa"/>
            <w:tcBorders>
              <w:top w:val="single" w:sz="4" w:space="0" w:color="auto"/>
              <w:left w:val="single" w:sz="4" w:space="0" w:color="auto"/>
              <w:bottom w:val="single" w:sz="4" w:space="0" w:color="auto"/>
              <w:right w:val="single" w:sz="4" w:space="0" w:color="auto"/>
            </w:tcBorders>
            <w:vAlign w:val="center"/>
          </w:tcPr>
          <w:p w14:paraId="773B1B8C">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3E23D236">
            <w:pPr>
              <w:pStyle w:val="BodyText"/>
              <w:keepNext/>
              <w:snapToGrid w:val="0"/>
              <w:spacing w:after="0" w:line="360" w:lineRule="auto"/>
              <w:ind w:left="-240" w:right="-240" w:firstLine="480" w:leftChars="-100" w:rightChars="-100"/>
              <w:rPr>
                <w:rFonts w:ascii="宋体" w:hAnsi="宋体" w:cs="宋体"/>
                <w:sz w:val="24"/>
                <w:szCs w:val="24"/>
              </w:rPr>
            </w:pPr>
          </w:p>
        </w:tc>
        <w:tc>
          <w:tcPr>
            <w:tcW w:w="935" w:type="dxa"/>
            <w:tcBorders>
              <w:top w:val="single" w:sz="4" w:space="0" w:color="auto"/>
              <w:left w:val="single" w:sz="4" w:space="0" w:color="auto"/>
              <w:bottom w:val="single" w:sz="4" w:space="0" w:color="auto"/>
              <w:right w:val="single" w:sz="4" w:space="0" w:color="auto"/>
            </w:tcBorders>
            <w:vAlign w:val="center"/>
          </w:tcPr>
          <w:p w14:paraId="062636AB">
            <w:pPr>
              <w:pStyle w:val="BodyText"/>
              <w:keepNext/>
              <w:snapToGrid w:val="0"/>
              <w:spacing w:after="0" w:line="360" w:lineRule="auto"/>
              <w:ind w:left="-240" w:right="-240" w:firstLine="480" w:leftChars="-100" w:rightChars="-100"/>
              <w:rPr>
                <w:rFonts w:ascii="宋体" w:hAnsi="宋体" w:cs="宋体"/>
                <w:sz w:val="24"/>
                <w:szCs w:val="24"/>
              </w:rPr>
            </w:pPr>
          </w:p>
        </w:tc>
        <w:tc>
          <w:tcPr>
            <w:tcW w:w="474" w:type="dxa"/>
            <w:tcBorders>
              <w:top w:val="single" w:sz="4" w:space="0" w:color="auto"/>
              <w:left w:val="single" w:sz="4" w:space="0" w:color="auto"/>
              <w:bottom w:val="single" w:sz="4" w:space="0" w:color="auto"/>
              <w:right w:val="single" w:sz="12" w:space="0" w:color="auto"/>
            </w:tcBorders>
            <w:vAlign w:val="center"/>
          </w:tcPr>
          <w:p w14:paraId="28B7F4DD">
            <w:pPr>
              <w:pStyle w:val="BodyText"/>
              <w:keepNext/>
              <w:snapToGrid w:val="0"/>
              <w:spacing w:after="0" w:line="360" w:lineRule="auto"/>
              <w:ind w:left="-240" w:right="-240" w:firstLine="480" w:leftChars="-100" w:rightChars="-100"/>
              <w:rPr>
                <w:rFonts w:ascii="宋体" w:hAnsi="宋体" w:cs="宋体"/>
                <w:sz w:val="24"/>
                <w:szCs w:val="24"/>
              </w:rPr>
            </w:pPr>
          </w:p>
        </w:tc>
      </w:tr>
      <w:tr w14:paraId="126CD6FB">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4066A2C5">
            <w:pPr>
              <w:pStyle w:val="BodyText"/>
              <w:keepNext/>
              <w:snapToGrid w:val="0"/>
              <w:spacing w:after="0" w:line="360" w:lineRule="auto"/>
              <w:ind w:left="-240" w:right="-240" w:firstLine="480" w:leftChars="-100" w:rightChars="-100"/>
              <w:rPr>
                <w:rFonts w:ascii="宋体" w:hAnsi="宋体" w:cs="宋体"/>
                <w:sz w:val="24"/>
                <w:szCs w:val="24"/>
              </w:rPr>
            </w:pPr>
          </w:p>
        </w:tc>
        <w:tc>
          <w:tcPr>
            <w:tcW w:w="1283" w:type="dxa"/>
            <w:tcBorders>
              <w:top w:val="single" w:sz="4" w:space="0" w:color="auto"/>
              <w:left w:val="single" w:sz="4" w:space="0" w:color="auto"/>
              <w:bottom w:val="single" w:sz="4" w:space="0" w:color="auto"/>
              <w:right w:val="single" w:sz="4" w:space="0" w:color="auto"/>
            </w:tcBorders>
            <w:vAlign w:val="center"/>
          </w:tcPr>
          <w:p w14:paraId="54047353">
            <w:pPr>
              <w:pStyle w:val="BodyText"/>
              <w:keepNext/>
              <w:snapToGrid w:val="0"/>
              <w:spacing w:after="0" w:line="360" w:lineRule="auto"/>
              <w:ind w:left="-240" w:right="-240" w:firstLine="480" w:leftChars="-100" w:rightChars="-100"/>
              <w:rPr>
                <w:rFonts w:ascii="宋体" w:hAnsi="宋体" w:cs="宋体"/>
                <w:sz w:val="24"/>
                <w:szCs w:val="24"/>
              </w:rPr>
            </w:pPr>
          </w:p>
        </w:tc>
        <w:tc>
          <w:tcPr>
            <w:tcW w:w="1425" w:type="dxa"/>
            <w:tcBorders>
              <w:top w:val="single" w:sz="4" w:space="0" w:color="auto"/>
              <w:left w:val="single" w:sz="4" w:space="0" w:color="auto"/>
              <w:bottom w:val="single" w:sz="4" w:space="0" w:color="auto"/>
              <w:right w:val="single" w:sz="4" w:space="0" w:color="auto"/>
            </w:tcBorders>
            <w:vAlign w:val="center"/>
          </w:tcPr>
          <w:p w14:paraId="00C8ABEB">
            <w:pPr>
              <w:pStyle w:val="BodyText"/>
              <w:keepNext/>
              <w:snapToGrid w:val="0"/>
              <w:spacing w:after="0" w:line="360" w:lineRule="auto"/>
              <w:ind w:left="-240" w:right="-240" w:firstLine="480" w:leftChars="-100" w:rightChars="-100"/>
              <w:rPr>
                <w:rFonts w:ascii="宋体" w:hAnsi="宋体" w:cs="宋体"/>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3A3EAE00">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64F06204">
            <w:pPr>
              <w:pStyle w:val="BodyText"/>
              <w:keepNext/>
              <w:snapToGrid w:val="0"/>
              <w:spacing w:after="0" w:line="360" w:lineRule="auto"/>
              <w:ind w:left="-240" w:right="-240" w:firstLine="480" w:leftChars="-100" w:rightChars="-100"/>
              <w:rPr>
                <w:rFonts w:ascii="宋体" w:hAnsi="宋体" w:cs="宋体"/>
                <w:sz w:val="24"/>
                <w:szCs w:val="24"/>
              </w:rPr>
            </w:pPr>
          </w:p>
        </w:tc>
        <w:tc>
          <w:tcPr>
            <w:tcW w:w="1049" w:type="dxa"/>
            <w:tcBorders>
              <w:top w:val="single" w:sz="4" w:space="0" w:color="auto"/>
              <w:left w:val="single" w:sz="4" w:space="0" w:color="auto"/>
              <w:bottom w:val="single" w:sz="4" w:space="0" w:color="auto"/>
              <w:right w:val="single" w:sz="4" w:space="0" w:color="auto"/>
            </w:tcBorders>
            <w:vAlign w:val="center"/>
          </w:tcPr>
          <w:p w14:paraId="0ACDCDB8">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4316171D">
            <w:pPr>
              <w:pStyle w:val="BodyText"/>
              <w:keepNext/>
              <w:snapToGrid w:val="0"/>
              <w:spacing w:after="0" w:line="360" w:lineRule="auto"/>
              <w:ind w:left="-240" w:right="-240" w:firstLine="480" w:leftChars="-100" w:rightChars="-100"/>
              <w:rPr>
                <w:rFonts w:ascii="宋体" w:hAnsi="宋体" w:cs="宋体"/>
                <w:sz w:val="24"/>
                <w:szCs w:val="24"/>
              </w:rPr>
            </w:pPr>
          </w:p>
        </w:tc>
        <w:tc>
          <w:tcPr>
            <w:tcW w:w="935" w:type="dxa"/>
            <w:tcBorders>
              <w:top w:val="single" w:sz="4" w:space="0" w:color="auto"/>
              <w:left w:val="single" w:sz="4" w:space="0" w:color="auto"/>
              <w:bottom w:val="single" w:sz="4" w:space="0" w:color="auto"/>
              <w:right w:val="single" w:sz="4" w:space="0" w:color="auto"/>
            </w:tcBorders>
            <w:vAlign w:val="center"/>
          </w:tcPr>
          <w:p w14:paraId="7824E1E6">
            <w:pPr>
              <w:pStyle w:val="BodyText"/>
              <w:keepNext/>
              <w:snapToGrid w:val="0"/>
              <w:spacing w:after="0" w:line="360" w:lineRule="auto"/>
              <w:ind w:left="-240" w:right="-240" w:firstLine="480" w:leftChars="-100" w:rightChars="-100"/>
              <w:rPr>
                <w:rFonts w:ascii="宋体" w:hAnsi="宋体" w:cs="宋体"/>
                <w:sz w:val="24"/>
                <w:szCs w:val="24"/>
              </w:rPr>
            </w:pPr>
          </w:p>
        </w:tc>
        <w:tc>
          <w:tcPr>
            <w:tcW w:w="474" w:type="dxa"/>
            <w:tcBorders>
              <w:top w:val="single" w:sz="4" w:space="0" w:color="auto"/>
              <w:left w:val="single" w:sz="4" w:space="0" w:color="auto"/>
              <w:bottom w:val="single" w:sz="4" w:space="0" w:color="auto"/>
              <w:right w:val="single" w:sz="12" w:space="0" w:color="auto"/>
            </w:tcBorders>
            <w:vAlign w:val="center"/>
          </w:tcPr>
          <w:p w14:paraId="1535B7DE">
            <w:pPr>
              <w:pStyle w:val="BodyText"/>
              <w:keepNext/>
              <w:snapToGrid w:val="0"/>
              <w:spacing w:after="0" w:line="360" w:lineRule="auto"/>
              <w:ind w:left="-240" w:right="-240" w:firstLine="480" w:leftChars="-100" w:rightChars="-100"/>
              <w:rPr>
                <w:rFonts w:ascii="宋体" w:hAnsi="宋体" w:cs="宋体"/>
                <w:sz w:val="24"/>
                <w:szCs w:val="24"/>
              </w:rPr>
            </w:pPr>
          </w:p>
        </w:tc>
      </w:tr>
      <w:tr w14:paraId="79091F44">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25C89AA9">
            <w:pPr>
              <w:pStyle w:val="BodyText"/>
              <w:keepNext/>
              <w:snapToGrid w:val="0"/>
              <w:spacing w:after="0" w:line="360" w:lineRule="auto"/>
              <w:ind w:left="-240" w:right="-240" w:firstLine="480" w:leftChars="-100" w:rightChars="-100"/>
              <w:rPr>
                <w:rFonts w:ascii="宋体" w:hAnsi="宋体" w:cs="宋体"/>
                <w:sz w:val="24"/>
                <w:szCs w:val="24"/>
              </w:rPr>
            </w:pPr>
          </w:p>
        </w:tc>
        <w:tc>
          <w:tcPr>
            <w:tcW w:w="1283" w:type="dxa"/>
            <w:tcBorders>
              <w:top w:val="single" w:sz="4" w:space="0" w:color="auto"/>
              <w:left w:val="single" w:sz="4" w:space="0" w:color="auto"/>
              <w:bottom w:val="single" w:sz="4" w:space="0" w:color="auto"/>
              <w:right w:val="single" w:sz="4" w:space="0" w:color="auto"/>
            </w:tcBorders>
            <w:vAlign w:val="center"/>
          </w:tcPr>
          <w:p w14:paraId="6B105964">
            <w:pPr>
              <w:pStyle w:val="BodyText"/>
              <w:keepNext/>
              <w:snapToGrid w:val="0"/>
              <w:spacing w:after="0" w:line="360" w:lineRule="auto"/>
              <w:ind w:left="-240" w:right="-240" w:firstLine="480" w:leftChars="-100" w:rightChars="-100"/>
              <w:rPr>
                <w:rFonts w:ascii="宋体" w:hAnsi="宋体" w:cs="宋体"/>
                <w:sz w:val="24"/>
                <w:szCs w:val="24"/>
              </w:rPr>
            </w:pPr>
          </w:p>
        </w:tc>
        <w:tc>
          <w:tcPr>
            <w:tcW w:w="1425" w:type="dxa"/>
            <w:tcBorders>
              <w:top w:val="single" w:sz="4" w:space="0" w:color="auto"/>
              <w:left w:val="single" w:sz="4" w:space="0" w:color="auto"/>
              <w:bottom w:val="single" w:sz="4" w:space="0" w:color="auto"/>
              <w:right w:val="single" w:sz="4" w:space="0" w:color="auto"/>
            </w:tcBorders>
            <w:vAlign w:val="center"/>
          </w:tcPr>
          <w:p w14:paraId="513A231A">
            <w:pPr>
              <w:pStyle w:val="BodyText"/>
              <w:keepNext/>
              <w:snapToGrid w:val="0"/>
              <w:spacing w:after="0" w:line="360" w:lineRule="auto"/>
              <w:ind w:left="-240" w:right="-240" w:firstLine="480" w:leftChars="-100" w:rightChars="-100"/>
              <w:rPr>
                <w:rFonts w:ascii="宋体" w:hAnsi="宋体" w:cs="宋体"/>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2D0D0052">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3CF237B4">
            <w:pPr>
              <w:pStyle w:val="BodyText"/>
              <w:keepNext/>
              <w:snapToGrid w:val="0"/>
              <w:spacing w:after="0" w:line="360" w:lineRule="auto"/>
              <w:ind w:left="-240" w:right="-240" w:firstLine="480" w:leftChars="-100" w:rightChars="-100"/>
              <w:rPr>
                <w:rFonts w:ascii="宋体" w:hAnsi="宋体" w:cs="宋体"/>
                <w:sz w:val="24"/>
                <w:szCs w:val="24"/>
              </w:rPr>
            </w:pPr>
          </w:p>
        </w:tc>
        <w:tc>
          <w:tcPr>
            <w:tcW w:w="1049" w:type="dxa"/>
            <w:tcBorders>
              <w:top w:val="single" w:sz="4" w:space="0" w:color="auto"/>
              <w:left w:val="single" w:sz="4" w:space="0" w:color="auto"/>
              <w:bottom w:val="single" w:sz="4" w:space="0" w:color="auto"/>
              <w:right w:val="single" w:sz="4" w:space="0" w:color="auto"/>
            </w:tcBorders>
            <w:vAlign w:val="center"/>
          </w:tcPr>
          <w:p w14:paraId="5E4BE66B">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53D5BFB9">
            <w:pPr>
              <w:pStyle w:val="BodyText"/>
              <w:keepNext/>
              <w:snapToGrid w:val="0"/>
              <w:spacing w:after="0" w:line="360" w:lineRule="auto"/>
              <w:ind w:left="-240" w:right="-240" w:firstLine="480" w:leftChars="-100" w:rightChars="-100"/>
              <w:rPr>
                <w:rFonts w:ascii="宋体" w:hAnsi="宋体" w:cs="宋体"/>
                <w:sz w:val="24"/>
                <w:szCs w:val="24"/>
              </w:rPr>
            </w:pPr>
          </w:p>
        </w:tc>
        <w:tc>
          <w:tcPr>
            <w:tcW w:w="935" w:type="dxa"/>
            <w:tcBorders>
              <w:top w:val="single" w:sz="4" w:space="0" w:color="auto"/>
              <w:left w:val="single" w:sz="4" w:space="0" w:color="auto"/>
              <w:bottom w:val="single" w:sz="4" w:space="0" w:color="auto"/>
              <w:right w:val="single" w:sz="4" w:space="0" w:color="auto"/>
            </w:tcBorders>
            <w:vAlign w:val="center"/>
          </w:tcPr>
          <w:p w14:paraId="14544436">
            <w:pPr>
              <w:pStyle w:val="BodyText"/>
              <w:keepNext/>
              <w:snapToGrid w:val="0"/>
              <w:spacing w:after="0" w:line="360" w:lineRule="auto"/>
              <w:ind w:left="-240" w:right="-240" w:firstLine="480" w:leftChars="-100" w:rightChars="-100"/>
              <w:rPr>
                <w:rFonts w:ascii="宋体" w:hAnsi="宋体" w:cs="宋体"/>
                <w:sz w:val="24"/>
                <w:szCs w:val="24"/>
              </w:rPr>
            </w:pPr>
          </w:p>
        </w:tc>
        <w:tc>
          <w:tcPr>
            <w:tcW w:w="474" w:type="dxa"/>
            <w:tcBorders>
              <w:top w:val="single" w:sz="4" w:space="0" w:color="auto"/>
              <w:left w:val="single" w:sz="4" w:space="0" w:color="auto"/>
              <w:bottom w:val="single" w:sz="4" w:space="0" w:color="auto"/>
              <w:right w:val="single" w:sz="12" w:space="0" w:color="auto"/>
            </w:tcBorders>
            <w:vAlign w:val="center"/>
          </w:tcPr>
          <w:p w14:paraId="6939BDE7">
            <w:pPr>
              <w:pStyle w:val="BodyText"/>
              <w:keepNext/>
              <w:snapToGrid w:val="0"/>
              <w:spacing w:after="0" w:line="360" w:lineRule="auto"/>
              <w:ind w:left="-240" w:right="-240" w:firstLine="480" w:leftChars="-100" w:rightChars="-100"/>
              <w:rPr>
                <w:rFonts w:ascii="宋体" w:hAnsi="宋体" w:cs="宋体"/>
                <w:sz w:val="24"/>
                <w:szCs w:val="24"/>
              </w:rPr>
            </w:pPr>
          </w:p>
        </w:tc>
      </w:tr>
      <w:tr w14:paraId="313ABA55">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62218618">
            <w:pPr>
              <w:snapToGrid w:val="0"/>
              <w:spacing w:line="360" w:lineRule="auto"/>
              <w:ind w:left="-240" w:right="-240" w:firstLine="480" w:leftChars="-100" w:rightChars="-100"/>
              <w:jc w:val="center"/>
              <w:rPr>
                <w:rFonts w:ascii="宋体" w:hAnsi="宋体" w:cs="宋体"/>
              </w:rPr>
            </w:pPr>
          </w:p>
        </w:tc>
        <w:tc>
          <w:tcPr>
            <w:tcW w:w="1283" w:type="dxa"/>
            <w:tcBorders>
              <w:top w:val="single" w:sz="4" w:space="0" w:color="auto"/>
              <w:left w:val="single" w:sz="4" w:space="0" w:color="auto"/>
              <w:bottom w:val="single" w:sz="4" w:space="0" w:color="auto"/>
              <w:right w:val="single" w:sz="4" w:space="0" w:color="auto"/>
            </w:tcBorders>
            <w:vAlign w:val="center"/>
          </w:tcPr>
          <w:p w14:paraId="61A1C057">
            <w:pPr>
              <w:snapToGrid w:val="0"/>
              <w:spacing w:line="360" w:lineRule="auto"/>
              <w:ind w:left="-240" w:right="-240" w:firstLine="480" w:leftChars="-100" w:rightChars="-100"/>
              <w:jc w:val="center"/>
              <w:rPr>
                <w:rFonts w:ascii="宋体" w:hAnsi="宋体" w:cs="宋体"/>
              </w:rPr>
            </w:pPr>
          </w:p>
        </w:tc>
        <w:tc>
          <w:tcPr>
            <w:tcW w:w="1425" w:type="dxa"/>
            <w:tcBorders>
              <w:top w:val="single" w:sz="4" w:space="0" w:color="auto"/>
              <w:left w:val="single" w:sz="4" w:space="0" w:color="auto"/>
              <w:bottom w:val="single" w:sz="4" w:space="0" w:color="auto"/>
              <w:right w:val="single" w:sz="4" w:space="0" w:color="auto"/>
            </w:tcBorders>
            <w:vAlign w:val="center"/>
          </w:tcPr>
          <w:p w14:paraId="4B1F0006">
            <w:pPr>
              <w:snapToGrid w:val="0"/>
              <w:spacing w:line="360" w:lineRule="auto"/>
              <w:ind w:left="-240" w:right="-240" w:firstLine="480" w:leftChars="-100" w:rightChars="-100"/>
              <w:jc w:val="center"/>
              <w:rPr>
                <w:rFonts w:ascii="宋体" w:hAnsi="宋体" w:cs="宋体"/>
              </w:rPr>
            </w:pPr>
          </w:p>
        </w:tc>
        <w:tc>
          <w:tcPr>
            <w:tcW w:w="945" w:type="dxa"/>
            <w:tcBorders>
              <w:top w:val="single" w:sz="4" w:space="0" w:color="auto"/>
              <w:left w:val="single" w:sz="4" w:space="0" w:color="auto"/>
              <w:bottom w:val="single" w:sz="4" w:space="0" w:color="auto"/>
              <w:right w:val="single" w:sz="4" w:space="0" w:color="auto"/>
            </w:tcBorders>
            <w:vAlign w:val="center"/>
          </w:tcPr>
          <w:p w14:paraId="23DFC358">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73559FA7">
            <w:pPr>
              <w:snapToGrid w:val="0"/>
              <w:spacing w:line="360" w:lineRule="auto"/>
              <w:ind w:left="-240" w:right="-240" w:firstLine="480" w:leftChars="-100" w:rightChars="-100"/>
              <w:jc w:val="center"/>
              <w:rPr>
                <w:rFonts w:ascii="宋体" w:hAnsi="宋体" w:cs="宋体"/>
              </w:rPr>
            </w:pPr>
          </w:p>
        </w:tc>
        <w:tc>
          <w:tcPr>
            <w:tcW w:w="1049" w:type="dxa"/>
            <w:tcBorders>
              <w:top w:val="single" w:sz="4" w:space="0" w:color="auto"/>
              <w:left w:val="single" w:sz="4" w:space="0" w:color="auto"/>
              <w:bottom w:val="single" w:sz="4" w:space="0" w:color="auto"/>
              <w:right w:val="single" w:sz="4" w:space="0" w:color="auto"/>
            </w:tcBorders>
            <w:vAlign w:val="center"/>
          </w:tcPr>
          <w:p w14:paraId="4B1F8FB9">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355AD16C">
            <w:pPr>
              <w:snapToGrid w:val="0"/>
              <w:spacing w:line="360" w:lineRule="auto"/>
              <w:ind w:left="-240" w:right="-240" w:firstLine="480" w:leftChars="-100" w:rightChars="-100"/>
              <w:jc w:val="center"/>
              <w:rPr>
                <w:rFonts w:ascii="宋体" w:hAnsi="宋体" w:cs="宋体"/>
              </w:rPr>
            </w:pPr>
          </w:p>
        </w:tc>
        <w:tc>
          <w:tcPr>
            <w:tcW w:w="935" w:type="dxa"/>
            <w:tcBorders>
              <w:top w:val="single" w:sz="4" w:space="0" w:color="auto"/>
              <w:left w:val="single" w:sz="4" w:space="0" w:color="auto"/>
              <w:bottom w:val="single" w:sz="4" w:space="0" w:color="auto"/>
              <w:right w:val="single" w:sz="4" w:space="0" w:color="auto"/>
            </w:tcBorders>
            <w:vAlign w:val="center"/>
          </w:tcPr>
          <w:p w14:paraId="102BF6E5">
            <w:pPr>
              <w:snapToGrid w:val="0"/>
              <w:spacing w:line="360" w:lineRule="auto"/>
              <w:ind w:left="-240" w:right="-240" w:firstLine="480" w:leftChars="-100" w:rightChars="-100"/>
              <w:jc w:val="center"/>
              <w:rPr>
                <w:rFonts w:ascii="宋体" w:hAnsi="宋体" w:cs="宋体"/>
              </w:rPr>
            </w:pPr>
          </w:p>
        </w:tc>
        <w:tc>
          <w:tcPr>
            <w:tcW w:w="474" w:type="dxa"/>
            <w:tcBorders>
              <w:top w:val="single" w:sz="4" w:space="0" w:color="auto"/>
              <w:left w:val="single" w:sz="4" w:space="0" w:color="auto"/>
              <w:bottom w:val="single" w:sz="4" w:space="0" w:color="auto"/>
              <w:right w:val="single" w:sz="12" w:space="0" w:color="auto"/>
            </w:tcBorders>
            <w:vAlign w:val="center"/>
          </w:tcPr>
          <w:p w14:paraId="6806C16E">
            <w:pPr>
              <w:snapToGrid w:val="0"/>
              <w:spacing w:line="360" w:lineRule="auto"/>
              <w:ind w:left="-240" w:right="-240" w:firstLine="480" w:leftChars="-100" w:rightChars="-100"/>
              <w:jc w:val="center"/>
              <w:rPr>
                <w:rFonts w:ascii="宋体" w:hAnsi="宋体" w:cs="宋体"/>
              </w:rPr>
            </w:pPr>
          </w:p>
        </w:tc>
      </w:tr>
      <w:tr w14:paraId="4CAD4A5F">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10C58501">
            <w:pPr>
              <w:pStyle w:val="BodyText"/>
              <w:keepNext/>
              <w:snapToGrid w:val="0"/>
              <w:spacing w:after="0" w:line="360" w:lineRule="auto"/>
              <w:ind w:left="-240" w:right="-240" w:firstLine="480" w:leftChars="-100" w:rightChars="-100"/>
              <w:rPr>
                <w:rFonts w:ascii="宋体" w:hAnsi="宋体" w:cs="宋体"/>
                <w:sz w:val="24"/>
                <w:szCs w:val="24"/>
              </w:rPr>
            </w:pPr>
          </w:p>
        </w:tc>
        <w:tc>
          <w:tcPr>
            <w:tcW w:w="1283" w:type="dxa"/>
            <w:tcBorders>
              <w:top w:val="single" w:sz="4" w:space="0" w:color="auto"/>
              <w:left w:val="single" w:sz="4" w:space="0" w:color="auto"/>
              <w:bottom w:val="single" w:sz="4" w:space="0" w:color="auto"/>
              <w:right w:val="single" w:sz="4" w:space="0" w:color="auto"/>
            </w:tcBorders>
            <w:vAlign w:val="center"/>
          </w:tcPr>
          <w:p w14:paraId="496519F2">
            <w:pPr>
              <w:pStyle w:val="BodyText"/>
              <w:keepNext/>
              <w:snapToGrid w:val="0"/>
              <w:spacing w:after="0" w:line="360" w:lineRule="auto"/>
              <w:ind w:left="-240" w:right="-240" w:firstLine="480" w:leftChars="-100" w:rightChars="-100"/>
              <w:rPr>
                <w:rFonts w:ascii="宋体" w:hAnsi="宋体" w:cs="宋体"/>
                <w:sz w:val="24"/>
                <w:szCs w:val="24"/>
              </w:rPr>
            </w:pPr>
          </w:p>
        </w:tc>
        <w:tc>
          <w:tcPr>
            <w:tcW w:w="1425" w:type="dxa"/>
            <w:tcBorders>
              <w:top w:val="single" w:sz="4" w:space="0" w:color="auto"/>
              <w:left w:val="single" w:sz="4" w:space="0" w:color="auto"/>
              <w:bottom w:val="single" w:sz="4" w:space="0" w:color="auto"/>
              <w:right w:val="single" w:sz="4" w:space="0" w:color="auto"/>
            </w:tcBorders>
            <w:vAlign w:val="center"/>
          </w:tcPr>
          <w:p w14:paraId="36884C18">
            <w:pPr>
              <w:pStyle w:val="BodyText"/>
              <w:keepNext/>
              <w:snapToGrid w:val="0"/>
              <w:spacing w:after="0" w:line="360" w:lineRule="auto"/>
              <w:ind w:left="-240" w:right="-240" w:firstLine="480" w:leftChars="-100" w:rightChars="-100"/>
              <w:rPr>
                <w:rFonts w:ascii="宋体" w:hAnsi="宋体" w:cs="宋体"/>
                <w:sz w:val="24"/>
                <w:szCs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7261DCAC">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2CE06CDB">
            <w:pPr>
              <w:pStyle w:val="BodyText"/>
              <w:keepNext/>
              <w:snapToGrid w:val="0"/>
              <w:spacing w:after="0" w:line="360" w:lineRule="auto"/>
              <w:ind w:left="-240" w:right="-240" w:firstLine="480" w:leftChars="-100" w:rightChars="-100"/>
              <w:rPr>
                <w:rFonts w:ascii="宋体" w:hAnsi="宋体" w:cs="宋体"/>
                <w:sz w:val="24"/>
                <w:szCs w:val="24"/>
              </w:rPr>
            </w:pPr>
          </w:p>
        </w:tc>
        <w:tc>
          <w:tcPr>
            <w:tcW w:w="1049" w:type="dxa"/>
            <w:tcBorders>
              <w:top w:val="single" w:sz="4" w:space="0" w:color="auto"/>
              <w:left w:val="single" w:sz="4" w:space="0" w:color="auto"/>
              <w:bottom w:val="single" w:sz="4" w:space="0" w:color="auto"/>
              <w:right w:val="single" w:sz="4" w:space="0" w:color="auto"/>
            </w:tcBorders>
            <w:vAlign w:val="center"/>
          </w:tcPr>
          <w:p w14:paraId="3D63843B">
            <w:pPr>
              <w:pStyle w:val="BodyText"/>
              <w:keepNext/>
              <w:snapToGrid w:val="0"/>
              <w:spacing w:after="0" w:line="360" w:lineRule="auto"/>
              <w:ind w:left="-240" w:right="-240" w:firstLine="480" w:leftChars="-100" w:rightChars="-100"/>
              <w:rPr>
                <w:rFonts w:ascii="宋体" w:hAnsi="宋体" w:cs="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2B4DA1B1">
            <w:pPr>
              <w:pStyle w:val="BodyText"/>
              <w:keepNext/>
              <w:snapToGrid w:val="0"/>
              <w:spacing w:after="0" w:line="360" w:lineRule="auto"/>
              <w:ind w:left="-240" w:right="-240" w:firstLine="480" w:leftChars="-100" w:rightChars="-100"/>
              <w:rPr>
                <w:rFonts w:ascii="宋体" w:hAnsi="宋体" w:cs="宋体"/>
                <w:sz w:val="24"/>
                <w:szCs w:val="24"/>
              </w:rPr>
            </w:pPr>
          </w:p>
        </w:tc>
        <w:tc>
          <w:tcPr>
            <w:tcW w:w="935" w:type="dxa"/>
            <w:tcBorders>
              <w:top w:val="single" w:sz="4" w:space="0" w:color="auto"/>
              <w:left w:val="single" w:sz="4" w:space="0" w:color="auto"/>
              <w:bottom w:val="single" w:sz="4" w:space="0" w:color="auto"/>
              <w:right w:val="single" w:sz="4" w:space="0" w:color="auto"/>
            </w:tcBorders>
            <w:vAlign w:val="center"/>
          </w:tcPr>
          <w:p w14:paraId="3938646D">
            <w:pPr>
              <w:pStyle w:val="BodyText"/>
              <w:keepNext/>
              <w:snapToGrid w:val="0"/>
              <w:spacing w:after="0" w:line="360" w:lineRule="auto"/>
              <w:ind w:left="-240" w:right="-240" w:firstLine="480" w:leftChars="-100" w:rightChars="-100"/>
              <w:rPr>
                <w:rFonts w:ascii="宋体" w:hAnsi="宋体" w:cs="宋体"/>
                <w:sz w:val="24"/>
                <w:szCs w:val="24"/>
              </w:rPr>
            </w:pPr>
          </w:p>
        </w:tc>
        <w:tc>
          <w:tcPr>
            <w:tcW w:w="474" w:type="dxa"/>
            <w:tcBorders>
              <w:top w:val="single" w:sz="4" w:space="0" w:color="auto"/>
              <w:left w:val="single" w:sz="4" w:space="0" w:color="auto"/>
              <w:bottom w:val="single" w:sz="4" w:space="0" w:color="auto"/>
              <w:right w:val="single" w:sz="12" w:space="0" w:color="auto"/>
            </w:tcBorders>
            <w:vAlign w:val="center"/>
          </w:tcPr>
          <w:p w14:paraId="17E4BE92">
            <w:pPr>
              <w:pStyle w:val="BodyText"/>
              <w:keepNext/>
              <w:snapToGrid w:val="0"/>
              <w:spacing w:after="0" w:line="360" w:lineRule="auto"/>
              <w:ind w:left="-240" w:right="-240" w:firstLine="480" w:leftChars="-100" w:rightChars="-100"/>
              <w:rPr>
                <w:rFonts w:ascii="宋体" w:hAnsi="宋体" w:cs="宋体"/>
                <w:sz w:val="24"/>
                <w:szCs w:val="24"/>
              </w:rPr>
            </w:pPr>
          </w:p>
        </w:tc>
      </w:tr>
      <w:tr w14:paraId="31DE7C60">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0DAE0A91">
            <w:pPr>
              <w:snapToGrid w:val="0"/>
              <w:spacing w:line="360" w:lineRule="auto"/>
              <w:ind w:left="-240" w:right="-240" w:firstLine="480" w:leftChars="-100" w:rightChars="-100"/>
              <w:jc w:val="center"/>
              <w:rPr>
                <w:rFonts w:ascii="宋体" w:hAnsi="宋体" w:cs="宋体"/>
              </w:rPr>
            </w:pPr>
          </w:p>
        </w:tc>
        <w:tc>
          <w:tcPr>
            <w:tcW w:w="1283" w:type="dxa"/>
            <w:tcBorders>
              <w:top w:val="single" w:sz="4" w:space="0" w:color="auto"/>
              <w:left w:val="single" w:sz="4" w:space="0" w:color="auto"/>
              <w:bottom w:val="single" w:sz="4" w:space="0" w:color="auto"/>
              <w:right w:val="single" w:sz="4" w:space="0" w:color="auto"/>
            </w:tcBorders>
            <w:vAlign w:val="center"/>
          </w:tcPr>
          <w:p w14:paraId="454A4EDA">
            <w:pPr>
              <w:snapToGrid w:val="0"/>
              <w:spacing w:line="360" w:lineRule="auto"/>
              <w:ind w:left="-240" w:right="-240" w:firstLine="480" w:leftChars="-100" w:rightChars="-100"/>
              <w:jc w:val="center"/>
              <w:rPr>
                <w:rFonts w:ascii="宋体" w:hAnsi="宋体" w:cs="宋体"/>
              </w:rPr>
            </w:pPr>
          </w:p>
        </w:tc>
        <w:tc>
          <w:tcPr>
            <w:tcW w:w="1425" w:type="dxa"/>
            <w:tcBorders>
              <w:top w:val="single" w:sz="4" w:space="0" w:color="auto"/>
              <w:left w:val="single" w:sz="4" w:space="0" w:color="auto"/>
              <w:bottom w:val="single" w:sz="4" w:space="0" w:color="auto"/>
              <w:right w:val="single" w:sz="4" w:space="0" w:color="auto"/>
            </w:tcBorders>
            <w:vAlign w:val="center"/>
          </w:tcPr>
          <w:p w14:paraId="1A12AD21">
            <w:pPr>
              <w:snapToGrid w:val="0"/>
              <w:spacing w:line="360" w:lineRule="auto"/>
              <w:ind w:left="-240" w:right="-240" w:firstLine="480" w:leftChars="-100" w:rightChars="-100"/>
              <w:jc w:val="center"/>
              <w:rPr>
                <w:rFonts w:ascii="宋体" w:hAnsi="宋体" w:cs="宋体"/>
              </w:rPr>
            </w:pPr>
          </w:p>
        </w:tc>
        <w:tc>
          <w:tcPr>
            <w:tcW w:w="945" w:type="dxa"/>
            <w:tcBorders>
              <w:top w:val="single" w:sz="4" w:space="0" w:color="auto"/>
              <w:left w:val="single" w:sz="4" w:space="0" w:color="auto"/>
              <w:bottom w:val="single" w:sz="4" w:space="0" w:color="auto"/>
              <w:right w:val="single" w:sz="4" w:space="0" w:color="auto"/>
            </w:tcBorders>
            <w:vAlign w:val="center"/>
          </w:tcPr>
          <w:p w14:paraId="72B9AFA4">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3DC2CB07">
            <w:pPr>
              <w:snapToGrid w:val="0"/>
              <w:spacing w:line="360" w:lineRule="auto"/>
              <w:ind w:left="-240" w:right="-240" w:firstLine="480" w:leftChars="-100" w:rightChars="-100"/>
              <w:jc w:val="center"/>
              <w:rPr>
                <w:rFonts w:ascii="宋体" w:hAnsi="宋体" w:cs="宋体"/>
              </w:rPr>
            </w:pPr>
          </w:p>
        </w:tc>
        <w:tc>
          <w:tcPr>
            <w:tcW w:w="1049" w:type="dxa"/>
            <w:tcBorders>
              <w:top w:val="single" w:sz="4" w:space="0" w:color="auto"/>
              <w:left w:val="single" w:sz="4" w:space="0" w:color="auto"/>
              <w:bottom w:val="single" w:sz="4" w:space="0" w:color="auto"/>
              <w:right w:val="single" w:sz="4" w:space="0" w:color="auto"/>
            </w:tcBorders>
            <w:vAlign w:val="center"/>
          </w:tcPr>
          <w:p w14:paraId="4F1B0F4D">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2CCC23FC">
            <w:pPr>
              <w:snapToGrid w:val="0"/>
              <w:spacing w:line="360" w:lineRule="auto"/>
              <w:ind w:left="-240" w:right="-240" w:firstLine="480" w:leftChars="-100" w:rightChars="-100"/>
              <w:jc w:val="center"/>
              <w:rPr>
                <w:rFonts w:ascii="宋体" w:hAnsi="宋体" w:cs="宋体"/>
              </w:rPr>
            </w:pPr>
          </w:p>
        </w:tc>
        <w:tc>
          <w:tcPr>
            <w:tcW w:w="935" w:type="dxa"/>
            <w:tcBorders>
              <w:top w:val="single" w:sz="4" w:space="0" w:color="auto"/>
              <w:left w:val="single" w:sz="4" w:space="0" w:color="auto"/>
              <w:bottom w:val="single" w:sz="4" w:space="0" w:color="auto"/>
              <w:right w:val="single" w:sz="4" w:space="0" w:color="auto"/>
            </w:tcBorders>
            <w:vAlign w:val="center"/>
          </w:tcPr>
          <w:p w14:paraId="743B9118">
            <w:pPr>
              <w:snapToGrid w:val="0"/>
              <w:spacing w:line="360" w:lineRule="auto"/>
              <w:ind w:left="-240" w:right="-240" w:firstLine="480" w:leftChars="-100" w:rightChars="-100"/>
              <w:jc w:val="center"/>
              <w:rPr>
                <w:rFonts w:ascii="宋体" w:hAnsi="宋体" w:cs="宋体"/>
              </w:rPr>
            </w:pPr>
          </w:p>
        </w:tc>
        <w:tc>
          <w:tcPr>
            <w:tcW w:w="474" w:type="dxa"/>
            <w:tcBorders>
              <w:top w:val="single" w:sz="4" w:space="0" w:color="auto"/>
              <w:left w:val="single" w:sz="4" w:space="0" w:color="auto"/>
              <w:bottom w:val="single" w:sz="4" w:space="0" w:color="auto"/>
              <w:right w:val="single" w:sz="12" w:space="0" w:color="auto"/>
            </w:tcBorders>
            <w:vAlign w:val="center"/>
          </w:tcPr>
          <w:p w14:paraId="43EDE08F">
            <w:pPr>
              <w:snapToGrid w:val="0"/>
              <w:spacing w:line="360" w:lineRule="auto"/>
              <w:ind w:left="-240" w:right="-240" w:firstLine="480" w:leftChars="-100" w:rightChars="-100"/>
              <w:jc w:val="center"/>
              <w:rPr>
                <w:rFonts w:ascii="宋体" w:hAnsi="宋体" w:cs="宋体"/>
              </w:rPr>
            </w:pPr>
          </w:p>
        </w:tc>
      </w:tr>
      <w:tr w14:paraId="13DFFE04">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623A7826">
            <w:pPr>
              <w:snapToGrid w:val="0"/>
              <w:spacing w:line="360" w:lineRule="auto"/>
              <w:ind w:left="-240" w:right="-240" w:firstLine="480" w:leftChars="-100" w:rightChars="-100"/>
              <w:jc w:val="center"/>
              <w:rPr>
                <w:rFonts w:ascii="宋体" w:hAnsi="宋体" w:cs="宋体"/>
              </w:rPr>
            </w:pPr>
          </w:p>
        </w:tc>
        <w:tc>
          <w:tcPr>
            <w:tcW w:w="1283" w:type="dxa"/>
            <w:tcBorders>
              <w:top w:val="single" w:sz="4" w:space="0" w:color="auto"/>
              <w:left w:val="single" w:sz="4" w:space="0" w:color="auto"/>
              <w:bottom w:val="single" w:sz="4" w:space="0" w:color="auto"/>
              <w:right w:val="single" w:sz="4" w:space="0" w:color="auto"/>
            </w:tcBorders>
            <w:vAlign w:val="center"/>
          </w:tcPr>
          <w:p w14:paraId="3A8F9A67">
            <w:pPr>
              <w:snapToGrid w:val="0"/>
              <w:spacing w:line="360" w:lineRule="auto"/>
              <w:ind w:left="-240" w:right="-240" w:firstLine="480" w:leftChars="-100" w:rightChars="-100"/>
              <w:jc w:val="center"/>
              <w:rPr>
                <w:rFonts w:ascii="宋体" w:hAnsi="宋体" w:cs="宋体"/>
              </w:rPr>
            </w:pPr>
          </w:p>
        </w:tc>
        <w:tc>
          <w:tcPr>
            <w:tcW w:w="1425" w:type="dxa"/>
            <w:tcBorders>
              <w:top w:val="single" w:sz="4" w:space="0" w:color="auto"/>
              <w:left w:val="single" w:sz="4" w:space="0" w:color="auto"/>
              <w:bottom w:val="single" w:sz="4" w:space="0" w:color="auto"/>
              <w:right w:val="single" w:sz="4" w:space="0" w:color="auto"/>
            </w:tcBorders>
            <w:vAlign w:val="center"/>
          </w:tcPr>
          <w:p w14:paraId="747F56FD">
            <w:pPr>
              <w:snapToGrid w:val="0"/>
              <w:spacing w:line="360" w:lineRule="auto"/>
              <w:ind w:left="-240" w:right="-240" w:firstLine="480" w:leftChars="-100" w:rightChars="-100"/>
              <w:jc w:val="center"/>
              <w:rPr>
                <w:rFonts w:ascii="宋体" w:hAnsi="宋体" w:cs="宋体"/>
              </w:rPr>
            </w:pPr>
          </w:p>
        </w:tc>
        <w:tc>
          <w:tcPr>
            <w:tcW w:w="945" w:type="dxa"/>
            <w:tcBorders>
              <w:top w:val="single" w:sz="4" w:space="0" w:color="auto"/>
              <w:left w:val="single" w:sz="4" w:space="0" w:color="auto"/>
              <w:bottom w:val="single" w:sz="4" w:space="0" w:color="auto"/>
              <w:right w:val="single" w:sz="4" w:space="0" w:color="auto"/>
            </w:tcBorders>
            <w:vAlign w:val="center"/>
          </w:tcPr>
          <w:p w14:paraId="04E46646">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4129726E">
            <w:pPr>
              <w:snapToGrid w:val="0"/>
              <w:spacing w:line="360" w:lineRule="auto"/>
              <w:ind w:left="-240" w:right="-240" w:firstLine="480" w:leftChars="-100" w:rightChars="-100"/>
              <w:jc w:val="center"/>
              <w:rPr>
                <w:rFonts w:ascii="宋体" w:hAnsi="宋体" w:cs="宋体"/>
              </w:rPr>
            </w:pPr>
          </w:p>
        </w:tc>
        <w:tc>
          <w:tcPr>
            <w:tcW w:w="1049" w:type="dxa"/>
            <w:tcBorders>
              <w:top w:val="single" w:sz="4" w:space="0" w:color="auto"/>
              <w:left w:val="single" w:sz="4" w:space="0" w:color="auto"/>
              <w:bottom w:val="single" w:sz="4" w:space="0" w:color="auto"/>
              <w:right w:val="single" w:sz="4" w:space="0" w:color="auto"/>
            </w:tcBorders>
            <w:vAlign w:val="center"/>
          </w:tcPr>
          <w:p w14:paraId="5C6F6764">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22805BE1">
            <w:pPr>
              <w:snapToGrid w:val="0"/>
              <w:spacing w:line="360" w:lineRule="auto"/>
              <w:ind w:left="-240" w:right="-240" w:firstLine="480" w:leftChars="-100" w:rightChars="-100"/>
              <w:jc w:val="center"/>
              <w:rPr>
                <w:rFonts w:ascii="宋体" w:hAnsi="宋体" w:cs="宋体"/>
              </w:rPr>
            </w:pPr>
          </w:p>
        </w:tc>
        <w:tc>
          <w:tcPr>
            <w:tcW w:w="935" w:type="dxa"/>
            <w:tcBorders>
              <w:top w:val="single" w:sz="4" w:space="0" w:color="auto"/>
              <w:left w:val="single" w:sz="4" w:space="0" w:color="auto"/>
              <w:bottom w:val="single" w:sz="4" w:space="0" w:color="auto"/>
              <w:right w:val="single" w:sz="4" w:space="0" w:color="auto"/>
            </w:tcBorders>
            <w:vAlign w:val="center"/>
          </w:tcPr>
          <w:p w14:paraId="175B1084">
            <w:pPr>
              <w:snapToGrid w:val="0"/>
              <w:spacing w:line="360" w:lineRule="auto"/>
              <w:ind w:left="-240" w:right="-240" w:firstLine="480" w:leftChars="-100" w:rightChars="-100"/>
              <w:jc w:val="center"/>
              <w:rPr>
                <w:rFonts w:ascii="宋体" w:hAnsi="宋体" w:cs="宋体"/>
              </w:rPr>
            </w:pPr>
          </w:p>
        </w:tc>
        <w:tc>
          <w:tcPr>
            <w:tcW w:w="474" w:type="dxa"/>
            <w:tcBorders>
              <w:top w:val="single" w:sz="4" w:space="0" w:color="auto"/>
              <w:left w:val="single" w:sz="4" w:space="0" w:color="auto"/>
              <w:bottom w:val="single" w:sz="4" w:space="0" w:color="auto"/>
              <w:right w:val="single" w:sz="12" w:space="0" w:color="auto"/>
            </w:tcBorders>
            <w:vAlign w:val="center"/>
          </w:tcPr>
          <w:p w14:paraId="51112361">
            <w:pPr>
              <w:snapToGrid w:val="0"/>
              <w:spacing w:line="360" w:lineRule="auto"/>
              <w:ind w:left="-240" w:right="-240" w:firstLine="480" w:leftChars="-100" w:rightChars="-100"/>
              <w:jc w:val="center"/>
              <w:rPr>
                <w:rFonts w:ascii="宋体" w:hAnsi="宋体" w:cs="宋体"/>
              </w:rPr>
            </w:pPr>
          </w:p>
        </w:tc>
      </w:tr>
      <w:tr w14:paraId="26D16972">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51B65642">
            <w:pPr>
              <w:snapToGrid w:val="0"/>
              <w:spacing w:line="360" w:lineRule="auto"/>
              <w:ind w:left="-240" w:right="-240" w:firstLine="480" w:leftChars="-100" w:rightChars="-100"/>
              <w:jc w:val="center"/>
              <w:rPr>
                <w:rFonts w:ascii="宋体" w:hAnsi="宋体" w:cs="宋体"/>
              </w:rPr>
            </w:pPr>
          </w:p>
        </w:tc>
        <w:tc>
          <w:tcPr>
            <w:tcW w:w="1283" w:type="dxa"/>
            <w:tcBorders>
              <w:top w:val="single" w:sz="4" w:space="0" w:color="auto"/>
              <w:left w:val="single" w:sz="4" w:space="0" w:color="auto"/>
              <w:bottom w:val="single" w:sz="4" w:space="0" w:color="auto"/>
              <w:right w:val="single" w:sz="4" w:space="0" w:color="auto"/>
            </w:tcBorders>
            <w:vAlign w:val="center"/>
          </w:tcPr>
          <w:p w14:paraId="38709134">
            <w:pPr>
              <w:snapToGrid w:val="0"/>
              <w:spacing w:line="360" w:lineRule="auto"/>
              <w:ind w:left="-240" w:right="-240" w:firstLine="480" w:leftChars="-100" w:rightChars="-100"/>
              <w:jc w:val="center"/>
              <w:rPr>
                <w:rFonts w:ascii="宋体" w:hAnsi="宋体" w:cs="宋体"/>
              </w:rPr>
            </w:pPr>
          </w:p>
        </w:tc>
        <w:tc>
          <w:tcPr>
            <w:tcW w:w="1425" w:type="dxa"/>
            <w:tcBorders>
              <w:top w:val="single" w:sz="4" w:space="0" w:color="auto"/>
              <w:left w:val="single" w:sz="4" w:space="0" w:color="auto"/>
              <w:bottom w:val="single" w:sz="4" w:space="0" w:color="auto"/>
              <w:right w:val="single" w:sz="4" w:space="0" w:color="auto"/>
            </w:tcBorders>
            <w:vAlign w:val="center"/>
          </w:tcPr>
          <w:p w14:paraId="17ADE1B8">
            <w:pPr>
              <w:snapToGrid w:val="0"/>
              <w:spacing w:line="360" w:lineRule="auto"/>
              <w:ind w:left="-240" w:right="-240" w:firstLine="480" w:leftChars="-100" w:rightChars="-100"/>
              <w:jc w:val="center"/>
              <w:rPr>
                <w:rFonts w:ascii="宋体" w:hAnsi="宋体" w:cs="宋体"/>
              </w:rPr>
            </w:pPr>
          </w:p>
        </w:tc>
        <w:tc>
          <w:tcPr>
            <w:tcW w:w="945" w:type="dxa"/>
            <w:tcBorders>
              <w:top w:val="single" w:sz="4" w:space="0" w:color="auto"/>
              <w:left w:val="single" w:sz="4" w:space="0" w:color="auto"/>
              <w:bottom w:val="single" w:sz="4" w:space="0" w:color="auto"/>
              <w:right w:val="single" w:sz="4" w:space="0" w:color="auto"/>
            </w:tcBorders>
            <w:vAlign w:val="center"/>
          </w:tcPr>
          <w:p w14:paraId="398B63E9">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7F231BA7">
            <w:pPr>
              <w:snapToGrid w:val="0"/>
              <w:spacing w:line="360" w:lineRule="auto"/>
              <w:ind w:left="-240" w:right="-240" w:firstLine="480" w:leftChars="-100" w:rightChars="-100"/>
              <w:jc w:val="center"/>
              <w:rPr>
                <w:rFonts w:ascii="宋体" w:hAnsi="宋体" w:cs="宋体"/>
              </w:rPr>
            </w:pPr>
          </w:p>
        </w:tc>
        <w:tc>
          <w:tcPr>
            <w:tcW w:w="1049" w:type="dxa"/>
            <w:tcBorders>
              <w:top w:val="single" w:sz="4" w:space="0" w:color="auto"/>
              <w:left w:val="single" w:sz="4" w:space="0" w:color="auto"/>
              <w:bottom w:val="single" w:sz="4" w:space="0" w:color="auto"/>
              <w:right w:val="single" w:sz="4" w:space="0" w:color="auto"/>
            </w:tcBorders>
            <w:vAlign w:val="center"/>
          </w:tcPr>
          <w:p w14:paraId="2D710373">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021353EC">
            <w:pPr>
              <w:snapToGrid w:val="0"/>
              <w:spacing w:line="360" w:lineRule="auto"/>
              <w:ind w:left="-240" w:right="-240" w:firstLine="480" w:leftChars="-100" w:rightChars="-100"/>
              <w:jc w:val="center"/>
              <w:rPr>
                <w:rFonts w:ascii="宋体" w:hAnsi="宋体" w:cs="宋体"/>
              </w:rPr>
            </w:pPr>
          </w:p>
        </w:tc>
        <w:tc>
          <w:tcPr>
            <w:tcW w:w="935" w:type="dxa"/>
            <w:tcBorders>
              <w:top w:val="single" w:sz="4" w:space="0" w:color="auto"/>
              <w:left w:val="single" w:sz="4" w:space="0" w:color="auto"/>
              <w:bottom w:val="single" w:sz="4" w:space="0" w:color="auto"/>
              <w:right w:val="single" w:sz="4" w:space="0" w:color="auto"/>
            </w:tcBorders>
            <w:vAlign w:val="center"/>
          </w:tcPr>
          <w:p w14:paraId="259CEE6E">
            <w:pPr>
              <w:snapToGrid w:val="0"/>
              <w:spacing w:line="360" w:lineRule="auto"/>
              <w:ind w:left="-240" w:right="-240" w:firstLine="480" w:leftChars="-100" w:rightChars="-100"/>
              <w:jc w:val="center"/>
              <w:rPr>
                <w:rFonts w:ascii="宋体" w:hAnsi="宋体" w:cs="宋体"/>
              </w:rPr>
            </w:pPr>
          </w:p>
        </w:tc>
        <w:tc>
          <w:tcPr>
            <w:tcW w:w="474" w:type="dxa"/>
            <w:tcBorders>
              <w:top w:val="single" w:sz="4" w:space="0" w:color="auto"/>
              <w:left w:val="single" w:sz="4" w:space="0" w:color="auto"/>
              <w:bottom w:val="single" w:sz="4" w:space="0" w:color="auto"/>
              <w:right w:val="single" w:sz="12" w:space="0" w:color="auto"/>
            </w:tcBorders>
            <w:vAlign w:val="center"/>
          </w:tcPr>
          <w:p w14:paraId="1E050F8B">
            <w:pPr>
              <w:snapToGrid w:val="0"/>
              <w:spacing w:line="360" w:lineRule="auto"/>
              <w:ind w:left="-240" w:right="-240" w:firstLine="480" w:leftChars="-100" w:rightChars="-100"/>
              <w:jc w:val="center"/>
              <w:rPr>
                <w:rFonts w:ascii="宋体" w:hAnsi="宋体" w:cs="宋体"/>
              </w:rPr>
            </w:pPr>
          </w:p>
        </w:tc>
      </w:tr>
      <w:tr w14:paraId="012A5338">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1525FDA3">
            <w:pPr>
              <w:snapToGrid w:val="0"/>
              <w:spacing w:line="360" w:lineRule="auto"/>
              <w:ind w:left="-240" w:right="-240" w:firstLine="480" w:leftChars="-100" w:rightChars="-100"/>
              <w:jc w:val="center"/>
              <w:rPr>
                <w:rFonts w:ascii="宋体" w:hAnsi="宋体" w:cs="宋体"/>
              </w:rPr>
            </w:pPr>
          </w:p>
        </w:tc>
        <w:tc>
          <w:tcPr>
            <w:tcW w:w="1283" w:type="dxa"/>
            <w:tcBorders>
              <w:top w:val="single" w:sz="4" w:space="0" w:color="auto"/>
              <w:left w:val="single" w:sz="4" w:space="0" w:color="auto"/>
              <w:bottom w:val="single" w:sz="4" w:space="0" w:color="auto"/>
              <w:right w:val="single" w:sz="4" w:space="0" w:color="auto"/>
            </w:tcBorders>
            <w:vAlign w:val="center"/>
          </w:tcPr>
          <w:p w14:paraId="1459C9B0">
            <w:pPr>
              <w:snapToGrid w:val="0"/>
              <w:spacing w:line="360" w:lineRule="auto"/>
              <w:ind w:left="-240" w:right="-240" w:firstLine="480" w:leftChars="-100" w:rightChars="-100"/>
              <w:jc w:val="center"/>
              <w:rPr>
                <w:rFonts w:ascii="宋体" w:hAnsi="宋体" w:cs="宋体"/>
              </w:rPr>
            </w:pPr>
          </w:p>
        </w:tc>
        <w:tc>
          <w:tcPr>
            <w:tcW w:w="1425" w:type="dxa"/>
            <w:tcBorders>
              <w:top w:val="single" w:sz="4" w:space="0" w:color="auto"/>
              <w:left w:val="single" w:sz="4" w:space="0" w:color="auto"/>
              <w:bottom w:val="single" w:sz="4" w:space="0" w:color="auto"/>
              <w:right w:val="single" w:sz="4" w:space="0" w:color="auto"/>
            </w:tcBorders>
            <w:vAlign w:val="center"/>
          </w:tcPr>
          <w:p w14:paraId="05BF7919">
            <w:pPr>
              <w:snapToGrid w:val="0"/>
              <w:spacing w:line="360" w:lineRule="auto"/>
              <w:ind w:left="-240" w:right="-240" w:firstLine="480" w:leftChars="-100" w:rightChars="-100"/>
              <w:jc w:val="center"/>
              <w:rPr>
                <w:rFonts w:ascii="宋体" w:hAnsi="宋体" w:cs="宋体"/>
              </w:rPr>
            </w:pPr>
          </w:p>
        </w:tc>
        <w:tc>
          <w:tcPr>
            <w:tcW w:w="945" w:type="dxa"/>
            <w:tcBorders>
              <w:top w:val="single" w:sz="4" w:space="0" w:color="auto"/>
              <w:left w:val="single" w:sz="4" w:space="0" w:color="auto"/>
              <w:bottom w:val="single" w:sz="4" w:space="0" w:color="auto"/>
              <w:right w:val="single" w:sz="4" w:space="0" w:color="auto"/>
            </w:tcBorders>
            <w:vAlign w:val="center"/>
          </w:tcPr>
          <w:p w14:paraId="2750C208">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2A28D073">
            <w:pPr>
              <w:snapToGrid w:val="0"/>
              <w:spacing w:line="360" w:lineRule="auto"/>
              <w:ind w:left="-240" w:right="-240" w:firstLine="480" w:leftChars="-100" w:rightChars="-100"/>
              <w:jc w:val="center"/>
              <w:rPr>
                <w:rFonts w:ascii="宋体" w:hAnsi="宋体" w:cs="宋体"/>
              </w:rPr>
            </w:pPr>
          </w:p>
        </w:tc>
        <w:tc>
          <w:tcPr>
            <w:tcW w:w="1049" w:type="dxa"/>
            <w:tcBorders>
              <w:top w:val="single" w:sz="4" w:space="0" w:color="auto"/>
              <w:left w:val="single" w:sz="4" w:space="0" w:color="auto"/>
              <w:bottom w:val="single" w:sz="4" w:space="0" w:color="auto"/>
              <w:right w:val="single" w:sz="4" w:space="0" w:color="auto"/>
            </w:tcBorders>
            <w:vAlign w:val="center"/>
          </w:tcPr>
          <w:p w14:paraId="289F7C0F">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540F8FAC">
            <w:pPr>
              <w:snapToGrid w:val="0"/>
              <w:spacing w:line="360" w:lineRule="auto"/>
              <w:ind w:left="-240" w:right="-240" w:firstLine="480" w:leftChars="-100" w:rightChars="-100"/>
              <w:jc w:val="center"/>
              <w:rPr>
                <w:rFonts w:ascii="宋体" w:hAnsi="宋体" w:cs="宋体"/>
              </w:rPr>
            </w:pPr>
          </w:p>
        </w:tc>
        <w:tc>
          <w:tcPr>
            <w:tcW w:w="935" w:type="dxa"/>
            <w:tcBorders>
              <w:top w:val="single" w:sz="4" w:space="0" w:color="auto"/>
              <w:left w:val="single" w:sz="4" w:space="0" w:color="auto"/>
              <w:bottom w:val="single" w:sz="4" w:space="0" w:color="auto"/>
              <w:right w:val="single" w:sz="4" w:space="0" w:color="auto"/>
            </w:tcBorders>
            <w:vAlign w:val="center"/>
          </w:tcPr>
          <w:p w14:paraId="7E10418A">
            <w:pPr>
              <w:snapToGrid w:val="0"/>
              <w:spacing w:line="360" w:lineRule="auto"/>
              <w:ind w:left="-240" w:right="-240" w:firstLine="480" w:leftChars="-100" w:rightChars="-100"/>
              <w:jc w:val="center"/>
              <w:rPr>
                <w:rFonts w:ascii="宋体" w:hAnsi="宋体" w:cs="宋体"/>
              </w:rPr>
            </w:pPr>
          </w:p>
        </w:tc>
        <w:tc>
          <w:tcPr>
            <w:tcW w:w="474" w:type="dxa"/>
            <w:tcBorders>
              <w:top w:val="single" w:sz="4" w:space="0" w:color="auto"/>
              <w:left w:val="single" w:sz="4" w:space="0" w:color="auto"/>
              <w:bottom w:val="single" w:sz="4" w:space="0" w:color="auto"/>
              <w:right w:val="single" w:sz="12" w:space="0" w:color="auto"/>
            </w:tcBorders>
            <w:vAlign w:val="center"/>
          </w:tcPr>
          <w:p w14:paraId="0C5B5AB4">
            <w:pPr>
              <w:snapToGrid w:val="0"/>
              <w:spacing w:line="360" w:lineRule="auto"/>
              <w:ind w:left="-240" w:right="-240" w:firstLine="480" w:leftChars="-100" w:rightChars="-100"/>
              <w:jc w:val="center"/>
              <w:rPr>
                <w:rFonts w:ascii="宋体" w:hAnsi="宋体" w:cs="宋体"/>
              </w:rPr>
            </w:pPr>
          </w:p>
        </w:tc>
      </w:tr>
      <w:tr w14:paraId="43A7FFC9">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26B9EBBB">
            <w:pPr>
              <w:snapToGrid w:val="0"/>
              <w:spacing w:line="360" w:lineRule="auto"/>
              <w:ind w:left="-240" w:right="-240" w:firstLine="480" w:leftChars="-100" w:rightChars="-100"/>
              <w:jc w:val="center"/>
              <w:rPr>
                <w:rFonts w:ascii="宋体" w:hAnsi="宋体" w:cs="宋体"/>
              </w:rPr>
            </w:pPr>
          </w:p>
        </w:tc>
        <w:tc>
          <w:tcPr>
            <w:tcW w:w="1283" w:type="dxa"/>
            <w:tcBorders>
              <w:top w:val="single" w:sz="4" w:space="0" w:color="auto"/>
              <w:left w:val="single" w:sz="4" w:space="0" w:color="auto"/>
              <w:bottom w:val="single" w:sz="4" w:space="0" w:color="auto"/>
              <w:right w:val="single" w:sz="4" w:space="0" w:color="auto"/>
            </w:tcBorders>
            <w:vAlign w:val="center"/>
          </w:tcPr>
          <w:p w14:paraId="1C9CDB17">
            <w:pPr>
              <w:snapToGrid w:val="0"/>
              <w:spacing w:line="360" w:lineRule="auto"/>
              <w:ind w:left="-240" w:right="-240" w:firstLine="480" w:leftChars="-100" w:rightChars="-100"/>
              <w:jc w:val="center"/>
              <w:rPr>
                <w:rFonts w:ascii="宋体" w:hAnsi="宋体" w:cs="宋体"/>
              </w:rPr>
            </w:pPr>
          </w:p>
        </w:tc>
        <w:tc>
          <w:tcPr>
            <w:tcW w:w="1425" w:type="dxa"/>
            <w:tcBorders>
              <w:top w:val="single" w:sz="4" w:space="0" w:color="auto"/>
              <w:left w:val="single" w:sz="4" w:space="0" w:color="auto"/>
              <w:bottom w:val="single" w:sz="4" w:space="0" w:color="auto"/>
              <w:right w:val="single" w:sz="4" w:space="0" w:color="auto"/>
            </w:tcBorders>
            <w:vAlign w:val="center"/>
          </w:tcPr>
          <w:p w14:paraId="2D9227F0">
            <w:pPr>
              <w:snapToGrid w:val="0"/>
              <w:spacing w:line="360" w:lineRule="auto"/>
              <w:ind w:left="-240" w:right="-240" w:firstLine="480" w:leftChars="-100" w:rightChars="-100"/>
              <w:jc w:val="center"/>
              <w:rPr>
                <w:rFonts w:ascii="宋体" w:hAnsi="宋体" w:cs="宋体"/>
              </w:rPr>
            </w:pPr>
          </w:p>
        </w:tc>
        <w:tc>
          <w:tcPr>
            <w:tcW w:w="945" w:type="dxa"/>
            <w:tcBorders>
              <w:top w:val="single" w:sz="4" w:space="0" w:color="auto"/>
              <w:left w:val="single" w:sz="4" w:space="0" w:color="auto"/>
              <w:bottom w:val="single" w:sz="4" w:space="0" w:color="auto"/>
              <w:right w:val="single" w:sz="4" w:space="0" w:color="auto"/>
            </w:tcBorders>
            <w:vAlign w:val="center"/>
          </w:tcPr>
          <w:p w14:paraId="372E727B">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1C3A8E8C">
            <w:pPr>
              <w:snapToGrid w:val="0"/>
              <w:spacing w:line="360" w:lineRule="auto"/>
              <w:ind w:left="-240" w:right="-240" w:firstLine="480" w:leftChars="-100" w:rightChars="-100"/>
              <w:jc w:val="center"/>
              <w:rPr>
                <w:rFonts w:ascii="宋体" w:hAnsi="宋体" w:cs="宋体"/>
              </w:rPr>
            </w:pPr>
          </w:p>
        </w:tc>
        <w:tc>
          <w:tcPr>
            <w:tcW w:w="1049" w:type="dxa"/>
            <w:tcBorders>
              <w:top w:val="single" w:sz="4" w:space="0" w:color="auto"/>
              <w:left w:val="single" w:sz="4" w:space="0" w:color="auto"/>
              <w:bottom w:val="single" w:sz="4" w:space="0" w:color="auto"/>
              <w:right w:val="single" w:sz="4" w:space="0" w:color="auto"/>
            </w:tcBorders>
            <w:vAlign w:val="center"/>
          </w:tcPr>
          <w:p w14:paraId="2FC6CE70">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73F0B863">
            <w:pPr>
              <w:snapToGrid w:val="0"/>
              <w:spacing w:line="360" w:lineRule="auto"/>
              <w:ind w:left="-240" w:right="-240" w:firstLine="480" w:leftChars="-100" w:rightChars="-100"/>
              <w:jc w:val="center"/>
              <w:rPr>
                <w:rFonts w:ascii="宋体" w:hAnsi="宋体" w:cs="宋体"/>
              </w:rPr>
            </w:pPr>
          </w:p>
        </w:tc>
        <w:tc>
          <w:tcPr>
            <w:tcW w:w="935" w:type="dxa"/>
            <w:tcBorders>
              <w:top w:val="single" w:sz="4" w:space="0" w:color="auto"/>
              <w:left w:val="single" w:sz="4" w:space="0" w:color="auto"/>
              <w:bottom w:val="single" w:sz="4" w:space="0" w:color="auto"/>
              <w:right w:val="single" w:sz="4" w:space="0" w:color="auto"/>
            </w:tcBorders>
            <w:vAlign w:val="center"/>
          </w:tcPr>
          <w:p w14:paraId="0385E847">
            <w:pPr>
              <w:snapToGrid w:val="0"/>
              <w:spacing w:line="360" w:lineRule="auto"/>
              <w:ind w:left="-240" w:right="-240" w:firstLine="480" w:leftChars="-100" w:rightChars="-100"/>
              <w:jc w:val="center"/>
              <w:rPr>
                <w:rFonts w:ascii="宋体" w:hAnsi="宋体" w:cs="宋体"/>
              </w:rPr>
            </w:pPr>
          </w:p>
        </w:tc>
        <w:tc>
          <w:tcPr>
            <w:tcW w:w="474" w:type="dxa"/>
            <w:tcBorders>
              <w:top w:val="single" w:sz="4" w:space="0" w:color="auto"/>
              <w:left w:val="single" w:sz="4" w:space="0" w:color="auto"/>
              <w:bottom w:val="single" w:sz="4" w:space="0" w:color="auto"/>
              <w:right w:val="single" w:sz="12" w:space="0" w:color="auto"/>
            </w:tcBorders>
            <w:vAlign w:val="center"/>
          </w:tcPr>
          <w:p w14:paraId="614644C5">
            <w:pPr>
              <w:snapToGrid w:val="0"/>
              <w:spacing w:line="360" w:lineRule="auto"/>
              <w:ind w:left="-240" w:right="-240" w:firstLine="480" w:leftChars="-100" w:rightChars="-100"/>
              <w:jc w:val="center"/>
              <w:rPr>
                <w:rFonts w:ascii="宋体" w:hAnsi="宋体" w:cs="宋体"/>
              </w:rPr>
            </w:pPr>
          </w:p>
        </w:tc>
      </w:tr>
      <w:tr w14:paraId="02659BDC">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41245968">
            <w:pPr>
              <w:snapToGrid w:val="0"/>
              <w:spacing w:line="360" w:lineRule="auto"/>
              <w:ind w:left="-240" w:right="-240" w:firstLine="480" w:leftChars="-100" w:rightChars="-100"/>
              <w:jc w:val="center"/>
              <w:rPr>
                <w:rFonts w:ascii="宋体" w:hAnsi="宋体" w:cs="宋体"/>
              </w:rPr>
            </w:pPr>
          </w:p>
        </w:tc>
        <w:tc>
          <w:tcPr>
            <w:tcW w:w="1283" w:type="dxa"/>
            <w:tcBorders>
              <w:top w:val="single" w:sz="4" w:space="0" w:color="auto"/>
              <w:left w:val="single" w:sz="4" w:space="0" w:color="auto"/>
              <w:bottom w:val="single" w:sz="4" w:space="0" w:color="auto"/>
              <w:right w:val="single" w:sz="4" w:space="0" w:color="auto"/>
            </w:tcBorders>
            <w:vAlign w:val="center"/>
          </w:tcPr>
          <w:p w14:paraId="5B6F15DE">
            <w:pPr>
              <w:snapToGrid w:val="0"/>
              <w:spacing w:line="360" w:lineRule="auto"/>
              <w:ind w:left="-240" w:right="-240" w:firstLine="480" w:leftChars="-100" w:rightChars="-100"/>
              <w:jc w:val="center"/>
              <w:rPr>
                <w:rFonts w:ascii="宋体" w:hAnsi="宋体" w:cs="宋体"/>
              </w:rPr>
            </w:pPr>
          </w:p>
        </w:tc>
        <w:tc>
          <w:tcPr>
            <w:tcW w:w="1425" w:type="dxa"/>
            <w:tcBorders>
              <w:top w:val="single" w:sz="4" w:space="0" w:color="auto"/>
              <w:left w:val="single" w:sz="4" w:space="0" w:color="auto"/>
              <w:bottom w:val="single" w:sz="4" w:space="0" w:color="auto"/>
              <w:right w:val="single" w:sz="4" w:space="0" w:color="auto"/>
            </w:tcBorders>
            <w:vAlign w:val="center"/>
          </w:tcPr>
          <w:p w14:paraId="3DD98582">
            <w:pPr>
              <w:snapToGrid w:val="0"/>
              <w:spacing w:line="360" w:lineRule="auto"/>
              <w:ind w:left="-240" w:right="-240" w:firstLine="480" w:leftChars="-100" w:rightChars="-100"/>
              <w:jc w:val="center"/>
              <w:rPr>
                <w:rFonts w:ascii="宋体" w:hAnsi="宋体" w:cs="宋体"/>
              </w:rPr>
            </w:pPr>
          </w:p>
        </w:tc>
        <w:tc>
          <w:tcPr>
            <w:tcW w:w="945" w:type="dxa"/>
            <w:tcBorders>
              <w:top w:val="single" w:sz="4" w:space="0" w:color="auto"/>
              <w:left w:val="single" w:sz="4" w:space="0" w:color="auto"/>
              <w:bottom w:val="single" w:sz="4" w:space="0" w:color="auto"/>
              <w:right w:val="single" w:sz="4" w:space="0" w:color="auto"/>
            </w:tcBorders>
            <w:vAlign w:val="center"/>
          </w:tcPr>
          <w:p w14:paraId="4596D94C">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1083B27F">
            <w:pPr>
              <w:snapToGrid w:val="0"/>
              <w:spacing w:line="360" w:lineRule="auto"/>
              <w:ind w:left="-240" w:right="-240" w:firstLine="480" w:leftChars="-100" w:rightChars="-100"/>
              <w:jc w:val="center"/>
              <w:rPr>
                <w:rFonts w:ascii="宋体" w:hAnsi="宋体" w:cs="宋体"/>
              </w:rPr>
            </w:pPr>
          </w:p>
        </w:tc>
        <w:tc>
          <w:tcPr>
            <w:tcW w:w="1049" w:type="dxa"/>
            <w:tcBorders>
              <w:top w:val="single" w:sz="4" w:space="0" w:color="auto"/>
              <w:left w:val="single" w:sz="4" w:space="0" w:color="auto"/>
              <w:bottom w:val="single" w:sz="4" w:space="0" w:color="auto"/>
              <w:right w:val="single" w:sz="4" w:space="0" w:color="auto"/>
            </w:tcBorders>
            <w:vAlign w:val="center"/>
          </w:tcPr>
          <w:p w14:paraId="1BB62F10">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1B289620">
            <w:pPr>
              <w:snapToGrid w:val="0"/>
              <w:spacing w:line="360" w:lineRule="auto"/>
              <w:ind w:left="-240" w:right="-240" w:firstLine="480" w:leftChars="-100" w:rightChars="-100"/>
              <w:jc w:val="center"/>
              <w:rPr>
                <w:rFonts w:ascii="宋体" w:hAnsi="宋体" w:cs="宋体"/>
              </w:rPr>
            </w:pPr>
          </w:p>
        </w:tc>
        <w:tc>
          <w:tcPr>
            <w:tcW w:w="935" w:type="dxa"/>
            <w:tcBorders>
              <w:top w:val="single" w:sz="4" w:space="0" w:color="auto"/>
              <w:left w:val="single" w:sz="4" w:space="0" w:color="auto"/>
              <w:bottom w:val="single" w:sz="4" w:space="0" w:color="auto"/>
              <w:right w:val="single" w:sz="4" w:space="0" w:color="auto"/>
            </w:tcBorders>
            <w:vAlign w:val="center"/>
          </w:tcPr>
          <w:p w14:paraId="1CC9612E">
            <w:pPr>
              <w:snapToGrid w:val="0"/>
              <w:spacing w:line="360" w:lineRule="auto"/>
              <w:ind w:left="-240" w:right="-240" w:firstLine="480" w:leftChars="-100" w:rightChars="-100"/>
              <w:jc w:val="center"/>
              <w:rPr>
                <w:rFonts w:ascii="宋体" w:hAnsi="宋体" w:cs="宋体"/>
              </w:rPr>
            </w:pPr>
          </w:p>
        </w:tc>
        <w:tc>
          <w:tcPr>
            <w:tcW w:w="474" w:type="dxa"/>
            <w:tcBorders>
              <w:top w:val="single" w:sz="4" w:space="0" w:color="auto"/>
              <w:left w:val="single" w:sz="4" w:space="0" w:color="auto"/>
              <w:bottom w:val="single" w:sz="4" w:space="0" w:color="auto"/>
              <w:right w:val="single" w:sz="12" w:space="0" w:color="auto"/>
            </w:tcBorders>
            <w:vAlign w:val="center"/>
          </w:tcPr>
          <w:p w14:paraId="64457B8C">
            <w:pPr>
              <w:snapToGrid w:val="0"/>
              <w:spacing w:line="360" w:lineRule="auto"/>
              <w:ind w:left="-240" w:right="-240" w:firstLine="480" w:leftChars="-100" w:rightChars="-100"/>
              <w:jc w:val="center"/>
              <w:rPr>
                <w:rFonts w:ascii="宋体" w:hAnsi="宋体" w:cs="宋体"/>
              </w:rPr>
            </w:pPr>
          </w:p>
        </w:tc>
      </w:tr>
      <w:tr w14:paraId="14085113">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578FB7D4">
            <w:pPr>
              <w:snapToGrid w:val="0"/>
              <w:spacing w:line="360" w:lineRule="auto"/>
              <w:ind w:left="-240" w:right="-240" w:firstLine="480" w:leftChars="-100" w:rightChars="-100"/>
              <w:jc w:val="center"/>
              <w:rPr>
                <w:rFonts w:ascii="宋体" w:hAnsi="宋体" w:cs="宋体"/>
              </w:rPr>
            </w:pPr>
          </w:p>
        </w:tc>
        <w:tc>
          <w:tcPr>
            <w:tcW w:w="1283" w:type="dxa"/>
            <w:tcBorders>
              <w:top w:val="single" w:sz="4" w:space="0" w:color="auto"/>
              <w:left w:val="single" w:sz="4" w:space="0" w:color="auto"/>
              <w:bottom w:val="single" w:sz="4" w:space="0" w:color="auto"/>
              <w:right w:val="single" w:sz="4" w:space="0" w:color="auto"/>
            </w:tcBorders>
            <w:vAlign w:val="center"/>
          </w:tcPr>
          <w:p w14:paraId="3EBAED1C">
            <w:pPr>
              <w:snapToGrid w:val="0"/>
              <w:spacing w:line="360" w:lineRule="auto"/>
              <w:ind w:left="-240" w:right="-240" w:firstLine="480" w:leftChars="-100" w:rightChars="-100"/>
              <w:jc w:val="center"/>
              <w:rPr>
                <w:rFonts w:ascii="宋体" w:hAnsi="宋体" w:cs="宋体"/>
              </w:rPr>
            </w:pPr>
          </w:p>
        </w:tc>
        <w:tc>
          <w:tcPr>
            <w:tcW w:w="1425" w:type="dxa"/>
            <w:tcBorders>
              <w:top w:val="single" w:sz="4" w:space="0" w:color="auto"/>
              <w:left w:val="single" w:sz="4" w:space="0" w:color="auto"/>
              <w:bottom w:val="single" w:sz="4" w:space="0" w:color="auto"/>
              <w:right w:val="single" w:sz="4" w:space="0" w:color="auto"/>
            </w:tcBorders>
            <w:vAlign w:val="center"/>
          </w:tcPr>
          <w:p w14:paraId="4C15D15C">
            <w:pPr>
              <w:snapToGrid w:val="0"/>
              <w:spacing w:line="360" w:lineRule="auto"/>
              <w:ind w:left="-240" w:right="-240" w:firstLine="480" w:leftChars="-100" w:rightChars="-100"/>
              <w:jc w:val="center"/>
              <w:rPr>
                <w:rFonts w:ascii="宋体" w:hAnsi="宋体" w:cs="宋体"/>
              </w:rPr>
            </w:pPr>
          </w:p>
        </w:tc>
        <w:tc>
          <w:tcPr>
            <w:tcW w:w="945" w:type="dxa"/>
            <w:tcBorders>
              <w:top w:val="single" w:sz="4" w:space="0" w:color="auto"/>
              <w:left w:val="single" w:sz="4" w:space="0" w:color="auto"/>
              <w:bottom w:val="single" w:sz="4" w:space="0" w:color="auto"/>
              <w:right w:val="single" w:sz="4" w:space="0" w:color="auto"/>
            </w:tcBorders>
            <w:vAlign w:val="center"/>
          </w:tcPr>
          <w:p w14:paraId="1B2F3B53">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545BC7B0">
            <w:pPr>
              <w:snapToGrid w:val="0"/>
              <w:spacing w:line="360" w:lineRule="auto"/>
              <w:ind w:left="-240" w:right="-240" w:firstLine="480" w:leftChars="-100" w:rightChars="-100"/>
              <w:jc w:val="center"/>
              <w:rPr>
                <w:rFonts w:ascii="宋体" w:hAnsi="宋体" w:cs="宋体"/>
              </w:rPr>
            </w:pPr>
          </w:p>
        </w:tc>
        <w:tc>
          <w:tcPr>
            <w:tcW w:w="1049" w:type="dxa"/>
            <w:tcBorders>
              <w:top w:val="single" w:sz="4" w:space="0" w:color="auto"/>
              <w:left w:val="single" w:sz="4" w:space="0" w:color="auto"/>
              <w:bottom w:val="single" w:sz="4" w:space="0" w:color="auto"/>
              <w:right w:val="single" w:sz="4" w:space="0" w:color="auto"/>
            </w:tcBorders>
            <w:vAlign w:val="center"/>
          </w:tcPr>
          <w:p w14:paraId="408EF11A">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65A0ADE4">
            <w:pPr>
              <w:snapToGrid w:val="0"/>
              <w:spacing w:line="360" w:lineRule="auto"/>
              <w:ind w:left="-240" w:right="-240" w:firstLine="480" w:leftChars="-100" w:rightChars="-100"/>
              <w:jc w:val="center"/>
              <w:rPr>
                <w:rFonts w:ascii="宋体" w:hAnsi="宋体" w:cs="宋体"/>
              </w:rPr>
            </w:pPr>
          </w:p>
        </w:tc>
        <w:tc>
          <w:tcPr>
            <w:tcW w:w="935" w:type="dxa"/>
            <w:tcBorders>
              <w:top w:val="single" w:sz="4" w:space="0" w:color="auto"/>
              <w:left w:val="single" w:sz="4" w:space="0" w:color="auto"/>
              <w:bottom w:val="single" w:sz="4" w:space="0" w:color="auto"/>
              <w:right w:val="single" w:sz="4" w:space="0" w:color="auto"/>
            </w:tcBorders>
            <w:vAlign w:val="center"/>
          </w:tcPr>
          <w:p w14:paraId="0FF745F6">
            <w:pPr>
              <w:snapToGrid w:val="0"/>
              <w:spacing w:line="360" w:lineRule="auto"/>
              <w:ind w:left="-240" w:right="-240" w:firstLine="480" w:leftChars="-100" w:rightChars="-100"/>
              <w:jc w:val="center"/>
              <w:rPr>
                <w:rFonts w:ascii="宋体" w:hAnsi="宋体" w:cs="宋体"/>
              </w:rPr>
            </w:pPr>
          </w:p>
        </w:tc>
        <w:tc>
          <w:tcPr>
            <w:tcW w:w="474" w:type="dxa"/>
            <w:tcBorders>
              <w:top w:val="single" w:sz="4" w:space="0" w:color="auto"/>
              <w:left w:val="single" w:sz="4" w:space="0" w:color="auto"/>
              <w:bottom w:val="single" w:sz="4" w:space="0" w:color="auto"/>
              <w:right w:val="single" w:sz="12" w:space="0" w:color="auto"/>
            </w:tcBorders>
            <w:vAlign w:val="center"/>
          </w:tcPr>
          <w:p w14:paraId="36D0E35F">
            <w:pPr>
              <w:snapToGrid w:val="0"/>
              <w:spacing w:line="360" w:lineRule="auto"/>
              <w:ind w:left="-240" w:right="-240" w:firstLine="480" w:leftChars="-100" w:rightChars="-100"/>
              <w:jc w:val="center"/>
              <w:rPr>
                <w:rFonts w:ascii="宋体" w:hAnsi="宋体" w:cs="宋体"/>
              </w:rPr>
            </w:pPr>
          </w:p>
        </w:tc>
      </w:tr>
      <w:tr w14:paraId="2BA80C38">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4" w:space="0" w:color="auto"/>
              <w:right w:val="single" w:sz="4" w:space="0" w:color="auto"/>
            </w:tcBorders>
            <w:vAlign w:val="center"/>
          </w:tcPr>
          <w:p w14:paraId="720C7181">
            <w:pPr>
              <w:snapToGrid w:val="0"/>
              <w:spacing w:line="360" w:lineRule="auto"/>
              <w:ind w:left="-240" w:right="-240" w:firstLine="480" w:leftChars="-100" w:rightChars="-100"/>
              <w:jc w:val="center"/>
              <w:rPr>
                <w:rFonts w:ascii="宋体" w:hAnsi="宋体" w:cs="宋体"/>
              </w:rPr>
            </w:pPr>
          </w:p>
        </w:tc>
        <w:tc>
          <w:tcPr>
            <w:tcW w:w="1283" w:type="dxa"/>
            <w:tcBorders>
              <w:top w:val="single" w:sz="4" w:space="0" w:color="auto"/>
              <w:left w:val="single" w:sz="4" w:space="0" w:color="auto"/>
              <w:bottom w:val="single" w:sz="4" w:space="0" w:color="auto"/>
              <w:right w:val="single" w:sz="4" w:space="0" w:color="auto"/>
            </w:tcBorders>
            <w:vAlign w:val="center"/>
          </w:tcPr>
          <w:p w14:paraId="3C9CA390">
            <w:pPr>
              <w:snapToGrid w:val="0"/>
              <w:spacing w:line="360" w:lineRule="auto"/>
              <w:ind w:left="-240" w:right="-240" w:firstLine="480" w:leftChars="-100" w:rightChars="-100"/>
              <w:jc w:val="center"/>
              <w:rPr>
                <w:rFonts w:ascii="宋体" w:hAnsi="宋体" w:cs="宋体"/>
              </w:rPr>
            </w:pPr>
          </w:p>
        </w:tc>
        <w:tc>
          <w:tcPr>
            <w:tcW w:w="1425" w:type="dxa"/>
            <w:tcBorders>
              <w:top w:val="single" w:sz="4" w:space="0" w:color="auto"/>
              <w:left w:val="single" w:sz="4" w:space="0" w:color="auto"/>
              <w:bottom w:val="single" w:sz="4" w:space="0" w:color="auto"/>
              <w:right w:val="single" w:sz="4" w:space="0" w:color="auto"/>
            </w:tcBorders>
            <w:vAlign w:val="center"/>
          </w:tcPr>
          <w:p w14:paraId="30E1848F">
            <w:pPr>
              <w:snapToGrid w:val="0"/>
              <w:spacing w:line="360" w:lineRule="auto"/>
              <w:ind w:left="-240" w:right="-240" w:firstLine="480" w:leftChars="-100" w:rightChars="-100"/>
              <w:jc w:val="center"/>
              <w:rPr>
                <w:rFonts w:ascii="宋体" w:hAnsi="宋体" w:cs="宋体"/>
              </w:rPr>
            </w:pPr>
          </w:p>
        </w:tc>
        <w:tc>
          <w:tcPr>
            <w:tcW w:w="945" w:type="dxa"/>
            <w:tcBorders>
              <w:top w:val="single" w:sz="4" w:space="0" w:color="auto"/>
              <w:left w:val="single" w:sz="4" w:space="0" w:color="auto"/>
              <w:bottom w:val="single" w:sz="4" w:space="0" w:color="auto"/>
              <w:right w:val="single" w:sz="4" w:space="0" w:color="auto"/>
            </w:tcBorders>
            <w:vAlign w:val="center"/>
          </w:tcPr>
          <w:p w14:paraId="0C7D7276">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014260E3">
            <w:pPr>
              <w:snapToGrid w:val="0"/>
              <w:spacing w:line="360" w:lineRule="auto"/>
              <w:ind w:left="-240" w:right="-240" w:firstLine="480" w:leftChars="-100" w:rightChars="-100"/>
              <w:jc w:val="center"/>
              <w:rPr>
                <w:rFonts w:ascii="宋体" w:hAnsi="宋体" w:cs="宋体"/>
              </w:rPr>
            </w:pPr>
          </w:p>
        </w:tc>
        <w:tc>
          <w:tcPr>
            <w:tcW w:w="1049" w:type="dxa"/>
            <w:tcBorders>
              <w:top w:val="single" w:sz="4" w:space="0" w:color="auto"/>
              <w:left w:val="single" w:sz="4" w:space="0" w:color="auto"/>
              <w:bottom w:val="single" w:sz="4" w:space="0" w:color="auto"/>
              <w:right w:val="single" w:sz="4" w:space="0" w:color="auto"/>
            </w:tcBorders>
            <w:vAlign w:val="center"/>
          </w:tcPr>
          <w:p w14:paraId="371BCE1B">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4" w:space="0" w:color="auto"/>
              <w:right w:val="single" w:sz="4" w:space="0" w:color="auto"/>
            </w:tcBorders>
            <w:vAlign w:val="center"/>
          </w:tcPr>
          <w:p w14:paraId="6F4CDBC9">
            <w:pPr>
              <w:snapToGrid w:val="0"/>
              <w:spacing w:line="360" w:lineRule="auto"/>
              <w:ind w:left="-240" w:right="-240" w:firstLine="480" w:leftChars="-100" w:rightChars="-100"/>
              <w:jc w:val="center"/>
              <w:rPr>
                <w:rFonts w:ascii="宋体" w:hAnsi="宋体" w:cs="宋体"/>
              </w:rPr>
            </w:pPr>
          </w:p>
        </w:tc>
        <w:tc>
          <w:tcPr>
            <w:tcW w:w="935" w:type="dxa"/>
            <w:tcBorders>
              <w:top w:val="single" w:sz="4" w:space="0" w:color="auto"/>
              <w:left w:val="single" w:sz="4" w:space="0" w:color="auto"/>
              <w:bottom w:val="single" w:sz="4" w:space="0" w:color="auto"/>
              <w:right w:val="single" w:sz="4" w:space="0" w:color="auto"/>
            </w:tcBorders>
            <w:vAlign w:val="center"/>
          </w:tcPr>
          <w:p w14:paraId="542C9F3F">
            <w:pPr>
              <w:snapToGrid w:val="0"/>
              <w:spacing w:line="360" w:lineRule="auto"/>
              <w:ind w:left="-240" w:right="-240" w:firstLine="480" w:leftChars="-100" w:rightChars="-100"/>
              <w:jc w:val="center"/>
              <w:rPr>
                <w:rFonts w:ascii="宋体" w:hAnsi="宋体" w:cs="宋体"/>
              </w:rPr>
            </w:pPr>
          </w:p>
        </w:tc>
        <w:tc>
          <w:tcPr>
            <w:tcW w:w="474" w:type="dxa"/>
            <w:tcBorders>
              <w:top w:val="single" w:sz="4" w:space="0" w:color="auto"/>
              <w:left w:val="single" w:sz="4" w:space="0" w:color="auto"/>
              <w:bottom w:val="single" w:sz="4" w:space="0" w:color="auto"/>
              <w:right w:val="single" w:sz="12" w:space="0" w:color="auto"/>
            </w:tcBorders>
            <w:vAlign w:val="center"/>
          </w:tcPr>
          <w:p w14:paraId="00098698">
            <w:pPr>
              <w:snapToGrid w:val="0"/>
              <w:spacing w:line="360" w:lineRule="auto"/>
              <w:ind w:left="-240" w:right="-240" w:firstLine="480" w:leftChars="-100" w:rightChars="-100"/>
              <w:jc w:val="center"/>
              <w:rPr>
                <w:rFonts w:ascii="宋体" w:hAnsi="宋体" w:cs="宋体"/>
              </w:rPr>
            </w:pPr>
          </w:p>
        </w:tc>
      </w:tr>
      <w:tr w14:paraId="54D01962">
        <w:tblPrEx>
          <w:tblW w:w="0" w:type="auto"/>
          <w:jc w:val="center"/>
          <w:tblLayout w:type="fixed"/>
          <w:tblCellMar>
            <w:top w:w="0" w:type="dxa"/>
            <w:left w:w="28" w:type="dxa"/>
            <w:bottom w:w="0" w:type="dxa"/>
            <w:right w:w="28" w:type="dxa"/>
          </w:tblCellMar>
        </w:tblPrEx>
        <w:trPr>
          <w:trHeight w:val="567"/>
          <w:jc w:val="center"/>
        </w:trPr>
        <w:tc>
          <w:tcPr>
            <w:tcW w:w="627" w:type="dxa"/>
            <w:tcBorders>
              <w:top w:val="single" w:sz="4" w:space="0" w:color="auto"/>
              <w:left w:val="single" w:sz="12" w:space="0" w:color="auto"/>
              <w:bottom w:val="single" w:sz="12" w:space="0" w:color="auto"/>
              <w:right w:val="single" w:sz="4" w:space="0" w:color="auto"/>
            </w:tcBorders>
            <w:vAlign w:val="center"/>
          </w:tcPr>
          <w:p w14:paraId="7BDE4F21">
            <w:pPr>
              <w:snapToGrid w:val="0"/>
              <w:spacing w:line="360" w:lineRule="auto"/>
              <w:ind w:left="-240" w:right="-240" w:firstLine="480" w:leftChars="-100" w:rightChars="-100"/>
              <w:jc w:val="center"/>
              <w:rPr>
                <w:rFonts w:ascii="宋体" w:hAnsi="宋体" w:cs="宋体"/>
              </w:rPr>
            </w:pPr>
          </w:p>
        </w:tc>
        <w:tc>
          <w:tcPr>
            <w:tcW w:w="1283" w:type="dxa"/>
            <w:tcBorders>
              <w:top w:val="single" w:sz="4" w:space="0" w:color="auto"/>
              <w:left w:val="single" w:sz="4" w:space="0" w:color="auto"/>
              <w:bottom w:val="single" w:sz="12" w:space="0" w:color="auto"/>
              <w:right w:val="single" w:sz="4" w:space="0" w:color="auto"/>
            </w:tcBorders>
            <w:vAlign w:val="center"/>
          </w:tcPr>
          <w:p w14:paraId="5668A645">
            <w:pPr>
              <w:snapToGrid w:val="0"/>
              <w:spacing w:line="360" w:lineRule="auto"/>
              <w:ind w:left="-240" w:right="-240" w:firstLine="480" w:leftChars="-100" w:rightChars="-100"/>
              <w:jc w:val="center"/>
              <w:rPr>
                <w:rFonts w:ascii="宋体" w:hAnsi="宋体" w:cs="宋体"/>
              </w:rPr>
            </w:pPr>
          </w:p>
        </w:tc>
        <w:tc>
          <w:tcPr>
            <w:tcW w:w="1425" w:type="dxa"/>
            <w:tcBorders>
              <w:top w:val="single" w:sz="4" w:space="0" w:color="auto"/>
              <w:left w:val="single" w:sz="4" w:space="0" w:color="auto"/>
              <w:bottom w:val="single" w:sz="12" w:space="0" w:color="auto"/>
              <w:right w:val="single" w:sz="4" w:space="0" w:color="auto"/>
            </w:tcBorders>
            <w:vAlign w:val="center"/>
          </w:tcPr>
          <w:p w14:paraId="2CD7E8EF">
            <w:pPr>
              <w:snapToGrid w:val="0"/>
              <w:spacing w:line="360" w:lineRule="auto"/>
              <w:ind w:left="-240" w:right="-240" w:firstLine="480" w:leftChars="-100" w:rightChars="-100"/>
              <w:jc w:val="center"/>
              <w:rPr>
                <w:rFonts w:ascii="宋体" w:hAnsi="宋体" w:cs="宋体"/>
              </w:rPr>
            </w:pPr>
          </w:p>
        </w:tc>
        <w:tc>
          <w:tcPr>
            <w:tcW w:w="945" w:type="dxa"/>
            <w:tcBorders>
              <w:top w:val="single" w:sz="4" w:space="0" w:color="auto"/>
              <w:left w:val="single" w:sz="4" w:space="0" w:color="auto"/>
              <w:bottom w:val="single" w:sz="12" w:space="0" w:color="auto"/>
              <w:right w:val="single" w:sz="4" w:space="0" w:color="auto"/>
            </w:tcBorders>
            <w:vAlign w:val="center"/>
          </w:tcPr>
          <w:p w14:paraId="4A4824CD">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12" w:space="0" w:color="auto"/>
              <w:right w:val="single" w:sz="4" w:space="0" w:color="auto"/>
            </w:tcBorders>
            <w:vAlign w:val="center"/>
          </w:tcPr>
          <w:p w14:paraId="45E6096B">
            <w:pPr>
              <w:snapToGrid w:val="0"/>
              <w:spacing w:line="360" w:lineRule="auto"/>
              <w:ind w:left="-240" w:right="-240" w:firstLine="480" w:leftChars="-100" w:rightChars="-100"/>
              <w:jc w:val="center"/>
              <w:rPr>
                <w:rFonts w:ascii="宋体" w:hAnsi="宋体" w:cs="宋体"/>
              </w:rPr>
            </w:pPr>
          </w:p>
        </w:tc>
        <w:tc>
          <w:tcPr>
            <w:tcW w:w="1049" w:type="dxa"/>
            <w:tcBorders>
              <w:top w:val="single" w:sz="4" w:space="0" w:color="auto"/>
              <w:left w:val="single" w:sz="4" w:space="0" w:color="auto"/>
              <w:bottom w:val="single" w:sz="12" w:space="0" w:color="auto"/>
              <w:right w:val="single" w:sz="4" w:space="0" w:color="auto"/>
            </w:tcBorders>
            <w:vAlign w:val="center"/>
          </w:tcPr>
          <w:p w14:paraId="7B4D14AD">
            <w:pPr>
              <w:snapToGrid w:val="0"/>
              <w:spacing w:line="360" w:lineRule="auto"/>
              <w:ind w:left="-240" w:right="-240" w:firstLine="480" w:leftChars="-100" w:rightChars="-100"/>
              <w:jc w:val="center"/>
              <w:rPr>
                <w:rFonts w:ascii="宋体" w:hAnsi="宋体" w:cs="宋体"/>
              </w:rPr>
            </w:pPr>
          </w:p>
        </w:tc>
        <w:tc>
          <w:tcPr>
            <w:tcW w:w="855" w:type="dxa"/>
            <w:tcBorders>
              <w:top w:val="single" w:sz="4" w:space="0" w:color="auto"/>
              <w:left w:val="single" w:sz="4" w:space="0" w:color="auto"/>
              <w:bottom w:val="single" w:sz="12" w:space="0" w:color="auto"/>
              <w:right w:val="single" w:sz="4" w:space="0" w:color="auto"/>
            </w:tcBorders>
            <w:vAlign w:val="center"/>
          </w:tcPr>
          <w:p w14:paraId="6CAD74EA">
            <w:pPr>
              <w:snapToGrid w:val="0"/>
              <w:spacing w:line="360" w:lineRule="auto"/>
              <w:ind w:left="-240" w:right="-240" w:firstLine="480" w:leftChars="-100" w:rightChars="-100"/>
              <w:jc w:val="center"/>
              <w:rPr>
                <w:rFonts w:ascii="宋体" w:hAnsi="宋体" w:cs="宋体"/>
              </w:rPr>
            </w:pPr>
          </w:p>
        </w:tc>
        <w:tc>
          <w:tcPr>
            <w:tcW w:w="935" w:type="dxa"/>
            <w:tcBorders>
              <w:top w:val="single" w:sz="4" w:space="0" w:color="auto"/>
              <w:left w:val="single" w:sz="4" w:space="0" w:color="auto"/>
              <w:bottom w:val="single" w:sz="12" w:space="0" w:color="auto"/>
              <w:right w:val="single" w:sz="4" w:space="0" w:color="auto"/>
            </w:tcBorders>
            <w:vAlign w:val="center"/>
          </w:tcPr>
          <w:p w14:paraId="2DF33668">
            <w:pPr>
              <w:snapToGrid w:val="0"/>
              <w:spacing w:line="360" w:lineRule="auto"/>
              <w:ind w:left="-240" w:right="-240" w:firstLine="480" w:leftChars="-100" w:rightChars="-100"/>
              <w:jc w:val="center"/>
              <w:rPr>
                <w:rFonts w:ascii="宋体" w:hAnsi="宋体" w:cs="宋体"/>
              </w:rPr>
            </w:pPr>
          </w:p>
        </w:tc>
        <w:tc>
          <w:tcPr>
            <w:tcW w:w="474" w:type="dxa"/>
            <w:tcBorders>
              <w:top w:val="single" w:sz="4" w:space="0" w:color="auto"/>
              <w:left w:val="single" w:sz="4" w:space="0" w:color="auto"/>
              <w:bottom w:val="single" w:sz="12" w:space="0" w:color="auto"/>
              <w:right w:val="single" w:sz="12" w:space="0" w:color="auto"/>
            </w:tcBorders>
            <w:vAlign w:val="center"/>
          </w:tcPr>
          <w:p w14:paraId="384AD1BA">
            <w:pPr>
              <w:snapToGrid w:val="0"/>
              <w:spacing w:line="360" w:lineRule="auto"/>
              <w:ind w:left="-240" w:right="-240" w:firstLine="480" w:leftChars="-100" w:rightChars="-100"/>
              <w:jc w:val="center"/>
              <w:rPr>
                <w:rFonts w:ascii="宋体" w:hAnsi="宋体" w:cs="宋体"/>
              </w:rPr>
            </w:pPr>
          </w:p>
        </w:tc>
      </w:tr>
    </w:tbl>
    <w:p w14:paraId="2EAEADAF">
      <w:pPr>
        <w:spacing w:line="360" w:lineRule="auto"/>
        <w:ind w:left="-240" w:right="-240" w:leftChars="-100" w:rightChars="-100"/>
        <w:outlineLvl w:val="1"/>
        <w:rPr>
          <w:rFonts w:ascii="宋体" w:hAnsi="宋体" w:cs="宋体"/>
          <w:b/>
          <w:bCs/>
          <w:color w:val="000000"/>
          <w:kern w:val="2"/>
        </w:rPr>
      </w:pPr>
      <w:r>
        <w:rPr>
          <w:rFonts w:ascii="宋体" w:hAnsi="宋体" w:cs="宋体" w:hint="eastAsia"/>
          <w:b/>
          <w:bCs/>
          <w:color w:val="000000"/>
        </w:rPr>
        <w:br w:type="page"/>
      </w:r>
      <w:bookmarkStart w:id="1492" w:name="_Toc1357349786"/>
      <w:bookmarkStart w:id="1493" w:name="_Toc1799881692"/>
      <w:bookmarkStart w:id="1494" w:name="_Toc2144979508"/>
    </w:p>
    <w:p w14:paraId="368BAF8A">
      <w:pPr>
        <w:spacing w:line="360" w:lineRule="auto"/>
        <w:ind w:left="-240" w:right="-240" w:leftChars="-100" w:rightChars="-100"/>
        <w:outlineLvl w:val="1"/>
        <w:rPr>
          <w:rFonts w:ascii="宋体" w:hAnsi="宋体" w:cs="宋体"/>
          <w:b/>
          <w:bCs/>
          <w:color w:val="000000"/>
        </w:rPr>
      </w:pPr>
      <w:r>
        <w:rPr>
          <w:rFonts w:ascii="宋体" w:hAnsi="宋体" w:cs="宋体" w:hint="eastAsia"/>
          <w:b/>
          <w:bCs/>
          <w:color w:val="000000"/>
        </w:rPr>
        <w:t>附件6:</w:t>
      </w:r>
      <w:bookmarkEnd w:id="1492"/>
      <w:bookmarkEnd w:id="1493"/>
      <w:bookmarkEnd w:id="1494"/>
    </w:p>
    <w:p w14:paraId="02CF20A0">
      <w:pPr>
        <w:pStyle w:val="Heading2"/>
        <w:spacing w:before="0"/>
        <w:ind w:left="-240" w:right="-240" w:leftChars="-100" w:rightChars="-100"/>
        <w:jc w:val="center"/>
        <w:rPr>
          <w:rFonts w:ascii="宋体" w:hAnsi="宋体" w:cs="宋体"/>
          <w:b w:val="0"/>
          <w:sz w:val="24"/>
          <w:szCs w:val="24"/>
        </w:rPr>
      </w:pPr>
      <w:bookmarkStart w:id="1495" w:name="_Toc1792836188"/>
      <w:bookmarkStart w:id="1496" w:name="_Toc2133128467"/>
      <w:r>
        <w:rPr>
          <w:rFonts w:ascii="宋体" w:hAnsi="宋体" w:cs="宋体" w:hint="eastAsia"/>
          <w:b w:val="0"/>
          <w:sz w:val="24"/>
          <w:szCs w:val="24"/>
        </w:rPr>
        <w:t>绿化养护责任书</w:t>
      </w:r>
      <w:bookmarkEnd w:id="1495"/>
      <w:bookmarkEnd w:id="1496"/>
    </w:p>
    <w:p w14:paraId="660EB303">
      <w:pPr>
        <w:snapToGrid w:val="0"/>
        <w:spacing w:line="360" w:lineRule="auto"/>
        <w:ind w:left="-240" w:right="-240" w:firstLine="600" w:leftChars="-100" w:rightChars="-100"/>
        <w:jc w:val="distribute"/>
        <w:rPr>
          <w:rFonts w:ascii="宋体" w:hAnsi="宋体" w:cs="宋体"/>
          <w:lang w:eastAsia="zh-CN"/>
        </w:rPr>
      </w:pPr>
      <w:r>
        <w:rPr>
          <w:rFonts w:ascii="宋体" w:hAnsi="宋体" w:cs="宋体" w:hint="eastAsia"/>
          <w:lang w:eastAsia="zh-CN"/>
        </w:rPr>
        <w:t>发包人和承包人根据</w:t>
      </w:r>
      <w:r>
        <w:rPr>
          <w:rFonts w:ascii="宋体" w:hAnsi="宋体" w:cs="宋体" w:hint="eastAsia"/>
          <w:color w:val="000000"/>
          <w:lang w:eastAsia="zh-CN"/>
        </w:rPr>
        <w:t>《园林绿化养护标准》</w:t>
      </w:r>
      <w:r>
        <w:rPr>
          <w:rFonts w:ascii="宋体" w:hAnsi="宋体" w:cs="宋体" w:hint="eastAsia"/>
          <w:lang w:eastAsia="zh-CN"/>
        </w:rPr>
        <w:t>（</w:t>
      </w:r>
      <w:r>
        <w:rPr>
          <w:rFonts w:ascii="宋体" w:hAnsi="宋体" w:cs="宋体" w:hint="eastAsia"/>
          <w:color w:val="000000"/>
          <w:lang w:eastAsia="zh-CN"/>
        </w:rPr>
        <w:t>CJJ/T287</w:t>
      </w:r>
      <w:r>
        <w:rPr>
          <w:rFonts w:ascii="宋体" w:hAnsi="宋体" w:cs="宋体" w:hint="eastAsia"/>
          <w:lang w:eastAsia="zh-CN"/>
        </w:rPr>
        <w:t>）或</w:t>
      </w:r>
    </w:p>
    <w:p w14:paraId="25BD126B">
      <w:pPr>
        <w:snapToGrid w:val="0"/>
        <w:spacing w:line="360" w:lineRule="auto"/>
        <w:ind w:left="-240" w:right="-240" w:leftChars="-100" w:rightChars="-100"/>
        <w:rPr>
          <w:rFonts w:ascii="宋体" w:hAnsi="宋体" w:cs="宋体"/>
          <w:u w:val="single"/>
          <w:lang w:eastAsia="zh-CN"/>
        </w:rPr>
      </w:pPr>
      <w:r>
        <w:rPr>
          <w:rFonts w:ascii="宋体" w:hAnsi="宋体" w:cs="宋体" w:hint="eastAsia"/>
          <w:u w:val="single"/>
          <w:lang w:eastAsia="zh-CN"/>
        </w:rPr>
        <w:t xml:space="preserve">                    </w:t>
      </w:r>
      <w:r>
        <w:rPr>
          <w:rFonts w:ascii="宋体" w:hAnsi="宋体" w:cs="宋体" w:hint="eastAsia"/>
          <w:lang w:eastAsia="zh-CN"/>
        </w:rPr>
        <w:t>（地方标准）</w:t>
      </w:r>
      <w:r>
        <w:rPr>
          <w:rFonts w:ascii="宋体" w:hAnsi="宋体" w:cs="宋体" w:hint="eastAsia"/>
          <w:color w:val="000000"/>
          <w:lang w:eastAsia="zh-CN"/>
        </w:rPr>
        <w:t>等相关规定</w:t>
      </w:r>
      <w:r>
        <w:rPr>
          <w:rFonts w:ascii="宋体" w:hAnsi="宋体" w:cs="宋体" w:hint="eastAsia"/>
          <w:lang w:eastAsia="zh-CN"/>
        </w:rPr>
        <w:t>，经协商一致就</w:t>
      </w:r>
      <w:r>
        <w:rPr>
          <w:rFonts w:ascii="宋体" w:hAnsi="宋体" w:cs="宋体" w:hint="eastAsia"/>
          <w:u w:val="single"/>
          <w:lang w:eastAsia="zh-CN"/>
        </w:rPr>
        <w:t xml:space="preserve">                   </w:t>
      </w:r>
    </w:p>
    <w:p w14:paraId="7C5D0B52">
      <w:pPr>
        <w:snapToGrid w:val="0"/>
        <w:spacing w:line="360" w:lineRule="auto"/>
        <w:ind w:left="-240" w:right="-240" w:leftChars="-100" w:rightChars="-100"/>
        <w:rPr>
          <w:rFonts w:ascii="宋体" w:hAnsi="宋体" w:cs="宋体"/>
          <w:lang w:eastAsia="zh-CN"/>
        </w:rPr>
      </w:pPr>
      <w:r>
        <w:rPr>
          <w:rFonts w:ascii="宋体" w:hAnsi="宋体" w:cs="宋体" w:hint="eastAsia"/>
          <w:u w:val="single"/>
          <w:lang w:eastAsia="zh-CN"/>
        </w:rPr>
        <w:t xml:space="preserve">                    </w:t>
      </w:r>
      <w:r>
        <w:rPr>
          <w:rFonts w:ascii="宋体" w:hAnsi="宋体" w:cs="宋体" w:hint="eastAsia"/>
          <w:lang w:eastAsia="zh-CN"/>
        </w:rPr>
        <w:t>（工程全称）签订绿化养护责任书。</w:t>
      </w:r>
    </w:p>
    <w:p w14:paraId="7B70FBFD">
      <w:pPr>
        <w:snapToGrid w:val="0"/>
        <w:spacing w:line="360" w:lineRule="auto"/>
        <w:ind w:left="-240" w:right="-240" w:firstLine="600" w:leftChars="-100" w:rightChars="-100"/>
        <w:rPr>
          <w:rFonts w:ascii="宋体" w:hAnsi="宋体" w:cs="宋体"/>
          <w:b/>
          <w:lang w:eastAsia="zh-CN"/>
        </w:rPr>
      </w:pPr>
      <w:r>
        <w:rPr>
          <w:rFonts w:ascii="宋体" w:hAnsi="宋体" w:cs="宋体" w:hint="eastAsia"/>
          <w:b/>
          <w:lang w:eastAsia="zh-CN"/>
        </w:rPr>
        <w:t>一、责任范围和内容</w:t>
      </w:r>
    </w:p>
    <w:p w14:paraId="1B54AF10">
      <w:pPr>
        <w:snapToGrid w:val="0"/>
        <w:spacing w:line="360" w:lineRule="auto"/>
        <w:ind w:left="-240" w:right="-240" w:firstLine="600" w:leftChars="-100" w:rightChars="-100"/>
        <w:rPr>
          <w:rFonts w:ascii="宋体" w:hAnsi="宋体" w:cs="宋体"/>
          <w:lang w:eastAsia="zh-CN"/>
        </w:rPr>
      </w:pPr>
      <w:r>
        <w:rPr>
          <w:rFonts w:ascii="宋体" w:hAnsi="宋体" w:cs="宋体" w:hint="eastAsia"/>
          <w:lang w:eastAsia="zh-CN"/>
        </w:rPr>
        <w:t>承包人在绿化养护期内，按照有关法律规定和合同约定，承担施工范围内的绿化养护责任。</w:t>
      </w:r>
    </w:p>
    <w:p w14:paraId="672E3239">
      <w:pPr>
        <w:snapToGrid w:val="0"/>
        <w:spacing w:line="360" w:lineRule="auto"/>
        <w:ind w:left="-240" w:right="-240" w:firstLine="600" w:leftChars="-100" w:rightChars="-100"/>
        <w:rPr>
          <w:rFonts w:ascii="宋体" w:hAnsi="宋体" w:cs="宋体"/>
          <w:u w:val="single"/>
          <w:lang w:eastAsia="zh-CN"/>
        </w:rPr>
      </w:pPr>
      <w:r>
        <w:rPr>
          <w:rFonts w:ascii="宋体" w:hAnsi="宋体" w:cs="宋体" w:hint="eastAsia"/>
          <w:lang w:eastAsia="zh-CN"/>
        </w:rPr>
        <w:t>内容包括对养护范围内植物采取的整形修剪、松土除草、灌溉与排水、施肥、有害生物防治、改植与补植、绿地防护（如防台风、防寒）等技术措施；</w:t>
      </w:r>
      <w:r>
        <w:rPr>
          <w:rFonts w:ascii="宋体" w:hAnsi="宋体" w:cs="宋体" w:hint="eastAsia"/>
          <w:bCs/>
          <w:color w:val="000000"/>
          <w:lang w:eastAsia="zh-CN"/>
        </w:rPr>
        <w:t>其他内容</w:t>
      </w:r>
      <w:r>
        <w:rPr>
          <w:rFonts w:ascii="宋体" w:hAnsi="宋体" w:cs="宋体" w:hint="eastAsia"/>
          <w:lang w:eastAsia="zh-CN"/>
        </w:rPr>
        <w:t>双方约定如下：</w:t>
      </w:r>
      <w:r>
        <w:rPr>
          <w:rFonts w:ascii="宋体" w:hAnsi="宋体" w:cs="宋体" w:hint="eastAsia"/>
          <w:u w:val="single"/>
          <w:lang w:eastAsia="zh-CN"/>
        </w:rPr>
        <w:t xml:space="preserve">          </w:t>
      </w:r>
    </w:p>
    <w:p w14:paraId="29F6E986">
      <w:pPr>
        <w:snapToGrid w:val="0"/>
        <w:spacing w:line="360" w:lineRule="auto"/>
        <w:ind w:left="-240" w:right="-240" w:leftChars="-100" w:rightChars="-100"/>
        <w:rPr>
          <w:rFonts w:ascii="宋体" w:hAnsi="宋体" w:cs="宋体"/>
          <w:u w:val="single"/>
          <w:lang w:eastAsia="zh-CN"/>
        </w:rPr>
      </w:pPr>
      <w:r>
        <w:rPr>
          <w:rFonts w:ascii="宋体" w:hAnsi="宋体" w:cs="宋体" w:hint="eastAsia"/>
          <w:u w:val="single"/>
          <w:lang w:eastAsia="zh-CN"/>
        </w:rPr>
        <w:t xml:space="preserve">                                                       </w:t>
      </w:r>
      <w:r>
        <w:rPr>
          <w:rFonts w:ascii="宋体" w:hAnsi="宋体" w:cs="宋体" w:hint="eastAsia"/>
          <w:lang w:eastAsia="zh-CN"/>
        </w:rPr>
        <w:t>。</w:t>
      </w:r>
    </w:p>
    <w:p w14:paraId="7CE39674">
      <w:pPr>
        <w:snapToGrid w:val="0"/>
        <w:spacing w:line="360" w:lineRule="auto"/>
        <w:ind w:left="-240" w:right="-240" w:firstLine="600" w:leftChars="-100" w:rightChars="-100"/>
        <w:rPr>
          <w:rFonts w:ascii="宋体" w:hAnsi="宋体" w:cs="宋体"/>
          <w:b/>
          <w:lang w:eastAsia="zh-CN"/>
        </w:rPr>
      </w:pPr>
      <w:r>
        <w:rPr>
          <w:rFonts w:ascii="宋体" w:hAnsi="宋体" w:cs="宋体" w:hint="eastAsia"/>
          <w:b/>
          <w:lang w:eastAsia="zh-CN"/>
        </w:rPr>
        <w:t>二、养护标准</w:t>
      </w:r>
    </w:p>
    <w:p w14:paraId="38B61DCC">
      <w:pPr>
        <w:snapToGrid w:val="0"/>
        <w:spacing w:line="360" w:lineRule="auto"/>
        <w:ind w:left="-240" w:right="-240" w:firstLine="600" w:leftChars="-100" w:rightChars="-100"/>
        <w:jc w:val="distribute"/>
        <w:rPr>
          <w:rFonts w:ascii="宋体" w:hAnsi="宋体" w:cs="宋体"/>
          <w:color w:val="000000"/>
          <w:lang w:eastAsia="zh-CN"/>
        </w:rPr>
      </w:pPr>
      <w:r>
        <w:rPr>
          <w:rFonts w:ascii="宋体" w:hAnsi="宋体" w:cs="宋体" w:hint="eastAsia"/>
          <w:color w:val="000000"/>
          <w:lang w:eastAsia="zh-CN"/>
        </w:rPr>
        <w:t>绿化养护质量按照</w:t>
      </w:r>
      <w:r>
        <w:rPr>
          <w:rFonts w:ascii="Wingdings" w:hAnsi="Wingdings" w:cs="宋体"/>
          <w:color w:val="000000"/>
        </w:rPr>
        <w:sym w:font="Wingdings" w:char="F0A8"/>
      </w:r>
      <w:r>
        <w:rPr>
          <w:rFonts w:ascii="宋体" w:hAnsi="宋体" w:cs="宋体" w:hint="eastAsia"/>
          <w:color w:val="000000"/>
          <w:lang w:eastAsia="zh-CN"/>
        </w:rPr>
        <w:t>《园林绿化养护标准》（CJJ/T287）或</w:t>
      </w:r>
    </w:p>
    <w:p w14:paraId="270765D7">
      <w:pPr>
        <w:snapToGrid w:val="0"/>
        <w:spacing w:line="360" w:lineRule="auto"/>
        <w:ind w:left="-240" w:right="-240" w:leftChars="-100" w:rightChars="-100"/>
        <w:rPr>
          <w:rFonts w:ascii="宋体" w:hAnsi="宋体" w:cs="宋体"/>
          <w:color w:val="000000"/>
          <w:lang w:eastAsia="zh-CN"/>
        </w:rPr>
      </w:pPr>
      <w:r>
        <w:rPr>
          <w:rFonts w:ascii="Wingdings" w:hAnsi="Wingdings" w:cs="宋体"/>
          <w:color w:val="000000"/>
        </w:rPr>
        <w:sym w:font="Wingdings" w:char="F0A8"/>
      </w:r>
      <w:r>
        <w:rPr>
          <w:rFonts w:ascii="宋体" w:hAnsi="宋体" w:cs="宋体" w:hint="eastAsia"/>
          <w:color w:val="000000"/>
          <w:u w:val="single"/>
          <w:lang w:eastAsia="zh-CN"/>
        </w:rPr>
        <w:t xml:space="preserve">                  </w:t>
      </w:r>
      <w:r>
        <w:rPr>
          <w:rFonts w:ascii="宋体" w:hAnsi="宋体" w:cs="宋体" w:hint="eastAsia"/>
          <w:color w:val="000000"/>
          <w:lang w:eastAsia="zh-CN"/>
        </w:rPr>
        <w:t>（地方标准）中</w:t>
      </w:r>
      <w:r>
        <w:rPr>
          <w:rFonts w:ascii="宋体" w:hAnsi="宋体" w:cs="宋体" w:hint="eastAsia"/>
          <w:color w:val="000000"/>
          <w:u w:val="single"/>
          <w:lang w:eastAsia="zh-CN"/>
        </w:rPr>
        <w:t xml:space="preserve">    </w:t>
      </w:r>
      <w:r>
        <w:rPr>
          <w:rFonts w:ascii="宋体" w:hAnsi="宋体" w:cs="宋体" w:hint="eastAsia"/>
          <w:color w:val="000000"/>
          <w:lang w:eastAsia="zh-CN"/>
        </w:rPr>
        <w:t>级标准。</w:t>
      </w:r>
    </w:p>
    <w:p w14:paraId="399A3797">
      <w:pPr>
        <w:snapToGrid w:val="0"/>
        <w:spacing w:line="360" w:lineRule="auto"/>
        <w:ind w:left="-240" w:right="-240" w:firstLine="600" w:leftChars="-100" w:rightChars="-100"/>
        <w:rPr>
          <w:rFonts w:ascii="宋体" w:hAnsi="宋体" w:cs="宋体"/>
          <w:b/>
          <w:lang w:eastAsia="zh-CN"/>
        </w:rPr>
      </w:pPr>
      <w:r>
        <w:rPr>
          <w:rFonts w:ascii="宋体" w:hAnsi="宋体" w:cs="宋体" w:hint="eastAsia"/>
          <w:b/>
          <w:lang w:eastAsia="zh-CN"/>
        </w:rPr>
        <w:t>三、考核标准</w:t>
      </w:r>
    </w:p>
    <w:p w14:paraId="74E80F1A">
      <w:pPr>
        <w:snapToGrid w:val="0"/>
        <w:spacing w:line="360" w:lineRule="auto"/>
        <w:ind w:left="-240" w:right="-240" w:firstLine="454" w:leftChars="-100" w:rightChars="-100" w:firstLineChars="189"/>
        <w:rPr>
          <w:rFonts w:ascii="宋体" w:hAnsi="宋体" w:cs="宋体"/>
          <w:lang w:eastAsia="zh-CN"/>
        </w:rPr>
      </w:pPr>
      <w:r>
        <w:rPr>
          <w:rFonts w:ascii="宋体" w:hAnsi="宋体" w:cs="宋体" w:hint="eastAsia"/>
          <w:color w:val="000000"/>
          <w:lang w:eastAsia="zh-CN"/>
        </w:rPr>
        <w:t>由发包人按</w:t>
      </w:r>
      <w:r>
        <w:rPr>
          <w:rFonts w:ascii="宋体" w:hAnsi="宋体" w:cs="宋体" w:hint="eastAsia"/>
          <w:color w:val="000000"/>
          <w:u w:val="single"/>
          <w:lang w:eastAsia="zh-CN"/>
        </w:rPr>
        <w:t xml:space="preserve">                     </w:t>
      </w:r>
      <w:r>
        <w:rPr>
          <w:rFonts w:ascii="宋体" w:hAnsi="宋体" w:cs="宋体" w:hint="eastAsia"/>
          <w:color w:val="000000"/>
          <w:lang w:eastAsia="zh-CN"/>
        </w:rPr>
        <w:t>（</w:t>
      </w:r>
      <w:r>
        <w:rPr>
          <w:rFonts w:ascii="Wingdings" w:hAnsi="Wingdings" w:cs="宋体"/>
          <w:color w:val="000000"/>
        </w:rPr>
        <w:sym w:font="Wingdings" w:char="F0A8"/>
      </w:r>
      <w:r>
        <w:rPr>
          <w:rFonts w:ascii="宋体" w:hAnsi="宋体" w:cs="宋体" w:hint="eastAsia"/>
          <w:color w:val="000000"/>
          <w:lang w:eastAsia="zh-CN"/>
        </w:rPr>
        <w:t>国家标准</w:t>
      </w:r>
      <w:r>
        <w:rPr>
          <w:rFonts w:ascii="Wingdings" w:hAnsi="Wingdings" w:cs="宋体"/>
          <w:color w:val="000000"/>
        </w:rPr>
        <w:sym w:font="Wingdings" w:char="F0A8"/>
      </w:r>
      <w:r>
        <w:rPr>
          <w:rFonts w:ascii="宋体" w:hAnsi="宋体" w:cs="宋体" w:hint="eastAsia"/>
          <w:color w:val="000000"/>
          <w:lang w:eastAsia="zh-CN"/>
        </w:rPr>
        <w:t>行业标准</w:t>
      </w:r>
      <w:r>
        <w:rPr>
          <w:rFonts w:ascii="Wingdings" w:hAnsi="Wingdings" w:cs="宋体"/>
          <w:color w:val="000000"/>
        </w:rPr>
        <w:sym w:font="Wingdings" w:char="F0A8"/>
      </w:r>
      <w:r>
        <w:rPr>
          <w:rFonts w:ascii="宋体" w:hAnsi="宋体" w:cs="宋体" w:hint="eastAsia"/>
          <w:color w:val="000000"/>
          <w:lang w:eastAsia="zh-CN"/>
        </w:rPr>
        <w:t>地方标准）中</w:t>
      </w:r>
      <w:r>
        <w:rPr>
          <w:rFonts w:ascii="宋体" w:hAnsi="宋体" w:cs="宋体" w:hint="eastAsia"/>
          <w:color w:val="000000"/>
          <w:u w:val="single"/>
          <w:lang w:eastAsia="zh-CN"/>
        </w:rPr>
        <w:t xml:space="preserve">    </w:t>
      </w:r>
      <w:r>
        <w:rPr>
          <w:rFonts w:ascii="宋体" w:hAnsi="宋体" w:cs="宋体" w:hint="eastAsia"/>
          <w:color w:val="000000"/>
          <w:lang w:eastAsia="zh-CN"/>
        </w:rPr>
        <w:t>级标准进行考核，相关费用从质量保证金中扣除。</w:t>
      </w:r>
    </w:p>
    <w:p w14:paraId="55876C88">
      <w:pPr>
        <w:snapToGrid w:val="0"/>
        <w:spacing w:line="360" w:lineRule="auto"/>
        <w:ind w:left="-240" w:right="-240" w:firstLine="600" w:leftChars="-100" w:rightChars="-100"/>
        <w:rPr>
          <w:rFonts w:ascii="宋体" w:hAnsi="宋体" w:cs="宋体"/>
          <w:b/>
          <w:lang w:eastAsia="zh-CN"/>
        </w:rPr>
      </w:pPr>
      <w:r>
        <w:rPr>
          <w:rFonts w:ascii="宋体" w:hAnsi="宋体" w:cs="宋体" w:hint="eastAsia"/>
          <w:b/>
          <w:lang w:eastAsia="zh-CN"/>
        </w:rPr>
        <w:t>四、绿化养护期</w:t>
      </w:r>
    </w:p>
    <w:p w14:paraId="437BE2BC">
      <w:pPr>
        <w:snapToGrid w:val="0"/>
        <w:spacing w:line="360" w:lineRule="auto"/>
        <w:ind w:left="-240" w:right="-240" w:firstLine="600" w:leftChars="-100" w:rightChars="-100"/>
        <w:rPr>
          <w:rFonts w:ascii="宋体" w:hAnsi="宋体" w:cs="宋体"/>
          <w:color w:val="31849B"/>
          <w:lang w:eastAsia="zh-CN"/>
        </w:rPr>
      </w:pPr>
      <w:r>
        <w:rPr>
          <w:rFonts w:ascii="宋体" w:hAnsi="宋体" w:cs="宋体" w:hint="eastAsia"/>
          <w:color w:val="000000"/>
          <w:lang w:eastAsia="zh-CN"/>
        </w:rPr>
        <w:t>绿化养护期</w:t>
      </w:r>
      <w:r>
        <w:rPr>
          <w:rFonts w:ascii="宋体" w:hAnsi="宋体" w:cs="宋体" w:hint="eastAsia"/>
          <w:color w:val="000000"/>
          <w:u w:val="single"/>
          <w:lang w:eastAsia="zh-CN"/>
        </w:rPr>
        <w:t xml:space="preserve">    </w:t>
      </w:r>
      <w:r>
        <w:rPr>
          <w:rFonts w:ascii="宋体" w:hAnsi="宋体" w:cs="宋体" w:hint="eastAsia"/>
          <w:color w:val="000000"/>
          <w:lang w:eastAsia="zh-CN"/>
        </w:rPr>
        <w:t>个月</w:t>
      </w:r>
      <w:r>
        <w:rPr>
          <w:rFonts w:ascii="宋体" w:hAnsi="宋体" w:cs="宋体" w:hint="eastAsia"/>
          <w:lang w:eastAsia="zh-CN"/>
        </w:rPr>
        <w:t>，</w:t>
      </w:r>
      <w:r>
        <w:rPr>
          <w:rFonts w:ascii="宋体" w:hAnsi="宋体" w:cs="宋体" w:hint="eastAsia"/>
          <w:color w:val="000000"/>
          <w:lang w:eastAsia="zh-CN"/>
        </w:rPr>
        <w:t>从工程竣工验收合格之日起计算</w:t>
      </w:r>
      <w:r>
        <w:rPr>
          <w:rFonts w:ascii="宋体" w:hAnsi="宋体" w:cs="宋体" w:hint="eastAsia"/>
          <w:lang w:eastAsia="zh-CN"/>
        </w:rPr>
        <w:t>。</w:t>
      </w:r>
    </w:p>
    <w:p w14:paraId="4E03A7E5">
      <w:pPr>
        <w:snapToGrid w:val="0"/>
        <w:spacing w:line="360" w:lineRule="auto"/>
        <w:ind w:left="-240" w:right="-240" w:firstLine="600" w:leftChars="-100" w:rightChars="-100"/>
        <w:rPr>
          <w:rFonts w:ascii="宋体" w:hAnsi="宋体" w:cs="宋体"/>
          <w:b/>
          <w:lang w:eastAsia="zh-CN"/>
        </w:rPr>
      </w:pPr>
      <w:r>
        <w:rPr>
          <w:rFonts w:ascii="宋体" w:hAnsi="宋体" w:cs="宋体" w:hint="eastAsia"/>
          <w:b/>
          <w:lang w:eastAsia="zh-CN"/>
        </w:rPr>
        <w:t>五、养护责任</w:t>
      </w:r>
    </w:p>
    <w:p w14:paraId="008097B8">
      <w:pPr>
        <w:snapToGrid w:val="0"/>
        <w:spacing w:line="360" w:lineRule="auto"/>
        <w:ind w:left="-240" w:right="-240" w:firstLine="600" w:leftChars="-100" w:rightChars="-100"/>
        <w:rPr>
          <w:rFonts w:ascii="宋体" w:hAnsi="宋体" w:cs="宋体"/>
          <w:lang w:eastAsia="zh-CN"/>
        </w:rPr>
      </w:pPr>
      <w:r>
        <w:rPr>
          <w:rFonts w:ascii="宋体" w:hAnsi="宋体" w:cs="宋体" w:hint="eastAsia"/>
          <w:lang w:eastAsia="zh-CN"/>
        </w:rPr>
        <w:t>1．为确保养护质量，承包人应安排专业队伍和人员进行养护管理。</w:t>
      </w:r>
    </w:p>
    <w:p w14:paraId="3037941A">
      <w:pPr>
        <w:snapToGrid w:val="0"/>
        <w:spacing w:line="360" w:lineRule="auto"/>
        <w:ind w:left="-240" w:right="-240" w:firstLine="600" w:leftChars="-100" w:rightChars="-100"/>
        <w:rPr>
          <w:rFonts w:ascii="宋体" w:hAnsi="宋体" w:cs="宋体"/>
          <w:lang w:eastAsia="zh-CN"/>
        </w:rPr>
      </w:pPr>
      <w:r>
        <w:rPr>
          <w:rFonts w:ascii="宋体" w:hAnsi="宋体" w:cs="宋体" w:hint="eastAsia"/>
          <w:lang w:eastAsia="zh-CN"/>
        </w:rPr>
        <w:t>2．承包人在养护过程中应采取安全措施，避免造成对第三方人身和财产的损害。因承包人操作不当、管理不善而造成人身伤害或财产损失的，由承包人承担。发生紧急事故需处置的，承包人在接到事故通知后，应当立即到达事故现场处置。</w:t>
      </w:r>
    </w:p>
    <w:p w14:paraId="75C9653A">
      <w:pPr>
        <w:snapToGrid w:val="0"/>
        <w:spacing w:line="360" w:lineRule="auto"/>
        <w:ind w:left="-240" w:right="-240" w:firstLine="600" w:leftChars="-100" w:rightChars="-100"/>
        <w:rPr>
          <w:rFonts w:ascii="宋体" w:hAnsi="宋体" w:cs="宋体"/>
          <w:color w:val="000000"/>
          <w:lang w:eastAsia="zh-CN"/>
        </w:rPr>
      </w:pPr>
      <w:r>
        <w:rPr>
          <w:rFonts w:ascii="宋体" w:hAnsi="宋体" w:cs="宋体" w:hint="eastAsia"/>
          <w:lang w:eastAsia="zh-CN"/>
        </w:rPr>
        <w:t>3．</w:t>
      </w:r>
      <w:r>
        <w:rPr>
          <w:rFonts w:ascii="宋体" w:hAnsi="宋体" w:cs="宋体" w:hint="eastAsia"/>
          <w:color w:val="000000"/>
          <w:lang w:eastAsia="zh-CN"/>
        </w:rPr>
        <w:t>苗木成活率按合同约定执行，发生苗木等植物材料死亡，须按原设计品种和规格及时更换，更换费用由承包人承担。</w:t>
      </w:r>
    </w:p>
    <w:p w14:paraId="24DBB9A5">
      <w:pPr>
        <w:snapToGrid w:val="0"/>
        <w:spacing w:line="360" w:lineRule="auto"/>
        <w:ind w:left="-240" w:right="-240" w:firstLine="600" w:leftChars="-100" w:rightChars="-100"/>
        <w:rPr>
          <w:rFonts w:ascii="宋体" w:hAnsi="宋体" w:cs="宋体"/>
          <w:color w:val="000000"/>
          <w:lang w:eastAsia="zh-CN"/>
        </w:rPr>
      </w:pPr>
      <w:r>
        <w:rPr>
          <w:rFonts w:ascii="宋体" w:hAnsi="宋体" w:cs="宋体" w:hint="eastAsia"/>
          <w:lang w:eastAsia="zh-CN"/>
        </w:rPr>
        <w:t>4．绿化养护期满后，由发包人组织验收。</w:t>
      </w:r>
    </w:p>
    <w:p w14:paraId="1478E1B9">
      <w:pPr>
        <w:snapToGrid w:val="0"/>
        <w:spacing w:line="360" w:lineRule="auto"/>
        <w:ind w:left="-240" w:right="-240" w:firstLine="600" w:leftChars="-100" w:rightChars="-100"/>
        <w:rPr>
          <w:rFonts w:ascii="宋体" w:hAnsi="宋体" w:cs="宋体"/>
          <w:color w:val="000000"/>
          <w:u w:val="single"/>
          <w:lang w:eastAsia="zh-CN"/>
        </w:rPr>
      </w:pPr>
      <w:r>
        <w:rPr>
          <w:rFonts w:ascii="宋体" w:hAnsi="宋体" w:cs="宋体" w:hint="eastAsia"/>
          <w:lang w:eastAsia="zh-CN"/>
        </w:rPr>
        <w:t>5．</w:t>
      </w:r>
      <w:r>
        <w:rPr>
          <w:rFonts w:ascii="宋体" w:hAnsi="宋体" w:cs="宋体" w:hint="eastAsia"/>
          <w:color w:val="000000"/>
          <w:lang w:eastAsia="zh-CN"/>
        </w:rPr>
        <w:t>其他责任约定：</w:t>
      </w:r>
      <w:r>
        <w:rPr>
          <w:rFonts w:ascii="宋体" w:hAnsi="宋体" w:cs="宋体" w:hint="eastAsia"/>
          <w:color w:val="000000"/>
          <w:u w:val="single"/>
          <w:lang w:eastAsia="zh-CN"/>
        </w:rPr>
        <w:t xml:space="preserve">                                  </w:t>
      </w:r>
    </w:p>
    <w:p w14:paraId="5AF2D387">
      <w:pPr>
        <w:snapToGrid w:val="0"/>
        <w:spacing w:line="360" w:lineRule="auto"/>
        <w:ind w:left="-240" w:right="-240" w:leftChars="-100" w:rightChars="-100"/>
        <w:rPr>
          <w:rFonts w:ascii="宋体" w:hAnsi="宋体" w:cs="宋体"/>
          <w:lang w:eastAsia="zh-CN"/>
        </w:rPr>
      </w:pPr>
      <w:r>
        <w:rPr>
          <w:rFonts w:ascii="宋体" w:hAnsi="宋体" w:cs="宋体" w:hint="eastAsia"/>
          <w:u w:val="single"/>
          <w:lang w:eastAsia="zh-CN"/>
        </w:rPr>
        <w:t xml:space="preserve">                                                       </w:t>
      </w:r>
      <w:r>
        <w:rPr>
          <w:rFonts w:ascii="宋体" w:hAnsi="宋体" w:cs="宋体" w:hint="eastAsia"/>
          <w:color w:val="000000"/>
          <w:lang w:eastAsia="zh-CN"/>
        </w:rPr>
        <w:t>。</w:t>
      </w:r>
    </w:p>
    <w:p w14:paraId="22CBBE46">
      <w:pPr>
        <w:snapToGrid w:val="0"/>
        <w:spacing w:line="360" w:lineRule="auto"/>
        <w:ind w:left="-240" w:right="-240" w:firstLine="600" w:leftChars="-100" w:rightChars="-100"/>
        <w:rPr>
          <w:rFonts w:ascii="宋体" w:hAnsi="宋体" w:cs="宋体"/>
          <w:b/>
          <w:lang w:eastAsia="zh-CN"/>
        </w:rPr>
      </w:pPr>
      <w:r>
        <w:rPr>
          <w:rFonts w:ascii="宋体" w:hAnsi="宋体" w:cs="宋体" w:hint="eastAsia"/>
          <w:b/>
          <w:lang w:eastAsia="zh-CN"/>
        </w:rPr>
        <w:t>六、养护费用</w:t>
      </w:r>
    </w:p>
    <w:p w14:paraId="48764CBB">
      <w:pPr>
        <w:snapToGrid w:val="0"/>
        <w:spacing w:line="360" w:lineRule="auto"/>
        <w:ind w:left="-240" w:right="-240" w:firstLine="600" w:leftChars="-100" w:rightChars="-100"/>
        <w:rPr>
          <w:rFonts w:ascii="宋体" w:hAnsi="宋体" w:cs="宋体"/>
          <w:lang w:eastAsia="zh-CN"/>
        </w:rPr>
      </w:pPr>
      <w:r>
        <w:rPr>
          <w:rFonts w:ascii="宋体" w:hAnsi="宋体" w:cs="宋体" w:hint="eastAsia"/>
          <w:lang w:eastAsia="zh-CN"/>
        </w:rPr>
        <w:t>养护费用由承包人承担。</w:t>
      </w:r>
    </w:p>
    <w:p w14:paraId="297D6557">
      <w:pPr>
        <w:snapToGrid w:val="0"/>
        <w:spacing w:line="360" w:lineRule="auto"/>
        <w:ind w:left="-240" w:right="-240" w:leftChars="-100" w:rightChars="-100"/>
        <w:rPr>
          <w:rFonts w:ascii="宋体" w:hAnsi="宋体" w:cs="宋体"/>
          <w:lang w:eastAsia="zh-CN"/>
        </w:rPr>
      </w:pPr>
      <w:r>
        <w:rPr>
          <w:rFonts w:ascii="宋体" w:hAnsi="宋体" w:cs="宋体" w:hint="eastAsia"/>
          <w:b/>
          <w:lang w:eastAsia="zh-CN"/>
        </w:rPr>
        <w:t xml:space="preserve">    七、其他约定</w:t>
      </w:r>
      <w:r>
        <w:rPr>
          <w:rFonts w:ascii="宋体" w:hAnsi="宋体" w:cs="宋体" w:hint="eastAsia"/>
          <w:lang w:eastAsia="zh-CN"/>
        </w:rPr>
        <w:t>：</w:t>
      </w:r>
      <w:r>
        <w:rPr>
          <w:rFonts w:ascii="宋体" w:hAnsi="宋体" w:cs="宋体" w:hint="eastAsia"/>
          <w:u w:val="single"/>
          <w:lang w:eastAsia="zh-CN"/>
        </w:rPr>
        <w:t xml:space="preserve">                                      </w:t>
      </w:r>
    </w:p>
    <w:p w14:paraId="008B370E">
      <w:pPr>
        <w:snapToGrid w:val="0"/>
        <w:spacing w:line="360" w:lineRule="auto"/>
        <w:ind w:left="-240" w:right="-240" w:leftChars="-100" w:rightChars="-100"/>
        <w:rPr>
          <w:rFonts w:ascii="宋体" w:hAnsi="宋体" w:cs="宋体"/>
          <w:lang w:eastAsia="zh-CN"/>
        </w:rPr>
      </w:pPr>
      <w:r>
        <w:rPr>
          <w:rFonts w:ascii="宋体" w:hAnsi="宋体" w:cs="宋体" w:hint="eastAsia"/>
          <w:u w:val="single"/>
          <w:lang w:eastAsia="zh-CN"/>
        </w:rPr>
        <w:t xml:space="preserve">                                                       </w:t>
      </w:r>
      <w:r>
        <w:rPr>
          <w:rFonts w:ascii="宋体" w:hAnsi="宋体" w:cs="宋体" w:hint="eastAsia"/>
          <w:lang w:eastAsia="zh-CN"/>
        </w:rPr>
        <w:t>。</w:t>
      </w:r>
    </w:p>
    <w:p w14:paraId="332048AF">
      <w:pPr>
        <w:snapToGrid w:val="0"/>
        <w:spacing w:line="360" w:lineRule="auto"/>
        <w:ind w:left="-240" w:right="-240" w:firstLine="600" w:leftChars="-100" w:rightChars="-100"/>
        <w:rPr>
          <w:rFonts w:ascii="宋体" w:hAnsi="宋体" w:cs="宋体"/>
          <w:lang w:eastAsia="zh-CN"/>
        </w:rPr>
      </w:pPr>
      <w:r>
        <w:rPr>
          <w:rFonts w:ascii="宋体" w:hAnsi="宋体" w:cs="宋体" w:hint="eastAsia"/>
          <w:lang w:eastAsia="zh-CN"/>
        </w:rPr>
        <w:t>绿化养护责任书由发包人、承包人在工程竣工验收前共同签署，作为施工合同附件，其有效期限至绿化养护期满。</w:t>
      </w:r>
    </w:p>
    <w:p w14:paraId="285967A6">
      <w:pPr>
        <w:snapToGrid w:val="0"/>
        <w:spacing w:line="360" w:lineRule="auto"/>
        <w:ind w:left="-240" w:right="-240" w:leftChars="-100" w:rightChars="-100"/>
        <w:rPr>
          <w:rFonts w:ascii="宋体" w:hAnsi="宋体" w:cs="宋体"/>
          <w:lang w:eastAsia="zh-CN"/>
        </w:rPr>
      </w:pPr>
    </w:p>
    <w:p w14:paraId="7D39D25A">
      <w:pPr>
        <w:spacing w:line="360" w:lineRule="auto"/>
        <w:ind w:left="-240" w:right="-240" w:leftChars="-100" w:rightChars="-100"/>
        <w:rPr>
          <w:rFonts w:ascii="宋体" w:hAnsi="宋体" w:cs="宋体"/>
          <w:lang w:eastAsia="zh-CN"/>
        </w:rPr>
      </w:pPr>
    </w:p>
    <w:p w14:paraId="3166D14B">
      <w:pPr>
        <w:spacing w:line="360" w:lineRule="auto"/>
        <w:ind w:left="-240" w:right="-240" w:leftChars="-100" w:rightChars="-100"/>
        <w:rPr>
          <w:rFonts w:ascii="宋体" w:hAnsi="宋体" w:cs="宋体"/>
          <w:b/>
          <w:color w:val="000000"/>
          <w:lang w:eastAsia="zh-CN"/>
        </w:rPr>
      </w:pPr>
    </w:p>
    <w:p w14:paraId="118E45CE">
      <w:pPr>
        <w:spacing w:line="360" w:lineRule="auto"/>
        <w:ind w:left="-240" w:right="-240" w:leftChars="-100" w:rightChars="-100"/>
        <w:rPr>
          <w:rFonts w:ascii="宋体" w:hAnsi="宋体" w:cs="宋体"/>
          <w:lang w:eastAsia="zh-CN"/>
        </w:rPr>
      </w:pPr>
    </w:p>
    <w:p w14:paraId="6A249C13">
      <w:pPr>
        <w:spacing w:line="360" w:lineRule="auto"/>
        <w:ind w:left="-240" w:right="-240" w:leftChars="-100" w:rightChars="-100"/>
        <w:rPr>
          <w:rFonts w:ascii="宋体" w:hAnsi="宋体" w:cs="宋体"/>
          <w:lang w:eastAsia="zh-CN"/>
        </w:rPr>
      </w:pPr>
      <w:r>
        <w:rPr>
          <w:rFonts w:ascii="Calibri" w:hAnsi="Calibri"/>
          <w:sz w:val="21"/>
          <w:szCs w:val="22"/>
        </w:rPr>
        <mc:AlternateContent>
          <mc:Choice Requires="wps">
            <w:drawing>
              <wp:anchor distT="0" distB="0" distL="114300" distR="114300" simplePos="0" relativeHeight="251658240" behindDoc="0" locked="0" layoutInCell="1" allowOverlap="1">
                <wp:simplePos x="0" y="0"/>
                <wp:positionH relativeFrom="column">
                  <wp:posOffset>-287020</wp:posOffset>
                </wp:positionH>
                <wp:positionV relativeFrom="paragraph">
                  <wp:posOffset>201295</wp:posOffset>
                </wp:positionV>
                <wp:extent cx="2865755" cy="2677795"/>
                <wp:effectExtent l="3175" t="3175" r="0" b="0"/>
                <wp:wrapNone/>
                <wp:docPr id="9" name="文本框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65755" cy="2677795"/>
                        </a:xfrm>
                        <a:prstGeom prst="rect">
                          <a:avLst/>
                        </a:prstGeom>
                        <a:solidFill>
                          <a:srgbClr val="FFFFFF"/>
                        </a:solidFill>
                        <a:ln>
                          <a:noFill/>
                        </a:ln>
                      </wps:spPr>
                      <wps:txbx>
                        <w:txbxContent>
                          <w:p>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发包人：（公章）</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法定代表人或其委托代理人：（签字）</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地  址：</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电  话：</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pPr>
                              <w:ind w:firstLine="560"/>
                              <w:rPr>
                                <w:rFonts w:ascii="仿宋_GB2312" w:eastAsia="仿宋_GB2312" w:hAnsi="Calibri"/>
                                <w:sz w:val="28"/>
                                <w:szCs w:val="28"/>
                                <w:u w:val="single"/>
                                <w:lang w:eastAsia="zh-CN"/>
                              </w:rPr>
                            </w:pPr>
                            <w:r>
                              <w:rPr>
                                <w:rFonts w:ascii="仿宋_GB2312" w:eastAsia="仿宋_GB2312" w:hAnsi="仿宋" w:cs="仿宋" w:hint="eastAsia"/>
                                <w:sz w:val="28"/>
                                <w:szCs w:val="28"/>
                                <w:lang w:eastAsia="zh-CN"/>
                              </w:rPr>
                              <w:t>日  期：</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年</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月</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日</w:t>
                            </w:r>
                          </w:p>
                        </w:txbxContent>
                      </wps:txbx>
                      <wps:bodyPr rot="0" vert="horz" wrap="square" anchor="t" anchorCtr="0" upright="1"/>
                    </wps:wsp>
                  </a:graphicData>
                </a:graphic>
              </wp:anchor>
            </w:drawing>
          </mc:Choice>
          <mc:Fallback>
            <w:pict>
              <v:shape id="文本框 14" o:spid="_x0000_s1037" type="#_x0000_t202" style="width:225.65pt;height:210.85pt;margin-top:15.85pt;margin-left:-22.6pt;mso-height-relative:page;mso-width-relative:page;position:absolute;z-index:251659264" coordsize="21600,21600" filled="t" fillcolor="white" stroked="f">
                <o:lock v:ext="edit" aspectratio="f"/>
                <v:textbox>
                  <w:txbxContent>
                    <w:p w14:paraId="2872F738">
                      <w:pPr>
                        <w:ind w:firstLine="560"/>
                        <w:rPr>
                          <w:rFonts w:ascii="仿宋_GB2312" w:eastAsia="仿宋_GB2312" w:hAnsi="仿宋" w:cs="仿宋"/>
                          <w:sz w:val="28"/>
                          <w:szCs w:val="28"/>
                          <w:lang w:eastAsia="zh-CN"/>
                        </w:rPr>
                      </w:pPr>
                      <w:permStart w:id="1497" w:edGrp="everyone"/>
                      <w:r>
                        <w:rPr>
                          <w:rFonts w:ascii="仿宋_GB2312" w:eastAsia="仿宋_GB2312" w:hAnsi="仿宋" w:cs="仿宋" w:hint="eastAsia"/>
                          <w:sz w:val="28"/>
                          <w:szCs w:val="28"/>
                          <w:lang w:eastAsia="zh-CN"/>
                        </w:rPr>
                        <w:t>发包人：（公章）</w:t>
                      </w:r>
                    </w:p>
                    <w:p w14:paraId="5B6C0905">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法定代表人或其委托代理人：（签字）</w:t>
                      </w:r>
                      <w:r>
                        <w:rPr>
                          <w:rFonts w:ascii="仿宋_GB2312" w:eastAsia="仿宋_GB2312" w:hAnsi="仿宋" w:cs="仿宋" w:hint="eastAsia"/>
                          <w:sz w:val="28"/>
                          <w:szCs w:val="28"/>
                          <w:u w:val="single"/>
                          <w:lang w:eastAsia="zh-CN"/>
                        </w:rPr>
                        <w:t xml:space="preserve">                       </w:t>
                      </w:r>
                    </w:p>
                    <w:p w14:paraId="138DCF74">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地  址：</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14:paraId="6F441A59">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电  话：</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14:paraId="7B1AFB52">
                      <w:pPr>
                        <w:ind w:firstLine="560"/>
                        <w:rPr>
                          <w:rFonts w:ascii="仿宋_GB2312" w:eastAsia="仿宋_GB2312" w:hAnsi="Calibri"/>
                          <w:sz w:val="28"/>
                          <w:szCs w:val="28"/>
                          <w:u w:val="single"/>
                          <w:lang w:eastAsia="zh-CN"/>
                        </w:rPr>
                      </w:pPr>
                      <w:r>
                        <w:rPr>
                          <w:rFonts w:ascii="仿宋_GB2312" w:eastAsia="仿宋_GB2312" w:hAnsi="仿宋" w:cs="仿宋" w:hint="eastAsia"/>
                          <w:sz w:val="28"/>
                          <w:szCs w:val="28"/>
                          <w:lang w:eastAsia="zh-CN"/>
                        </w:rPr>
                        <w:t>日  期：</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年</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月</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日</w:t>
                      </w:r>
                      <w:permEnd w:id="1497"/>
                    </w:p>
                  </w:txbxContent>
                </v:textbox>
              </v:shape>
            </w:pict>
          </mc:Fallback>
        </mc:AlternateContent>
      </w:r>
      <w:r>
        <w:rPr>
          <w:rFonts w:ascii="Calibri" w:hAnsi="Calibri"/>
          <w:sz w:val="21"/>
          <w:szCs w:val="22"/>
        </w:rPr>
        <mc:AlternateContent>
          <mc:Choice Requires="wps">
            <w:drawing>
              <wp:anchor distT="0" distB="0" distL="114300" distR="114300" simplePos="0" relativeHeight="251660288" behindDoc="0" locked="0" layoutInCell="1" allowOverlap="1">
                <wp:simplePos x="0" y="0"/>
                <wp:positionH relativeFrom="column">
                  <wp:posOffset>2559050</wp:posOffset>
                </wp:positionH>
                <wp:positionV relativeFrom="paragraph">
                  <wp:posOffset>205740</wp:posOffset>
                </wp:positionV>
                <wp:extent cx="2865755" cy="2667635"/>
                <wp:effectExtent l="1270" t="0" r="0" b="1270"/>
                <wp:wrapNone/>
                <wp:docPr id="8" name="文本框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65755" cy="2667635"/>
                        </a:xfrm>
                        <a:prstGeom prst="rect">
                          <a:avLst/>
                        </a:prstGeom>
                        <a:solidFill>
                          <a:srgbClr val="FFFFFF"/>
                        </a:solidFill>
                        <a:ln>
                          <a:noFill/>
                        </a:ln>
                      </wps:spPr>
                      <wps:txbx>
                        <w:txbxContent>
                          <w:p>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承包人：（公章）</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法定代表人或其委托代理人：（签字）</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地  址：</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电  话：</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pPr>
                              <w:ind w:firstLine="560"/>
                              <w:rPr>
                                <w:rFonts w:ascii="Calibri" w:eastAsia="宋体" w:hAnsi="Calibri"/>
                                <w:sz w:val="28"/>
                                <w:szCs w:val="28"/>
                                <w:u w:val="single"/>
                                <w:lang w:eastAsia="zh-CN"/>
                              </w:rPr>
                            </w:pPr>
                            <w:r>
                              <w:rPr>
                                <w:rFonts w:ascii="仿宋_GB2312" w:eastAsia="仿宋_GB2312" w:hAnsi="仿宋" w:cs="仿宋" w:hint="eastAsia"/>
                                <w:sz w:val="28"/>
                                <w:szCs w:val="28"/>
                                <w:lang w:eastAsia="zh-CN"/>
                              </w:rPr>
                              <w:t>日  期：</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年</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月</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日</w:t>
                            </w:r>
                          </w:p>
                        </w:txbxContent>
                      </wps:txbx>
                      <wps:bodyPr rot="0" vert="horz" wrap="square" anchor="t" anchorCtr="0" upright="1"/>
                    </wps:wsp>
                  </a:graphicData>
                </a:graphic>
              </wp:anchor>
            </w:drawing>
          </mc:Choice>
          <mc:Fallback>
            <w:pict>
              <v:shape id="文本框 13" o:spid="_x0000_s1038" type="#_x0000_t202" style="width:225.65pt;height:210.05pt;margin-top:16.2pt;margin-left:201.5pt;mso-height-relative:page;mso-width-relative:page;position:absolute;z-index:251661312" coordsize="21600,21600" filled="t" fillcolor="white" stroked="f">
                <o:lock v:ext="edit" aspectratio="f"/>
                <v:textbox>
                  <w:txbxContent>
                    <w:p w14:paraId="759C759C">
                      <w:pPr>
                        <w:ind w:firstLine="560"/>
                        <w:rPr>
                          <w:rFonts w:ascii="仿宋_GB2312" w:eastAsia="仿宋_GB2312" w:hAnsi="仿宋" w:cs="仿宋"/>
                          <w:sz w:val="28"/>
                          <w:szCs w:val="28"/>
                          <w:lang w:eastAsia="zh-CN"/>
                        </w:rPr>
                      </w:pPr>
                      <w:permStart w:id="1498" w:edGrp="everyone"/>
                      <w:r>
                        <w:rPr>
                          <w:rFonts w:ascii="仿宋_GB2312" w:eastAsia="仿宋_GB2312" w:hAnsi="仿宋" w:cs="仿宋" w:hint="eastAsia"/>
                          <w:sz w:val="28"/>
                          <w:szCs w:val="28"/>
                          <w:lang w:eastAsia="zh-CN"/>
                        </w:rPr>
                        <w:t>承包人：（公章）</w:t>
                      </w:r>
                    </w:p>
                    <w:p w14:paraId="0E03348C">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法定代表人或其委托代理人：（签字）</w:t>
                      </w:r>
                      <w:r>
                        <w:rPr>
                          <w:rFonts w:ascii="仿宋_GB2312" w:eastAsia="仿宋_GB2312" w:hAnsi="仿宋" w:cs="仿宋" w:hint="eastAsia"/>
                          <w:sz w:val="28"/>
                          <w:szCs w:val="28"/>
                          <w:u w:val="single"/>
                          <w:lang w:eastAsia="zh-CN"/>
                        </w:rPr>
                        <w:t xml:space="preserve">                       </w:t>
                      </w:r>
                    </w:p>
                    <w:p w14:paraId="75C0418B">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地  址：</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14:paraId="4A71EF0A">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电  话：</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14:paraId="108B7025">
                      <w:pPr>
                        <w:ind w:firstLine="560"/>
                        <w:rPr>
                          <w:rFonts w:ascii="Calibri" w:eastAsia="宋体" w:hAnsi="Calibri"/>
                          <w:sz w:val="28"/>
                          <w:szCs w:val="28"/>
                          <w:u w:val="single"/>
                          <w:lang w:eastAsia="zh-CN"/>
                        </w:rPr>
                      </w:pPr>
                      <w:r>
                        <w:rPr>
                          <w:rFonts w:ascii="仿宋_GB2312" w:eastAsia="仿宋_GB2312" w:hAnsi="仿宋" w:cs="仿宋" w:hint="eastAsia"/>
                          <w:sz w:val="28"/>
                          <w:szCs w:val="28"/>
                          <w:lang w:eastAsia="zh-CN"/>
                        </w:rPr>
                        <w:t>日  期：</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年</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月</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日</w:t>
                      </w:r>
                      <w:permEnd w:id="1498"/>
                    </w:p>
                  </w:txbxContent>
                </v:textbox>
              </v:shape>
            </w:pict>
          </mc:Fallback>
        </mc:AlternateContent>
      </w:r>
    </w:p>
    <w:p w14:paraId="3F225538">
      <w:pPr>
        <w:spacing w:line="360" w:lineRule="auto"/>
        <w:ind w:left="-240" w:right="-240" w:leftChars="-100" w:rightChars="-100"/>
        <w:rPr>
          <w:rFonts w:ascii="宋体" w:hAnsi="宋体" w:cs="宋体"/>
          <w:lang w:eastAsia="zh-CN"/>
        </w:rPr>
      </w:pPr>
    </w:p>
    <w:p w14:paraId="697ADCA8">
      <w:pPr>
        <w:spacing w:line="360" w:lineRule="auto"/>
        <w:ind w:left="-240" w:right="-240" w:leftChars="-100" w:rightChars="-100"/>
        <w:rPr>
          <w:rFonts w:ascii="宋体" w:hAnsi="宋体" w:cs="宋体"/>
          <w:lang w:eastAsia="zh-CN"/>
        </w:rPr>
      </w:pPr>
    </w:p>
    <w:p w14:paraId="786617A0">
      <w:pPr>
        <w:spacing w:line="360" w:lineRule="auto"/>
        <w:ind w:left="-240" w:right="-240" w:leftChars="-100" w:rightChars="-100"/>
        <w:rPr>
          <w:rFonts w:ascii="宋体" w:hAnsi="宋体" w:cs="宋体"/>
          <w:lang w:eastAsia="zh-CN"/>
        </w:rPr>
      </w:pPr>
    </w:p>
    <w:p w14:paraId="6D8FDBE6">
      <w:pPr>
        <w:spacing w:line="360" w:lineRule="auto"/>
        <w:ind w:left="-240" w:right="-240" w:leftChars="-100" w:rightChars="-100"/>
        <w:rPr>
          <w:rFonts w:ascii="宋体" w:hAnsi="宋体" w:cs="宋体"/>
          <w:lang w:eastAsia="zh-CN"/>
        </w:rPr>
      </w:pPr>
    </w:p>
    <w:p w14:paraId="2C9A3916">
      <w:pPr>
        <w:spacing w:line="360" w:lineRule="auto"/>
        <w:ind w:left="-240" w:right="-240" w:leftChars="-100" w:rightChars="-100"/>
        <w:rPr>
          <w:rFonts w:ascii="宋体" w:hAnsi="宋体" w:cs="宋体"/>
          <w:lang w:eastAsia="zh-CN"/>
        </w:rPr>
      </w:pPr>
    </w:p>
    <w:p w14:paraId="37C2220C">
      <w:pPr>
        <w:spacing w:line="360" w:lineRule="auto"/>
        <w:ind w:left="-240" w:right="-240" w:leftChars="-100" w:rightChars="-100"/>
        <w:rPr>
          <w:rFonts w:ascii="宋体" w:hAnsi="宋体" w:cs="宋体"/>
          <w:lang w:eastAsia="zh-CN"/>
        </w:rPr>
      </w:pPr>
    </w:p>
    <w:p w14:paraId="76ED98D5">
      <w:pPr>
        <w:spacing w:line="360" w:lineRule="auto"/>
        <w:ind w:left="-240" w:right="-240" w:leftChars="-100" w:rightChars="-100"/>
        <w:rPr>
          <w:rFonts w:ascii="宋体" w:hAnsi="宋体" w:cs="宋体"/>
          <w:lang w:eastAsia="zh-CN"/>
        </w:rPr>
      </w:pPr>
    </w:p>
    <w:p w14:paraId="28894058">
      <w:pPr>
        <w:spacing w:line="360" w:lineRule="auto"/>
        <w:ind w:left="-240" w:right="-240" w:leftChars="-100" w:rightChars="-100"/>
        <w:rPr>
          <w:rFonts w:ascii="宋体" w:hAnsi="宋体" w:cs="宋体"/>
          <w:lang w:eastAsia="zh-CN"/>
        </w:rPr>
      </w:pPr>
    </w:p>
    <w:p w14:paraId="2199921F">
      <w:pPr>
        <w:spacing w:line="360" w:lineRule="auto"/>
        <w:ind w:left="-240" w:right="-240" w:leftChars="-100" w:rightChars="-100"/>
        <w:rPr>
          <w:rFonts w:ascii="宋体" w:hAnsi="宋体" w:cs="宋体"/>
          <w:lang w:eastAsia="zh-CN"/>
        </w:rPr>
      </w:pPr>
    </w:p>
    <w:p w14:paraId="267B8EBF">
      <w:pPr>
        <w:spacing w:line="360" w:lineRule="auto"/>
        <w:ind w:left="-240" w:right="-240" w:leftChars="-100" w:rightChars="-100"/>
        <w:rPr>
          <w:rFonts w:ascii="宋体" w:hAnsi="宋体" w:cs="宋体"/>
          <w:lang w:eastAsia="zh-CN"/>
        </w:rPr>
      </w:pPr>
    </w:p>
    <w:p w14:paraId="403640D2">
      <w:pPr>
        <w:spacing w:line="360" w:lineRule="auto"/>
        <w:ind w:left="-240" w:right="-240" w:leftChars="-100" w:rightChars="-100"/>
        <w:rPr>
          <w:rFonts w:ascii="宋体" w:hAnsi="宋体" w:cs="宋体"/>
          <w:lang w:eastAsia="zh-CN"/>
        </w:rPr>
      </w:pPr>
    </w:p>
    <w:p w14:paraId="0049B825">
      <w:pPr>
        <w:spacing w:line="360" w:lineRule="auto"/>
        <w:ind w:left="-240" w:right="-240" w:leftChars="-100" w:rightChars="-100"/>
        <w:rPr>
          <w:rFonts w:ascii="宋体" w:hAnsi="宋体" w:cs="宋体"/>
          <w:lang w:eastAsia="zh-CN"/>
        </w:rPr>
      </w:pPr>
    </w:p>
    <w:p w14:paraId="5C2B6216">
      <w:pPr>
        <w:spacing w:line="360" w:lineRule="auto"/>
        <w:ind w:left="-240" w:right="-240" w:leftChars="-100" w:rightChars="-100"/>
        <w:rPr>
          <w:rFonts w:ascii="宋体" w:hAnsi="宋体" w:cs="宋体"/>
          <w:lang w:eastAsia="zh-CN"/>
        </w:rPr>
      </w:pPr>
    </w:p>
    <w:p w14:paraId="3B9BB515">
      <w:pPr>
        <w:spacing w:line="360" w:lineRule="auto"/>
        <w:ind w:left="-240" w:right="-240" w:leftChars="-100" w:rightChars="-100"/>
        <w:rPr>
          <w:rFonts w:ascii="宋体" w:hAnsi="宋体" w:cs="宋体"/>
          <w:lang w:eastAsia="zh-CN"/>
        </w:rPr>
      </w:pPr>
    </w:p>
    <w:p w14:paraId="1118CA68">
      <w:pPr>
        <w:spacing w:line="360" w:lineRule="auto"/>
        <w:ind w:left="-240" w:right="-240" w:leftChars="-100" w:rightChars="-100"/>
        <w:rPr>
          <w:rFonts w:ascii="宋体" w:hAnsi="宋体" w:cs="宋体"/>
          <w:lang w:eastAsia="zh-CN"/>
        </w:rPr>
      </w:pPr>
    </w:p>
    <w:p w14:paraId="50BCE2C6">
      <w:pPr>
        <w:spacing w:line="360" w:lineRule="auto"/>
        <w:ind w:left="-240" w:right="-240" w:leftChars="-100" w:rightChars="-100"/>
        <w:rPr>
          <w:rFonts w:ascii="宋体" w:hAnsi="宋体" w:cs="宋体"/>
          <w:lang w:eastAsia="zh-CN"/>
        </w:rPr>
      </w:pPr>
    </w:p>
    <w:p w14:paraId="1099527B">
      <w:pPr>
        <w:spacing w:line="360" w:lineRule="auto"/>
        <w:ind w:left="-240" w:right="-240" w:leftChars="-100" w:rightChars="-100"/>
        <w:rPr>
          <w:rFonts w:ascii="宋体" w:hAnsi="宋体" w:cs="宋体"/>
          <w:lang w:eastAsia="zh-CN"/>
        </w:rPr>
      </w:pPr>
    </w:p>
    <w:p w14:paraId="43B3AD0B">
      <w:pPr>
        <w:spacing w:line="360" w:lineRule="auto"/>
        <w:ind w:left="-240" w:right="-240" w:leftChars="-100" w:rightChars="-100"/>
        <w:rPr>
          <w:rFonts w:ascii="宋体" w:hAnsi="宋体" w:cs="宋体"/>
          <w:lang w:eastAsia="zh-CN"/>
        </w:rPr>
      </w:pPr>
    </w:p>
    <w:p w14:paraId="5793B752">
      <w:pPr>
        <w:spacing w:line="360" w:lineRule="auto"/>
        <w:ind w:left="-240" w:right="-240" w:leftChars="-100" w:rightChars="-100"/>
        <w:rPr>
          <w:rFonts w:ascii="宋体" w:hAnsi="宋体" w:cs="宋体"/>
          <w:lang w:eastAsia="zh-CN"/>
        </w:rPr>
      </w:pPr>
    </w:p>
    <w:p w14:paraId="0A560AF6">
      <w:pPr>
        <w:spacing w:line="360" w:lineRule="auto"/>
        <w:ind w:left="-240" w:right="-240" w:leftChars="-100" w:rightChars="-100"/>
        <w:outlineLvl w:val="1"/>
        <w:rPr>
          <w:rFonts w:ascii="宋体" w:hAnsi="宋体" w:cs="宋体"/>
          <w:color w:val="000000"/>
          <w:lang w:eastAsia="zh-CN"/>
        </w:rPr>
      </w:pPr>
      <w:bookmarkStart w:id="1499" w:name="_Toc732104650"/>
      <w:bookmarkStart w:id="1500" w:name="_Toc1831685531"/>
      <w:bookmarkStart w:id="1501" w:name="_Toc298211660"/>
    </w:p>
    <w:p w14:paraId="47741F6D">
      <w:pPr>
        <w:spacing w:line="360" w:lineRule="auto"/>
        <w:ind w:left="-240" w:right="-240" w:leftChars="-100" w:rightChars="-100"/>
        <w:outlineLvl w:val="1"/>
        <w:rPr>
          <w:rFonts w:ascii="宋体" w:hAnsi="宋体" w:cs="宋体"/>
          <w:b/>
          <w:bCs/>
          <w:color w:val="000000"/>
          <w:lang w:eastAsia="zh-CN"/>
        </w:rPr>
      </w:pPr>
      <w:r>
        <w:rPr>
          <w:rFonts w:ascii="宋体" w:hAnsi="宋体" w:cs="宋体" w:hint="eastAsia"/>
          <w:b/>
          <w:bCs/>
          <w:color w:val="000000"/>
          <w:lang w:eastAsia="zh-CN"/>
        </w:rPr>
        <w:t>附件7：</w:t>
      </w:r>
      <w:bookmarkEnd w:id="1499"/>
      <w:bookmarkEnd w:id="1500"/>
      <w:bookmarkEnd w:id="1501"/>
    </w:p>
    <w:p w14:paraId="01366C75">
      <w:pPr>
        <w:pStyle w:val="Heading2"/>
        <w:spacing w:before="0"/>
        <w:ind w:left="-240" w:right="-240" w:leftChars="-100" w:rightChars="-100"/>
        <w:jc w:val="center"/>
        <w:rPr>
          <w:rFonts w:ascii="宋体" w:hAnsi="宋体" w:cs="宋体"/>
          <w:b w:val="0"/>
          <w:sz w:val="24"/>
          <w:szCs w:val="24"/>
        </w:rPr>
      </w:pPr>
      <w:bookmarkStart w:id="1502" w:name="_Toc2084188277"/>
      <w:bookmarkStart w:id="1503" w:name="_Toc358881767"/>
      <w:r>
        <w:rPr>
          <w:rFonts w:ascii="宋体" w:hAnsi="宋体" w:cs="宋体" w:hint="eastAsia"/>
          <w:b w:val="0"/>
          <w:sz w:val="24"/>
          <w:szCs w:val="24"/>
        </w:rPr>
        <w:t>工程质量保修书</w:t>
      </w:r>
      <w:bookmarkEnd w:id="1502"/>
      <w:bookmarkEnd w:id="1503"/>
    </w:p>
    <w:p w14:paraId="269B2A36">
      <w:pPr>
        <w:snapToGrid w:val="0"/>
        <w:spacing w:line="360" w:lineRule="auto"/>
        <w:ind w:left="-240" w:right="-240" w:firstLine="600" w:leftChars="-100" w:rightChars="-100"/>
        <w:rPr>
          <w:rFonts w:ascii="宋体" w:hAnsi="宋体" w:cs="宋体"/>
          <w:u w:val="single"/>
          <w:lang w:eastAsia="zh-CN"/>
        </w:rPr>
      </w:pPr>
      <w:r>
        <w:rPr>
          <w:rFonts w:ascii="宋体" w:hAnsi="宋体" w:cs="宋体" w:hint="eastAsia"/>
          <w:lang w:eastAsia="zh-CN"/>
        </w:rPr>
        <w:t>发包人和承包人根据《中华人民共和国建筑法》《建设工程质量管理条例》和《园林绿化工程施工及验收规范》</w:t>
      </w:r>
      <w:r>
        <w:rPr>
          <w:rFonts w:ascii="宋体" w:hAnsi="宋体" w:cs="宋体" w:hint="eastAsia"/>
          <w:bCs/>
          <w:lang w:eastAsia="zh-CN"/>
        </w:rPr>
        <w:t>（CJJ82）以及</w:t>
      </w:r>
      <w:r>
        <w:rPr>
          <w:rFonts w:ascii="宋体" w:hAnsi="宋体" w:cs="宋体" w:hint="eastAsia"/>
          <w:bCs/>
          <w:u w:val="single"/>
          <w:lang w:eastAsia="zh-CN"/>
        </w:rPr>
        <w:t xml:space="preserve">            </w:t>
      </w:r>
      <w:r>
        <w:rPr>
          <w:rFonts w:ascii="宋体" w:hAnsi="宋体" w:cs="宋体" w:hint="eastAsia"/>
          <w:bCs/>
          <w:lang w:eastAsia="zh-CN"/>
        </w:rPr>
        <w:t>（地方标准），</w:t>
      </w:r>
      <w:r>
        <w:rPr>
          <w:rFonts w:ascii="宋体" w:hAnsi="宋体" w:cs="宋体" w:hint="eastAsia"/>
          <w:lang w:eastAsia="zh-CN"/>
        </w:rPr>
        <w:t>经协商一致就</w:t>
      </w:r>
      <w:r>
        <w:rPr>
          <w:rFonts w:ascii="宋体" w:hAnsi="宋体" w:cs="宋体" w:hint="eastAsia"/>
          <w:u w:val="single"/>
          <w:lang w:eastAsia="zh-CN"/>
        </w:rPr>
        <w:t xml:space="preserve">                </w:t>
      </w:r>
    </w:p>
    <w:p w14:paraId="02A38416">
      <w:pPr>
        <w:snapToGrid w:val="0"/>
        <w:spacing w:line="360" w:lineRule="auto"/>
        <w:ind w:left="-240" w:right="-240" w:leftChars="-100" w:rightChars="-100"/>
        <w:rPr>
          <w:rFonts w:ascii="宋体" w:hAnsi="宋体" w:cs="宋体"/>
          <w:lang w:eastAsia="zh-CN"/>
        </w:rPr>
      </w:pPr>
      <w:r>
        <w:rPr>
          <w:rFonts w:ascii="宋体" w:hAnsi="宋体" w:cs="宋体" w:hint="eastAsia"/>
          <w:lang w:eastAsia="zh-CN"/>
        </w:rPr>
        <w:t>（工程名称）签订工程质量保修书。</w:t>
      </w:r>
    </w:p>
    <w:p w14:paraId="3D420751">
      <w:pPr>
        <w:snapToGrid w:val="0"/>
        <w:spacing w:line="360" w:lineRule="auto"/>
        <w:ind w:left="-240" w:right="-240" w:firstLine="600" w:leftChars="-100" w:rightChars="-100"/>
        <w:rPr>
          <w:rFonts w:ascii="宋体" w:hAnsi="宋体" w:cs="宋体"/>
          <w:b/>
          <w:lang w:eastAsia="zh-CN"/>
        </w:rPr>
      </w:pPr>
      <w:r>
        <w:rPr>
          <w:rFonts w:ascii="宋体" w:hAnsi="宋体" w:cs="宋体" w:hint="eastAsia"/>
          <w:b/>
          <w:lang w:eastAsia="zh-CN"/>
        </w:rPr>
        <w:t>一、工程质量保修范围和内容</w:t>
      </w:r>
    </w:p>
    <w:p w14:paraId="404C7994">
      <w:pPr>
        <w:snapToGrid w:val="0"/>
        <w:spacing w:line="360" w:lineRule="auto"/>
        <w:ind w:left="-240" w:right="-240" w:firstLine="600" w:leftChars="-100" w:rightChars="-100"/>
        <w:rPr>
          <w:rFonts w:ascii="宋体" w:hAnsi="宋体" w:cs="宋体"/>
          <w:lang w:eastAsia="zh-CN"/>
        </w:rPr>
      </w:pPr>
      <w:r>
        <w:rPr>
          <w:rFonts w:ascii="宋体" w:hAnsi="宋体" w:cs="宋体" w:hint="eastAsia"/>
          <w:lang w:eastAsia="zh-CN"/>
        </w:rPr>
        <w:t>承包人在质量保修期内，按照有关法律规定和合同约定，承担工程质量保修责任。</w:t>
      </w:r>
    </w:p>
    <w:p w14:paraId="71EFF3C4">
      <w:pPr>
        <w:snapToGrid w:val="0"/>
        <w:spacing w:line="360" w:lineRule="auto"/>
        <w:ind w:left="-240" w:right="-240" w:firstLine="600" w:leftChars="-100" w:rightChars="-100"/>
        <w:rPr>
          <w:rFonts w:ascii="宋体" w:hAnsi="宋体" w:cs="宋体"/>
          <w:color w:val="000000"/>
          <w:lang w:eastAsia="zh-CN"/>
        </w:rPr>
      </w:pPr>
      <w:r>
        <w:rPr>
          <w:rFonts w:ascii="宋体" w:hAnsi="宋体" w:cs="宋体" w:hint="eastAsia"/>
          <w:lang w:eastAsia="zh-CN"/>
        </w:rPr>
        <w:t>质量保修范围包括地基基础工程、主体结构工程，屋面防水工程、有防水要求的卫生间、房间和外墙面的防渗漏，供热与供冷系统，电气管线、给排水管道、设备安装、装修工程，绿化工程、园林附属工程（园路与广场铺装、假山、叠石、置石、园林理水、园林设施安装），以及双方约定的其他项目。具体保修的内容，双方约定如下：</w:t>
      </w:r>
      <w:r>
        <w:rPr>
          <w:rFonts w:ascii="宋体" w:hAnsi="宋体" w:cs="宋体" w:hint="eastAsia"/>
          <w:u w:val="single"/>
          <w:lang w:eastAsia="zh-CN"/>
        </w:rPr>
        <w:t xml:space="preserve">                                  </w:t>
      </w:r>
      <w:r>
        <w:rPr>
          <w:rFonts w:ascii="宋体" w:hAnsi="宋体" w:cs="宋体" w:hint="eastAsia"/>
          <w:color w:val="000000"/>
          <w:lang w:eastAsia="zh-CN"/>
        </w:rPr>
        <w:t>。</w:t>
      </w:r>
    </w:p>
    <w:p w14:paraId="7F426060">
      <w:pPr>
        <w:snapToGrid w:val="0"/>
        <w:spacing w:line="360" w:lineRule="auto"/>
        <w:ind w:left="-240" w:right="-240" w:firstLine="600" w:leftChars="-100" w:rightChars="-100"/>
        <w:rPr>
          <w:rFonts w:ascii="宋体" w:hAnsi="宋体" w:cs="宋体"/>
          <w:b/>
          <w:lang w:eastAsia="zh-CN"/>
        </w:rPr>
      </w:pPr>
      <w:r>
        <w:rPr>
          <w:rFonts w:ascii="宋体" w:hAnsi="宋体" w:cs="宋体" w:hint="eastAsia"/>
          <w:b/>
          <w:lang w:eastAsia="zh-CN"/>
        </w:rPr>
        <w:t>二、质量保修期</w:t>
      </w:r>
    </w:p>
    <w:p w14:paraId="4C81CA3B">
      <w:pPr>
        <w:snapToGrid w:val="0"/>
        <w:spacing w:line="360" w:lineRule="auto"/>
        <w:ind w:left="-240" w:right="-240" w:firstLine="600" w:leftChars="-100" w:rightChars="-100"/>
        <w:rPr>
          <w:rFonts w:ascii="宋体" w:hAnsi="宋体" w:cs="宋体"/>
          <w:lang w:eastAsia="zh-CN"/>
        </w:rPr>
      </w:pPr>
      <w:r>
        <w:rPr>
          <w:rFonts w:ascii="宋体" w:hAnsi="宋体" w:cs="宋体" w:hint="eastAsia"/>
          <w:lang w:eastAsia="zh-CN"/>
        </w:rPr>
        <w:t>工程的质量保修期如下：</w:t>
      </w:r>
    </w:p>
    <w:p w14:paraId="65D7FC16">
      <w:pPr>
        <w:snapToGrid w:val="0"/>
        <w:spacing w:line="360" w:lineRule="auto"/>
        <w:ind w:left="-240" w:right="-240" w:leftChars="-100" w:rightChars="-100"/>
        <w:rPr>
          <w:rFonts w:ascii="宋体" w:hAnsi="宋体" w:cs="宋体"/>
          <w:lang w:eastAsia="zh-CN"/>
        </w:rPr>
      </w:pPr>
      <w:r>
        <w:rPr>
          <w:rFonts w:ascii="宋体" w:hAnsi="宋体" w:cs="宋体" w:hint="eastAsia"/>
          <w:lang w:eastAsia="zh-CN"/>
        </w:rPr>
        <w:t xml:space="preserve">    1. 地基基础工程和主体结构工程为设计文件规定的工程合理使用年限；</w:t>
      </w:r>
    </w:p>
    <w:p w14:paraId="7A2D1897">
      <w:pPr>
        <w:snapToGrid w:val="0"/>
        <w:spacing w:line="360" w:lineRule="auto"/>
        <w:ind w:left="-240" w:right="-240" w:firstLine="600" w:leftChars="-100" w:rightChars="-100"/>
        <w:rPr>
          <w:rFonts w:ascii="宋体" w:hAnsi="宋体" w:cs="宋体"/>
          <w:lang w:eastAsia="zh-CN"/>
        </w:rPr>
      </w:pPr>
      <w:r>
        <w:rPr>
          <w:rFonts w:ascii="宋体" w:hAnsi="宋体" w:cs="宋体" w:hint="eastAsia"/>
          <w:lang w:eastAsia="zh-CN"/>
        </w:rPr>
        <w:t>2. 屋面防水工程、有防水要求的卫生间、房间和外墙面的防渗为</w:t>
      </w:r>
      <w:r>
        <w:rPr>
          <w:rFonts w:ascii="宋体" w:hAnsi="宋体" w:cs="宋体" w:hint="eastAsia"/>
          <w:u w:val="single"/>
          <w:lang w:eastAsia="zh-CN"/>
        </w:rPr>
        <w:t xml:space="preserve">     </w:t>
      </w:r>
      <w:r>
        <w:rPr>
          <w:rFonts w:ascii="宋体" w:hAnsi="宋体" w:cs="宋体" w:hint="eastAsia"/>
          <w:lang w:eastAsia="zh-CN"/>
        </w:rPr>
        <w:t>年；其他防水工程</w:t>
      </w:r>
      <w:r>
        <w:rPr>
          <w:rFonts w:ascii="宋体" w:hAnsi="宋体" w:cs="宋体" w:hint="eastAsia"/>
          <w:u w:val="single"/>
          <w:lang w:eastAsia="zh-CN"/>
        </w:rPr>
        <w:t xml:space="preserve">    </w:t>
      </w:r>
      <w:r>
        <w:rPr>
          <w:rFonts w:ascii="宋体" w:hAnsi="宋体" w:cs="宋体" w:hint="eastAsia"/>
          <w:lang w:eastAsia="zh-CN"/>
        </w:rPr>
        <w:t>年。</w:t>
      </w:r>
    </w:p>
    <w:p w14:paraId="0917BFE6">
      <w:pPr>
        <w:snapToGrid w:val="0"/>
        <w:spacing w:line="360" w:lineRule="auto"/>
        <w:ind w:left="-240" w:right="-240" w:firstLine="600" w:leftChars="-100" w:rightChars="-100"/>
        <w:rPr>
          <w:rFonts w:ascii="宋体" w:hAnsi="宋体" w:cs="宋体"/>
          <w:color w:val="000000"/>
          <w:lang w:eastAsia="zh-CN"/>
        </w:rPr>
      </w:pPr>
      <w:r>
        <w:rPr>
          <w:rFonts w:ascii="宋体" w:hAnsi="宋体" w:cs="宋体" w:hint="eastAsia"/>
          <w:color w:val="000000"/>
          <w:lang w:eastAsia="zh-CN"/>
        </w:rPr>
        <w:t>3. 装修工程为</w:t>
      </w:r>
      <w:r>
        <w:rPr>
          <w:rFonts w:ascii="宋体" w:hAnsi="宋体" w:cs="宋体" w:hint="eastAsia"/>
          <w:color w:val="000000"/>
          <w:u w:val="single"/>
          <w:lang w:eastAsia="zh-CN"/>
        </w:rPr>
        <w:t xml:space="preserve">    </w:t>
      </w:r>
      <w:r>
        <w:rPr>
          <w:rFonts w:ascii="宋体" w:hAnsi="宋体" w:cs="宋体" w:hint="eastAsia"/>
          <w:color w:val="000000"/>
          <w:lang w:eastAsia="zh-CN"/>
        </w:rPr>
        <w:t>年；</w:t>
      </w:r>
    </w:p>
    <w:p w14:paraId="39CBDC4F">
      <w:pPr>
        <w:snapToGrid w:val="0"/>
        <w:spacing w:line="360" w:lineRule="auto"/>
        <w:ind w:left="-240" w:right="-240" w:firstLine="600" w:leftChars="-100" w:rightChars="-100"/>
        <w:rPr>
          <w:rFonts w:ascii="宋体" w:hAnsi="宋体" w:cs="宋体"/>
          <w:color w:val="000000"/>
          <w:lang w:eastAsia="zh-CN"/>
        </w:rPr>
      </w:pPr>
      <w:r>
        <w:rPr>
          <w:rFonts w:ascii="宋体" w:hAnsi="宋体" w:cs="宋体" w:hint="eastAsia"/>
          <w:color w:val="000000"/>
          <w:lang w:eastAsia="zh-CN"/>
        </w:rPr>
        <w:t>4. 电气管线、给排水管道、设备安装工程为</w:t>
      </w:r>
      <w:r>
        <w:rPr>
          <w:rFonts w:ascii="宋体" w:hAnsi="宋体" w:cs="宋体" w:hint="eastAsia"/>
          <w:color w:val="000000"/>
          <w:u w:val="single"/>
          <w:lang w:eastAsia="zh-CN"/>
        </w:rPr>
        <w:t xml:space="preserve">    </w:t>
      </w:r>
      <w:r>
        <w:rPr>
          <w:rFonts w:ascii="宋体" w:hAnsi="宋体" w:cs="宋体" w:hint="eastAsia"/>
          <w:color w:val="000000"/>
          <w:lang w:eastAsia="zh-CN"/>
        </w:rPr>
        <w:t>年；</w:t>
      </w:r>
    </w:p>
    <w:p w14:paraId="21C987E1">
      <w:pPr>
        <w:snapToGrid w:val="0"/>
        <w:spacing w:line="360" w:lineRule="auto"/>
        <w:ind w:left="-240" w:right="-240" w:firstLine="600" w:leftChars="-100" w:rightChars="-100"/>
        <w:rPr>
          <w:rFonts w:ascii="宋体" w:hAnsi="宋体" w:cs="宋体"/>
          <w:color w:val="000000"/>
          <w:lang w:eastAsia="zh-CN"/>
        </w:rPr>
      </w:pPr>
      <w:r>
        <w:rPr>
          <w:rFonts w:ascii="宋体" w:hAnsi="宋体" w:cs="宋体" w:hint="eastAsia"/>
          <w:color w:val="000000"/>
          <w:lang w:eastAsia="zh-CN"/>
        </w:rPr>
        <w:t>5．供热与供冷系统为</w:t>
      </w:r>
      <w:r>
        <w:rPr>
          <w:rFonts w:ascii="宋体" w:hAnsi="宋体" w:cs="宋体" w:hint="eastAsia"/>
          <w:color w:val="000000"/>
          <w:u w:val="single"/>
          <w:lang w:eastAsia="zh-CN"/>
        </w:rPr>
        <w:t xml:space="preserve">    </w:t>
      </w:r>
      <w:r>
        <w:rPr>
          <w:rFonts w:ascii="宋体" w:hAnsi="宋体" w:cs="宋体" w:hint="eastAsia"/>
          <w:color w:val="000000"/>
          <w:lang w:eastAsia="zh-CN"/>
        </w:rPr>
        <w:t>个采暖期、供冷期；</w:t>
      </w:r>
    </w:p>
    <w:p w14:paraId="438DC4CC">
      <w:pPr>
        <w:snapToGrid w:val="0"/>
        <w:spacing w:line="360" w:lineRule="auto"/>
        <w:ind w:left="-240" w:right="-240" w:firstLine="600" w:leftChars="-100" w:rightChars="-100"/>
        <w:rPr>
          <w:rFonts w:ascii="宋体" w:hAnsi="宋体" w:cs="宋体"/>
          <w:color w:val="000000"/>
          <w:lang w:eastAsia="zh-CN"/>
        </w:rPr>
      </w:pPr>
      <w:r>
        <w:rPr>
          <w:rFonts w:ascii="宋体" w:hAnsi="宋体" w:cs="宋体" w:hint="eastAsia"/>
          <w:color w:val="000000"/>
          <w:lang w:eastAsia="zh-CN"/>
        </w:rPr>
        <w:t>6. 绿化工程为</w:t>
      </w:r>
      <w:r>
        <w:rPr>
          <w:rFonts w:ascii="宋体" w:hAnsi="宋体" w:cs="宋体" w:hint="eastAsia"/>
          <w:color w:val="000000"/>
          <w:u w:val="single"/>
          <w:lang w:eastAsia="zh-CN"/>
        </w:rPr>
        <w:t xml:space="preserve">          </w:t>
      </w:r>
      <w:r>
        <w:rPr>
          <w:rFonts w:ascii="宋体" w:hAnsi="宋体" w:cs="宋体" w:hint="eastAsia"/>
          <w:color w:val="000000"/>
          <w:lang w:eastAsia="zh-CN"/>
        </w:rPr>
        <w:t>个月；</w:t>
      </w:r>
    </w:p>
    <w:p w14:paraId="4C28CC97">
      <w:pPr>
        <w:snapToGrid w:val="0"/>
        <w:spacing w:line="360" w:lineRule="auto"/>
        <w:ind w:left="-240" w:right="-240" w:firstLine="600" w:leftChars="-100" w:rightChars="-100"/>
        <w:rPr>
          <w:rFonts w:ascii="宋体" w:hAnsi="宋体" w:cs="宋体"/>
          <w:color w:val="000000"/>
          <w:lang w:eastAsia="zh-CN"/>
        </w:rPr>
      </w:pPr>
      <w:r>
        <w:rPr>
          <w:rFonts w:ascii="宋体" w:hAnsi="宋体" w:cs="宋体" w:hint="eastAsia"/>
          <w:color w:val="000000"/>
          <w:lang w:eastAsia="zh-CN"/>
        </w:rPr>
        <w:t>7. 园林附属工程为</w:t>
      </w:r>
      <w:r>
        <w:rPr>
          <w:rFonts w:ascii="宋体" w:hAnsi="宋体" w:cs="宋体" w:hint="eastAsia"/>
          <w:color w:val="000000"/>
          <w:u w:val="single"/>
          <w:lang w:eastAsia="zh-CN"/>
        </w:rPr>
        <w:t xml:space="preserve">      </w:t>
      </w:r>
      <w:r>
        <w:rPr>
          <w:rFonts w:ascii="宋体" w:hAnsi="宋体" w:cs="宋体" w:hint="eastAsia"/>
          <w:color w:val="000000"/>
          <w:lang w:eastAsia="zh-CN"/>
        </w:rPr>
        <w:t>个月；</w:t>
      </w:r>
    </w:p>
    <w:p w14:paraId="5AECBBA4">
      <w:pPr>
        <w:snapToGrid w:val="0"/>
        <w:spacing w:line="360" w:lineRule="auto"/>
        <w:ind w:left="-240" w:right="-240" w:firstLine="600" w:leftChars="-100" w:rightChars="-100"/>
        <w:rPr>
          <w:rFonts w:ascii="宋体" w:hAnsi="宋体" w:cs="宋体"/>
          <w:lang w:eastAsia="zh-CN"/>
        </w:rPr>
      </w:pPr>
      <w:r>
        <w:rPr>
          <w:rFonts w:ascii="宋体" w:hAnsi="宋体" w:cs="宋体" w:hint="eastAsia"/>
          <w:color w:val="000000"/>
          <w:lang w:eastAsia="zh-CN"/>
        </w:rPr>
        <w:t>8. 其他项目保修期限约定如下：</w:t>
      </w:r>
      <w:r>
        <w:rPr>
          <w:rFonts w:ascii="宋体" w:hAnsi="宋体" w:cs="宋体" w:hint="eastAsia"/>
          <w:color w:val="000000"/>
          <w:u w:val="single"/>
          <w:lang w:eastAsia="zh-CN"/>
        </w:rPr>
        <w:t xml:space="preserve">                      </w:t>
      </w:r>
      <w:r>
        <w:rPr>
          <w:rFonts w:ascii="宋体" w:hAnsi="宋体" w:cs="宋体" w:hint="eastAsia"/>
          <w:color w:val="000000"/>
          <w:lang w:eastAsia="zh-CN"/>
        </w:rPr>
        <w:t>。</w:t>
      </w:r>
    </w:p>
    <w:p w14:paraId="6D695260">
      <w:pPr>
        <w:snapToGrid w:val="0"/>
        <w:spacing w:line="360" w:lineRule="auto"/>
        <w:ind w:left="-240" w:right="-240" w:firstLine="600" w:leftChars="-100" w:rightChars="-100"/>
        <w:rPr>
          <w:rFonts w:ascii="宋体" w:hAnsi="宋体" w:cs="宋体"/>
          <w:lang w:eastAsia="zh-CN"/>
        </w:rPr>
      </w:pPr>
      <w:r>
        <w:rPr>
          <w:rFonts w:ascii="宋体" w:hAnsi="宋体" w:cs="宋体" w:hint="eastAsia"/>
          <w:lang w:eastAsia="zh-CN"/>
        </w:rPr>
        <w:t>质量保修期自工程竣工验收合格之日起计算。</w:t>
      </w:r>
    </w:p>
    <w:p w14:paraId="7E6A34C4">
      <w:pPr>
        <w:widowControl w:val="0"/>
        <w:numPr>
          <w:ilvl w:val="0"/>
          <w:numId w:val="6"/>
        </w:numPr>
        <w:snapToGrid w:val="0"/>
        <w:spacing w:line="360" w:lineRule="auto"/>
        <w:ind w:left="-240" w:right="-240" w:firstLine="600" w:leftChars="-100" w:rightChars="-100"/>
        <w:jc w:val="both"/>
        <w:rPr>
          <w:rFonts w:ascii="宋体" w:hAnsi="宋体" w:cs="宋体"/>
          <w:b/>
        </w:rPr>
      </w:pPr>
      <w:r>
        <w:rPr>
          <w:rFonts w:ascii="宋体" w:hAnsi="宋体" w:cs="宋体" w:hint="eastAsia"/>
          <w:b/>
        </w:rPr>
        <w:t>缺陷责任期</w:t>
      </w:r>
    </w:p>
    <w:p w14:paraId="093D7DD3">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工程缺陷责任期为</w:t>
      </w:r>
      <w:r>
        <w:rPr>
          <w:rFonts w:ascii="宋体" w:hAnsi="宋体" w:cs="宋体" w:hint="eastAsia"/>
          <w:u w:val="single"/>
          <w:lang w:eastAsia="zh-CN"/>
        </w:rPr>
        <w:t xml:space="preserve">    </w:t>
      </w:r>
      <w:r>
        <w:rPr>
          <w:rFonts w:ascii="宋体" w:hAnsi="宋体" w:cs="宋体" w:hint="eastAsia"/>
          <w:lang w:eastAsia="zh-CN"/>
        </w:rPr>
        <w:t>个月，缺陷责任期自工程竣工验收合格之日起计算。单位工程先于全部工程进行验收，单位工程缺陷责任期自单位工程验收合格之日起算。</w:t>
      </w:r>
    </w:p>
    <w:p w14:paraId="62BF24E8">
      <w:pPr>
        <w:snapToGrid w:val="0"/>
        <w:spacing w:line="360" w:lineRule="auto"/>
        <w:ind w:left="-240" w:right="-240" w:firstLine="480" w:leftChars="-100" w:rightChars="-100" w:firstLineChars="200"/>
        <w:rPr>
          <w:rFonts w:ascii="宋体" w:hAnsi="宋体" w:cs="宋体"/>
          <w:color w:val="000000"/>
          <w:lang w:eastAsia="zh-CN"/>
        </w:rPr>
      </w:pPr>
      <w:r>
        <w:rPr>
          <w:rFonts w:ascii="宋体" w:hAnsi="宋体" w:cs="宋体" w:hint="eastAsia"/>
          <w:color w:val="000000"/>
          <w:lang w:eastAsia="zh-CN"/>
        </w:rPr>
        <w:t>缺陷责任期终止后，发包人应退还剩余的质量保证金。</w:t>
      </w:r>
    </w:p>
    <w:p w14:paraId="3C485E0B">
      <w:pPr>
        <w:widowControl w:val="0"/>
        <w:numPr>
          <w:ilvl w:val="0"/>
          <w:numId w:val="6"/>
        </w:numPr>
        <w:snapToGrid w:val="0"/>
        <w:spacing w:line="360" w:lineRule="auto"/>
        <w:ind w:left="-240" w:right="-240" w:firstLine="600" w:leftChars="-100" w:rightChars="-100"/>
        <w:jc w:val="both"/>
        <w:rPr>
          <w:rFonts w:ascii="宋体" w:hAnsi="宋体" w:cs="宋体"/>
          <w:b/>
        </w:rPr>
      </w:pPr>
      <w:r>
        <w:rPr>
          <w:rFonts w:ascii="宋体" w:hAnsi="宋体" w:cs="宋体" w:hint="eastAsia"/>
          <w:b/>
        </w:rPr>
        <w:t>质量保修责任</w:t>
      </w:r>
    </w:p>
    <w:p w14:paraId="33B0FF67">
      <w:pPr>
        <w:widowControl w:val="0"/>
        <w:numPr>
          <w:ilvl w:val="0"/>
          <w:numId w:val="7"/>
        </w:numPr>
        <w:snapToGrid w:val="0"/>
        <w:spacing w:line="360" w:lineRule="auto"/>
        <w:ind w:left="-240" w:right="-240" w:firstLine="480" w:leftChars="-100" w:rightChars="-100" w:firstLineChars="200"/>
        <w:jc w:val="both"/>
        <w:rPr>
          <w:rFonts w:ascii="宋体" w:hAnsi="宋体" w:cs="宋体"/>
          <w:lang w:eastAsia="zh-CN"/>
        </w:rPr>
      </w:pPr>
      <w:r>
        <w:rPr>
          <w:rFonts w:ascii="宋体" w:hAnsi="宋体" w:cs="宋体" w:hint="eastAsia"/>
          <w:lang w:eastAsia="zh-CN"/>
        </w:rPr>
        <w:t>属于保修范围、内容的项目，承包人应当在接到保修通知之日起7天内派人保修。承包人不在约定期限内派人保修的，发包人可以委托他人修理，费用由承包人承担，从质量保证金中扣除。</w:t>
      </w:r>
    </w:p>
    <w:p w14:paraId="2A56521A">
      <w:pPr>
        <w:widowControl w:val="0"/>
        <w:numPr>
          <w:ilvl w:val="0"/>
          <w:numId w:val="7"/>
        </w:numPr>
        <w:snapToGrid w:val="0"/>
        <w:spacing w:line="360" w:lineRule="auto"/>
        <w:ind w:left="-240" w:right="-240" w:firstLine="480" w:leftChars="-100" w:rightChars="-100" w:firstLineChars="200"/>
        <w:jc w:val="both"/>
        <w:rPr>
          <w:rFonts w:ascii="宋体" w:hAnsi="宋体" w:cs="宋体"/>
          <w:lang w:eastAsia="zh-CN"/>
        </w:rPr>
      </w:pPr>
      <w:r>
        <w:rPr>
          <w:rFonts w:ascii="宋体" w:hAnsi="宋体" w:cs="宋体" w:hint="eastAsia"/>
          <w:lang w:eastAsia="zh-CN"/>
        </w:rPr>
        <w:t>发生紧急事故需抢修的，承包人在接到事故通知后，应当立即到达事故现场抢修。</w:t>
      </w:r>
    </w:p>
    <w:p w14:paraId="13097E26">
      <w:pPr>
        <w:widowControl w:val="0"/>
        <w:numPr>
          <w:ilvl w:val="0"/>
          <w:numId w:val="7"/>
        </w:numPr>
        <w:snapToGrid w:val="0"/>
        <w:spacing w:line="360" w:lineRule="auto"/>
        <w:ind w:left="-240" w:right="-240" w:firstLine="480" w:leftChars="-100" w:rightChars="-100" w:firstLineChars="200"/>
        <w:jc w:val="both"/>
        <w:rPr>
          <w:rFonts w:ascii="宋体" w:hAnsi="宋体" w:cs="宋体"/>
          <w:lang w:eastAsia="zh-CN"/>
        </w:rPr>
      </w:pPr>
      <w:r>
        <w:rPr>
          <w:rFonts w:ascii="宋体" w:hAnsi="宋体" w:cs="宋体" w:hint="eastAsia"/>
          <w:lang w:eastAsia="zh-CN"/>
        </w:rPr>
        <w:t>对于涉及结构安全的质量问题，应当按照《建设工程质量管理条例》的规定，立即向当地住房和城乡建设行政主管部门及有关部门报告，采取安全防范措施，并由原设计人或者具有相应资质等级的设计人提出保修方案，承包人实施保修。</w:t>
      </w:r>
    </w:p>
    <w:p w14:paraId="7A4597B4">
      <w:pPr>
        <w:widowControl w:val="0"/>
        <w:numPr>
          <w:ilvl w:val="0"/>
          <w:numId w:val="7"/>
        </w:numPr>
        <w:snapToGrid w:val="0"/>
        <w:spacing w:line="360" w:lineRule="auto"/>
        <w:ind w:left="-240" w:right="-240" w:firstLine="480" w:leftChars="-100" w:rightChars="-100" w:firstLineChars="200"/>
        <w:jc w:val="both"/>
        <w:rPr>
          <w:rFonts w:ascii="宋体" w:hAnsi="宋体" w:cs="宋体"/>
          <w:lang w:eastAsia="zh-CN"/>
        </w:rPr>
      </w:pPr>
      <w:r>
        <w:rPr>
          <w:rFonts w:ascii="宋体" w:hAnsi="宋体" w:cs="宋体" w:hint="eastAsia"/>
          <w:lang w:eastAsia="zh-CN"/>
        </w:rPr>
        <w:t>在工程质量保修期内，未能在合理期限对工程质量问题进行修复，或拒绝按要求进行修复的，承包人应向发包人支付修复工程支出的实际金额。</w:t>
      </w:r>
    </w:p>
    <w:p w14:paraId="72FFC91F">
      <w:pPr>
        <w:widowControl w:val="0"/>
        <w:numPr>
          <w:ilvl w:val="0"/>
          <w:numId w:val="7"/>
        </w:numPr>
        <w:snapToGrid w:val="0"/>
        <w:spacing w:line="360" w:lineRule="auto"/>
        <w:ind w:left="-240" w:right="-240" w:firstLine="480" w:leftChars="-100" w:rightChars="-100" w:firstLineChars="200"/>
        <w:jc w:val="both"/>
        <w:rPr>
          <w:rFonts w:ascii="宋体" w:hAnsi="宋体" w:cs="宋体"/>
          <w:lang w:eastAsia="zh-CN"/>
        </w:rPr>
      </w:pPr>
      <w:r>
        <w:rPr>
          <w:rFonts w:ascii="宋体" w:hAnsi="宋体" w:cs="宋体" w:hint="eastAsia"/>
          <w:lang w:eastAsia="zh-CN"/>
        </w:rPr>
        <w:t>质量保修完成后，由发包人组织验收。</w:t>
      </w:r>
    </w:p>
    <w:p w14:paraId="254BC002">
      <w:pPr>
        <w:snapToGrid w:val="0"/>
        <w:spacing w:line="360" w:lineRule="auto"/>
        <w:ind w:left="-240" w:right="-240" w:leftChars="-100" w:rightChars="-100"/>
        <w:rPr>
          <w:rFonts w:ascii="宋体" w:hAnsi="宋体" w:cs="宋体"/>
          <w:u w:val="single"/>
          <w:lang w:eastAsia="zh-CN"/>
        </w:rPr>
      </w:pPr>
      <w:r>
        <w:rPr>
          <w:rFonts w:ascii="宋体" w:hAnsi="宋体" w:cs="宋体" w:hint="eastAsia"/>
          <w:b/>
          <w:lang w:eastAsia="zh-CN"/>
        </w:rPr>
        <w:t>五、双方约定的其他工程质量保修项</w:t>
      </w:r>
      <w:r>
        <w:rPr>
          <w:rFonts w:ascii="宋体" w:hAnsi="宋体" w:cs="宋体" w:hint="eastAsia"/>
          <w:lang w:eastAsia="zh-CN"/>
        </w:rPr>
        <w:t>：</w:t>
      </w:r>
      <w:r>
        <w:rPr>
          <w:rFonts w:ascii="宋体" w:hAnsi="宋体" w:cs="宋体" w:hint="eastAsia"/>
          <w:u w:val="single"/>
          <w:lang w:eastAsia="zh-CN"/>
        </w:rPr>
        <w:t xml:space="preserve">                </w:t>
      </w:r>
      <w:r>
        <w:rPr>
          <w:rFonts w:ascii="宋体" w:hAnsi="宋体" w:cs="宋体" w:hint="eastAsia"/>
          <w:color w:val="000000"/>
          <w:u w:val="single"/>
          <w:lang w:eastAsia="zh-CN"/>
        </w:rPr>
        <w:t xml:space="preserve">  </w:t>
      </w:r>
      <w:r>
        <w:rPr>
          <w:rFonts w:ascii="宋体" w:hAnsi="宋体" w:cs="宋体" w:hint="eastAsia"/>
          <w:color w:val="000000"/>
          <w:lang w:eastAsia="zh-CN"/>
        </w:rPr>
        <w:t>。</w:t>
      </w:r>
    </w:p>
    <w:p w14:paraId="5D746D62">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工程质量保修书由发包人、承包人在工程竣工验收前共同签署，作为施工合同附件，其有效期限至保修期满。 </w:t>
      </w:r>
    </w:p>
    <w:p w14:paraId="2BFDC857">
      <w:pPr>
        <w:spacing w:line="360" w:lineRule="auto"/>
        <w:ind w:left="-240" w:right="-240" w:leftChars="-100" w:rightChars="-100"/>
        <w:outlineLvl w:val="1"/>
        <w:rPr>
          <w:rFonts w:ascii="宋体" w:hAnsi="宋体" w:cs="宋体"/>
          <w:b/>
          <w:bCs/>
          <w:lang w:eastAsia="zh-CN"/>
        </w:rPr>
      </w:pPr>
      <w:r>
        <w:rPr>
          <w:rFonts w:ascii="Calibri" w:hAnsi="Calibri"/>
          <w:sz w:val="21"/>
          <w:szCs w:val="22"/>
        </w:rPr>
        <mc:AlternateContent>
          <mc:Choice Requires="wps">
            <w:drawing>
              <wp:anchor distT="0" distB="0" distL="114300" distR="114300" simplePos="0" relativeHeight="251662336" behindDoc="0" locked="0" layoutInCell="1" allowOverlap="1">
                <wp:simplePos x="0" y="0"/>
                <wp:positionH relativeFrom="column">
                  <wp:posOffset>2774950</wp:posOffset>
                </wp:positionH>
                <wp:positionV relativeFrom="paragraph">
                  <wp:posOffset>146050</wp:posOffset>
                </wp:positionV>
                <wp:extent cx="2829560" cy="4761865"/>
                <wp:effectExtent l="0" t="0" r="1270" b="1270"/>
                <wp:wrapNone/>
                <wp:docPr id="7" name="文本框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29560" cy="4761865"/>
                        </a:xfrm>
                        <a:prstGeom prst="rect">
                          <a:avLst/>
                        </a:prstGeom>
                        <a:solidFill>
                          <a:srgbClr val="FFFFFF"/>
                        </a:solidFill>
                        <a:ln>
                          <a:noFill/>
                        </a:ln>
                      </wps:spPr>
                      <wps:txbx>
                        <w:txbxContent>
                          <w:p>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承包人：（公章）</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法定代表人或其委托代理人：（签字）</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社会统一信用代码证号：</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地  址：</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邮政编码：</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电  话：</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传  真：</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开户银行：</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账  号：</w:t>
                            </w:r>
                            <w:r>
                              <w:rPr>
                                <w:rFonts w:ascii="仿宋_GB2312" w:eastAsia="仿宋_GB2312" w:hAnsi="仿宋" w:cs="仿宋" w:hint="eastAsia"/>
                                <w:sz w:val="28"/>
                                <w:szCs w:val="28"/>
                                <w:u w:val="single"/>
                                <w:lang w:eastAsia="zh-CN"/>
                              </w:rPr>
                              <w:t xml:space="preserve">                            </w:t>
                            </w:r>
                          </w:p>
                          <w:p>
                            <w:pPr>
                              <w:ind w:firstLine="560"/>
                              <w:rPr>
                                <w:rFonts w:ascii="Calibri" w:eastAsia="宋体" w:hAnsi="Calibri"/>
                                <w:sz w:val="28"/>
                                <w:szCs w:val="28"/>
                                <w:u w:val="single"/>
                              </w:rPr>
                            </w:pPr>
                            <w:r>
                              <w:rPr>
                                <w:rFonts w:ascii="仿宋_GB2312" w:eastAsia="仿宋_GB2312" w:hAnsi="仿宋" w:cs="仿宋" w:hint="eastAsia"/>
                                <w:sz w:val="28"/>
                                <w:szCs w:val="28"/>
                              </w:rPr>
                              <w:t>日  期：</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年</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月</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日</w:t>
                            </w:r>
                            <w:r>
                              <w:rPr>
                                <w:rFonts w:ascii="仿宋_GB2312" w:eastAsia="仿宋_GB2312" w:hAnsi="仿宋" w:cs="仿宋" w:hint="eastAsia"/>
                                <w:sz w:val="28"/>
                                <w:szCs w:val="28"/>
                                <w:u w:val="single"/>
                              </w:rPr>
                              <w:t xml:space="preserve"> </w:t>
                            </w:r>
                            <w:r>
                              <w:rPr>
                                <w:rFonts w:ascii="仿宋" w:eastAsia="仿宋" w:hAnsi="仿宋" w:cs="仿宋" w:hint="eastAsia"/>
                                <w:sz w:val="28"/>
                                <w:szCs w:val="28"/>
                                <w:u w:val="single"/>
                              </w:rPr>
                              <w:t xml:space="preserve">  </w:t>
                            </w:r>
                          </w:p>
                        </w:txbxContent>
                      </wps:txbx>
                      <wps:bodyPr rot="0" vert="horz" wrap="square" anchor="t" anchorCtr="0" upright="1"/>
                    </wps:wsp>
                  </a:graphicData>
                </a:graphic>
              </wp:anchor>
            </w:drawing>
          </mc:Choice>
          <mc:Fallback>
            <w:pict>
              <v:shape id="文本框 15" o:spid="_x0000_s1039" type="#_x0000_t202" style="width:222.8pt;height:374.95pt;margin-top:11.5pt;margin-left:218.5pt;mso-height-relative:page;mso-width-relative:page;position:absolute;z-index:251663360" coordsize="21600,21600" filled="t" fillcolor="white" stroked="f">
                <o:lock v:ext="edit" aspectratio="f"/>
                <v:textbox>
                  <w:txbxContent>
                    <w:p w14:paraId="105947DF">
                      <w:pPr>
                        <w:ind w:firstLine="560"/>
                        <w:rPr>
                          <w:rFonts w:ascii="仿宋_GB2312" w:eastAsia="仿宋_GB2312" w:hAnsi="仿宋" w:cs="仿宋"/>
                          <w:sz w:val="28"/>
                          <w:szCs w:val="28"/>
                          <w:lang w:eastAsia="zh-CN"/>
                        </w:rPr>
                      </w:pPr>
                      <w:permStart w:id="1504" w:edGrp="everyone"/>
                      <w:r>
                        <w:rPr>
                          <w:rFonts w:ascii="仿宋_GB2312" w:eastAsia="仿宋_GB2312" w:hAnsi="仿宋" w:cs="仿宋" w:hint="eastAsia"/>
                          <w:sz w:val="28"/>
                          <w:szCs w:val="28"/>
                          <w:lang w:eastAsia="zh-CN"/>
                        </w:rPr>
                        <w:t>承包人：（公章）</w:t>
                      </w:r>
                    </w:p>
                    <w:p w14:paraId="61CE5AC0">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法定代表人或其委托代理人：（签字）</w:t>
                      </w:r>
                      <w:r>
                        <w:rPr>
                          <w:rFonts w:ascii="仿宋_GB2312" w:eastAsia="仿宋_GB2312" w:hAnsi="仿宋" w:cs="仿宋" w:hint="eastAsia"/>
                          <w:sz w:val="28"/>
                          <w:szCs w:val="28"/>
                          <w:u w:val="single"/>
                          <w:lang w:eastAsia="zh-CN"/>
                        </w:rPr>
                        <w:t xml:space="preserve">                        </w:t>
                      </w:r>
                    </w:p>
                    <w:p w14:paraId="4387158E">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社会统一信用代码证号：</w:t>
                      </w:r>
                      <w:r>
                        <w:rPr>
                          <w:rFonts w:ascii="仿宋_GB2312" w:eastAsia="仿宋_GB2312" w:hAnsi="仿宋" w:cs="仿宋" w:hint="eastAsia"/>
                          <w:sz w:val="28"/>
                          <w:szCs w:val="28"/>
                          <w:u w:val="single"/>
                          <w:lang w:eastAsia="zh-CN"/>
                        </w:rPr>
                        <w:t xml:space="preserve">              </w:t>
                      </w:r>
                    </w:p>
                    <w:p w14:paraId="789706FB">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u w:val="single"/>
                          <w:lang w:eastAsia="zh-CN"/>
                        </w:rPr>
                        <w:t xml:space="preserve">                                    </w:t>
                      </w:r>
                    </w:p>
                    <w:p w14:paraId="5B4239C9">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地  址：</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14:paraId="66B3F0B0">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邮政编码：</w:t>
                      </w:r>
                      <w:r>
                        <w:rPr>
                          <w:rFonts w:ascii="仿宋_GB2312" w:eastAsia="仿宋_GB2312" w:hAnsi="仿宋" w:cs="仿宋" w:hint="eastAsia"/>
                          <w:sz w:val="28"/>
                          <w:szCs w:val="28"/>
                          <w:u w:val="single"/>
                          <w:lang w:eastAsia="zh-CN"/>
                        </w:rPr>
                        <w:t xml:space="preserve">                  </w:t>
                      </w:r>
                    </w:p>
                    <w:p w14:paraId="4F43F49A">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电  话：</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14:paraId="68EE0F12">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传  真：</w:t>
                      </w:r>
                      <w:r>
                        <w:rPr>
                          <w:rFonts w:ascii="仿宋_GB2312" w:eastAsia="仿宋_GB2312" w:hAnsi="仿宋" w:cs="仿宋" w:hint="eastAsia"/>
                          <w:sz w:val="28"/>
                          <w:szCs w:val="28"/>
                          <w:u w:val="single"/>
                          <w:lang w:eastAsia="zh-CN"/>
                        </w:rPr>
                        <w:t xml:space="preserve">                            </w:t>
                      </w:r>
                    </w:p>
                    <w:p w14:paraId="6D207839">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开户银行：</w:t>
                      </w:r>
                      <w:r>
                        <w:rPr>
                          <w:rFonts w:ascii="仿宋_GB2312" w:eastAsia="仿宋_GB2312" w:hAnsi="仿宋" w:cs="仿宋" w:hint="eastAsia"/>
                          <w:sz w:val="28"/>
                          <w:szCs w:val="28"/>
                          <w:u w:val="single"/>
                          <w:lang w:eastAsia="zh-CN"/>
                        </w:rPr>
                        <w:t xml:space="preserve">                          </w:t>
                      </w:r>
                    </w:p>
                    <w:p w14:paraId="110BF7D0">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账  号：</w:t>
                      </w:r>
                      <w:r>
                        <w:rPr>
                          <w:rFonts w:ascii="仿宋_GB2312" w:eastAsia="仿宋_GB2312" w:hAnsi="仿宋" w:cs="仿宋" w:hint="eastAsia"/>
                          <w:sz w:val="28"/>
                          <w:szCs w:val="28"/>
                          <w:u w:val="single"/>
                          <w:lang w:eastAsia="zh-CN"/>
                        </w:rPr>
                        <w:t xml:space="preserve">                            </w:t>
                      </w:r>
                    </w:p>
                    <w:p w14:paraId="59933A0B">
                      <w:pPr>
                        <w:ind w:firstLine="560"/>
                        <w:rPr>
                          <w:rFonts w:ascii="Calibri" w:eastAsia="宋体" w:hAnsi="Calibri"/>
                          <w:sz w:val="28"/>
                          <w:szCs w:val="28"/>
                          <w:u w:val="single"/>
                        </w:rPr>
                      </w:pPr>
                      <w:r>
                        <w:rPr>
                          <w:rFonts w:ascii="仿宋_GB2312" w:eastAsia="仿宋_GB2312" w:hAnsi="仿宋" w:cs="仿宋" w:hint="eastAsia"/>
                          <w:sz w:val="28"/>
                          <w:szCs w:val="28"/>
                        </w:rPr>
                        <w:t>日  期：</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年</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月</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日</w:t>
                      </w:r>
                      <w:r>
                        <w:rPr>
                          <w:rFonts w:ascii="仿宋_GB2312" w:eastAsia="仿宋_GB2312" w:hAnsi="仿宋" w:cs="仿宋" w:hint="eastAsia"/>
                          <w:sz w:val="28"/>
                          <w:szCs w:val="28"/>
                          <w:u w:val="single"/>
                        </w:rPr>
                        <w:t xml:space="preserve"> </w:t>
                      </w:r>
                      <w:r>
                        <w:rPr>
                          <w:rFonts w:ascii="仿宋" w:eastAsia="仿宋" w:hAnsi="仿宋" w:cs="仿宋" w:hint="eastAsia"/>
                          <w:sz w:val="28"/>
                          <w:szCs w:val="28"/>
                          <w:u w:val="single"/>
                        </w:rPr>
                        <w:t xml:space="preserve">  </w:t>
                      </w:r>
                      <w:permEnd w:id="1504"/>
                    </w:p>
                  </w:txbxContent>
                </v:textbox>
              </v:shape>
            </w:pict>
          </mc:Fallback>
        </mc:AlternateContent>
      </w:r>
      <w:r>
        <w:rPr>
          <w:rFonts w:ascii="Calibri" w:hAnsi="Calibri"/>
          <w:sz w:val="21"/>
          <w:szCs w:val="22"/>
        </w:rPr>
        <mc:AlternateContent>
          <mc:Choice Requires="wps">
            <w:drawing>
              <wp:anchor distT="0" distB="0" distL="114300" distR="114300" simplePos="0" relativeHeight="251664384" behindDoc="0" locked="0" layoutInCell="1" allowOverlap="1">
                <wp:simplePos x="0" y="0"/>
                <wp:positionH relativeFrom="column">
                  <wp:posOffset>-422910</wp:posOffset>
                </wp:positionH>
                <wp:positionV relativeFrom="paragraph">
                  <wp:posOffset>170815</wp:posOffset>
                </wp:positionV>
                <wp:extent cx="2843530" cy="4773295"/>
                <wp:effectExtent l="635" t="0" r="3810" b="3175"/>
                <wp:wrapNone/>
                <wp:docPr id="6" name="文本框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43530" cy="4773295"/>
                        </a:xfrm>
                        <a:prstGeom prst="rect">
                          <a:avLst/>
                        </a:prstGeom>
                        <a:solidFill>
                          <a:srgbClr val="FFFFFF"/>
                        </a:solidFill>
                        <a:ln>
                          <a:noFill/>
                        </a:ln>
                      </wps:spPr>
                      <wps:txbx>
                        <w:txbxContent>
                          <w:p>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发包人：（公章）</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法定代表人或其委托代理人：（签字）</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社会统一信用代码证号：</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地  址：</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邮政编码：</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电  话：</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传  真：</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开户银行：</w:t>
                            </w:r>
                            <w:r>
                              <w:rPr>
                                <w:rFonts w:ascii="仿宋_GB2312" w:eastAsia="仿宋_GB2312" w:hAnsi="仿宋" w:cs="仿宋" w:hint="eastAsia"/>
                                <w:sz w:val="28"/>
                                <w:szCs w:val="28"/>
                                <w:u w:val="single"/>
                                <w:lang w:eastAsia="zh-CN"/>
                              </w:rPr>
                              <w:t xml:space="preserve">                          </w:t>
                            </w:r>
                          </w:p>
                          <w:p>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账  号：</w:t>
                            </w:r>
                            <w:r>
                              <w:rPr>
                                <w:rFonts w:ascii="仿宋_GB2312" w:eastAsia="仿宋_GB2312" w:hAnsi="仿宋" w:cs="仿宋" w:hint="eastAsia"/>
                                <w:sz w:val="28"/>
                                <w:szCs w:val="28"/>
                                <w:u w:val="single"/>
                                <w:lang w:eastAsia="zh-CN"/>
                              </w:rPr>
                              <w:t xml:space="preserve">                            </w:t>
                            </w:r>
                          </w:p>
                          <w:p>
                            <w:pPr>
                              <w:ind w:firstLine="560"/>
                              <w:rPr>
                                <w:rFonts w:ascii="Calibri" w:eastAsia="宋体" w:hAnsi="Calibri"/>
                                <w:sz w:val="28"/>
                                <w:szCs w:val="28"/>
                                <w:u w:val="single"/>
                              </w:rPr>
                            </w:pPr>
                            <w:r>
                              <w:rPr>
                                <w:rFonts w:ascii="仿宋_GB2312" w:eastAsia="仿宋_GB2312" w:hAnsi="仿宋" w:cs="仿宋" w:hint="eastAsia"/>
                                <w:sz w:val="28"/>
                                <w:szCs w:val="28"/>
                              </w:rPr>
                              <w:t>日  期：</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年</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月</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日</w:t>
                            </w:r>
                            <w:r>
                              <w:rPr>
                                <w:rFonts w:ascii="仿宋" w:eastAsia="仿宋" w:hAnsi="仿宋" w:cs="仿宋" w:hint="eastAsia"/>
                                <w:sz w:val="28"/>
                                <w:szCs w:val="28"/>
                                <w:u w:val="single"/>
                              </w:rPr>
                              <w:t xml:space="preserve">  </w:t>
                            </w:r>
                          </w:p>
                        </w:txbxContent>
                      </wps:txbx>
                      <wps:bodyPr rot="0" vert="horz" wrap="square" anchor="t" anchorCtr="0" upright="1"/>
                    </wps:wsp>
                  </a:graphicData>
                </a:graphic>
              </wp:anchor>
            </w:drawing>
          </mc:Choice>
          <mc:Fallback>
            <w:pict>
              <v:shape id="文本框 16" o:spid="_x0000_s1040" type="#_x0000_t202" style="width:223.9pt;height:375.85pt;margin-top:13.45pt;margin-left:-33.3pt;mso-height-relative:page;mso-width-relative:page;position:absolute;z-index:251665408" coordsize="21600,21600" filled="t" fillcolor="white" stroked="f">
                <o:lock v:ext="edit" aspectratio="f"/>
                <v:textbox>
                  <w:txbxContent>
                    <w:p w14:paraId="34104B03">
                      <w:pPr>
                        <w:ind w:firstLine="560"/>
                        <w:rPr>
                          <w:rFonts w:ascii="仿宋_GB2312" w:eastAsia="仿宋_GB2312" w:hAnsi="仿宋" w:cs="仿宋"/>
                          <w:sz w:val="28"/>
                          <w:szCs w:val="28"/>
                          <w:lang w:eastAsia="zh-CN"/>
                        </w:rPr>
                      </w:pPr>
                      <w:permStart w:id="1505" w:edGrp="everyone"/>
                      <w:r>
                        <w:rPr>
                          <w:rFonts w:ascii="仿宋_GB2312" w:eastAsia="仿宋_GB2312" w:hAnsi="仿宋" w:cs="仿宋" w:hint="eastAsia"/>
                          <w:sz w:val="28"/>
                          <w:szCs w:val="28"/>
                          <w:lang w:eastAsia="zh-CN"/>
                        </w:rPr>
                        <w:t>发包人：（公章）</w:t>
                      </w:r>
                    </w:p>
                    <w:p w14:paraId="467CC213">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法定代表人或其委托代理人：（签字）</w:t>
                      </w:r>
                      <w:r>
                        <w:rPr>
                          <w:rFonts w:ascii="仿宋_GB2312" w:eastAsia="仿宋_GB2312" w:hAnsi="仿宋" w:cs="仿宋" w:hint="eastAsia"/>
                          <w:sz w:val="28"/>
                          <w:szCs w:val="28"/>
                          <w:u w:val="single"/>
                          <w:lang w:eastAsia="zh-CN"/>
                        </w:rPr>
                        <w:t xml:space="preserve">                        </w:t>
                      </w:r>
                    </w:p>
                    <w:p w14:paraId="7DD5AD40">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社会统一信用代码证号：</w:t>
                      </w:r>
                      <w:r>
                        <w:rPr>
                          <w:rFonts w:ascii="仿宋_GB2312" w:eastAsia="仿宋_GB2312" w:hAnsi="仿宋" w:cs="仿宋" w:hint="eastAsia"/>
                          <w:sz w:val="28"/>
                          <w:szCs w:val="28"/>
                          <w:u w:val="single"/>
                          <w:lang w:eastAsia="zh-CN"/>
                        </w:rPr>
                        <w:t xml:space="preserve">              </w:t>
                      </w:r>
                    </w:p>
                    <w:p w14:paraId="644EAA0F">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u w:val="single"/>
                          <w:lang w:eastAsia="zh-CN"/>
                        </w:rPr>
                        <w:t xml:space="preserve">                                    </w:t>
                      </w:r>
                    </w:p>
                    <w:p w14:paraId="704EC150">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地  址：</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14:paraId="1D3456F8">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邮政编码：</w:t>
                      </w:r>
                      <w:r>
                        <w:rPr>
                          <w:rFonts w:ascii="仿宋_GB2312" w:eastAsia="仿宋_GB2312" w:hAnsi="仿宋" w:cs="仿宋" w:hint="eastAsia"/>
                          <w:sz w:val="28"/>
                          <w:szCs w:val="28"/>
                          <w:u w:val="single"/>
                          <w:lang w:eastAsia="zh-CN"/>
                        </w:rPr>
                        <w:t xml:space="preserve">                  </w:t>
                      </w:r>
                    </w:p>
                    <w:p w14:paraId="432D2AF6">
                      <w:pPr>
                        <w:ind w:firstLine="560"/>
                        <w:rPr>
                          <w:rFonts w:ascii="仿宋_GB2312" w:eastAsia="仿宋_GB2312" w:hAnsi="仿宋" w:cs="仿宋"/>
                          <w:sz w:val="28"/>
                          <w:szCs w:val="28"/>
                          <w:lang w:eastAsia="zh-CN"/>
                        </w:rPr>
                      </w:pPr>
                      <w:r>
                        <w:rPr>
                          <w:rFonts w:ascii="仿宋_GB2312" w:eastAsia="仿宋_GB2312" w:hAnsi="仿宋" w:cs="仿宋" w:hint="eastAsia"/>
                          <w:sz w:val="28"/>
                          <w:szCs w:val="28"/>
                          <w:lang w:eastAsia="zh-CN"/>
                        </w:rPr>
                        <w:t>电  话：</w:t>
                      </w:r>
                      <w:r>
                        <w:rPr>
                          <w:rFonts w:ascii="仿宋_GB2312" w:eastAsia="仿宋_GB2312" w:hAnsi="仿宋" w:cs="仿宋" w:hint="eastAsia"/>
                          <w:sz w:val="28"/>
                          <w:szCs w:val="28"/>
                          <w:u w:val="single"/>
                          <w:lang w:eastAsia="zh-CN"/>
                        </w:rPr>
                        <w:t xml:space="preserve">                            </w:t>
                      </w:r>
                      <w:r>
                        <w:rPr>
                          <w:rFonts w:ascii="仿宋_GB2312" w:eastAsia="仿宋_GB2312" w:hAnsi="仿宋" w:cs="仿宋" w:hint="eastAsia"/>
                          <w:sz w:val="28"/>
                          <w:szCs w:val="28"/>
                          <w:lang w:eastAsia="zh-CN"/>
                        </w:rPr>
                        <w:t xml:space="preserve"> </w:t>
                      </w:r>
                    </w:p>
                    <w:p w14:paraId="36B4C4B3">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传  真：</w:t>
                      </w:r>
                      <w:r>
                        <w:rPr>
                          <w:rFonts w:ascii="仿宋_GB2312" w:eastAsia="仿宋_GB2312" w:hAnsi="仿宋" w:cs="仿宋" w:hint="eastAsia"/>
                          <w:sz w:val="28"/>
                          <w:szCs w:val="28"/>
                          <w:u w:val="single"/>
                          <w:lang w:eastAsia="zh-CN"/>
                        </w:rPr>
                        <w:t xml:space="preserve">                            </w:t>
                      </w:r>
                    </w:p>
                    <w:p w14:paraId="6B67FCFA">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开户银行：</w:t>
                      </w:r>
                      <w:r>
                        <w:rPr>
                          <w:rFonts w:ascii="仿宋_GB2312" w:eastAsia="仿宋_GB2312" w:hAnsi="仿宋" w:cs="仿宋" w:hint="eastAsia"/>
                          <w:sz w:val="28"/>
                          <w:szCs w:val="28"/>
                          <w:u w:val="single"/>
                          <w:lang w:eastAsia="zh-CN"/>
                        </w:rPr>
                        <w:t xml:space="preserve">                          </w:t>
                      </w:r>
                    </w:p>
                    <w:p w14:paraId="31B747F7">
                      <w:pPr>
                        <w:ind w:firstLine="560"/>
                        <w:rPr>
                          <w:rFonts w:ascii="仿宋_GB2312" w:eastAsia="仿宋_GB2312" w:hAnsi="仿宋" w:cs="仿宋"/>
                          <w:sz w:val="28"/>
                          <w:szCs w:val="28"/>
                          <w:u w:val="single"/>
                          <w:lang w:eastAsia="zh-CN"/>
                        </w:rPr>
                      </w:pPr>
                      <w:r>
                        <w:rPr>
                          <w:rFonts w:ascii="仿宋_GB2312" w:eastAsia="仿宋_GB2312" w:hAnsi="仿宋" w:cs="仿宋" w:hint="eastAsia"/>
                          <w:sz w:val="28"/>
                          <w:szCs w:val="28"/>
                          <w:lang w:eastAsia="zh-CN"/>
                        </w:rPr>
                        <w:t>账  号：</w:t>
                      </w:r>
                      <w:r>
                        <w:rPr>
                          <w:rFonts w:ascii="仿宋_GB2312" w:eastAsia="仿宋_GB2312" w:hAnsi="仿宋" w:cs="仿宋" w:hint="eastAsia"/>
                          <w:sz w:val="28"/>
                          <w:szCs w:val="28"/>
                          <w:u w:val="single"/>
                          <w:lang w:eastAsia="zh-CN"/>
                        </w:rPr>
                        <w:t xml:space="preserve">                            </w:t>
                      </w:r>
                    </w:p>
                    <w:p w14:paraId="53017362">
                      <w:pPr>
                        <w:ind w:firstLine="560"/>
                        <w:rPr>
                          <w:rFonts w:ascii="Calibri" w:eastAsia="宋体" w:hAnsi="Calibri"/>
                          <w:sz w:val="28"/>
                          <w:szCs w:val="28"/>
                          <w:u w:val="single"/>
                        </w:rPr>
                      </w:pPr>
                      <w:r>
                        <w:rPr>
                          <w:rFonts w:ascii="仿宋_GB2312" w:eastAsia="仿宋_GB2312" w:hAnsi="仿宋" w:cs="仿宋" w:hint="eastAsia"/>
                          <w:sz w:val="28"/>
                          <w:szCs w:val="28"/>
                        </w:rPr>
                        <w:t>日  期：</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年</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月</w:t>
                      </w:r>
                      <w:r>
                        <w:rPr>
                          <w:rFonts w:ascii="仿宋_GB2312" w:eastAsia="仿宋_GB2312" w:hAnsi="仿宋" w:cs="仿宋" w:hint="eastAsia"/>
                          <w:sz w:val="28"/>
                          <w:szCs w:val="28"/>
                          <w:u w:val="single"/>
                        </w:rPr>
                        <w:t xml:space="preserve">   </w:t>
                      </w:r>
                      <w:r>
                        <w:rPr>
                          <w:rFonts w:ascii="仿宋_GB2312" w:eastAsia="仿宋_GB2312" w:hAnsi="仿宋" w:cs="仿宋" w:hint="eastAsia"/>
                          <w:sz w:val="28"/>
                          <w:szCs w:val="28"/>
                        </w:rPr>
                        <w:t>日</w:t>
                      </w:r>
                      <w:r>
                        <w:rPr>
                          <w:rFonts w:ascii="仿宋" w:eastAsia="仿宋" w:hAnsi="仿宋" w:cs="仿宋" w:hint="eastAsia"/>
                          <w:sz w:val="28"/>
                          <w:szCs w:val="28"/>
                          <w:u w:val="single"/>
                        </w:rPr>
                        <w:t xml:space="preserve">  </w:t>
                      </w:r>
                      <w:permEnd w:id="1505"/>
                    </w:p>
                  </w:txbxContent>
                </v:textbox>
              </v:shape>
            </w:pict>
          </mc:Fallback>
        </mc:AlternateContent>
      </w:r>
      <w:bookmarkStart w:id="1506" w:name="_Toc362478915"/>
      <w:bookmarkStart w:id="1507" w:name="_Toc2094516902"/>
      <w:bookmarkStart w:id="1508" w:name="_Toc184263479"/>
      <w:r>
        <w:rPr>
          <w:rFonts w:ascii="宋体" w:hAnsi="宋体" w:cs="宋体" w:hint="eastAsia"/>
          <w:b/>
          <w:bCs/>
          <w:lang w:eastAsia="zh-CN"/>
        </w:rPr>
        <w:br w:type="page"/>
      </w:r>
    </w:p>
    <w:p w14:paraId="2E8E6C9B">
      <w:pPr>
        <w:spacing w:line="360" w:lineRule="auto"/>
        <w:ind w:left="-240" w:right="-240" w:leftChars="-100" w:rightChars="-100"/>
        <w:outlineLvl w:val="1"/>
        <w:rPr>
          <w:rFonts w:ascii="宋体" w:hAnsi="宋体" w:cs="宋体"/>
          <w:b/>
          <w:bCs/>
          <w:lang w:eastAsia="zh-CN"/>
        </w:rPr>
      </w:pPr>
      <w:r>
        <w:rPr>
          <w:rFonts w:ascii="宋体" w:hAnsi="宋体" w:cs="宋体" w:hint="eastAsia"/>
          <w:b/>
          <w:bCs/>
          <w:lang w:eastAsia="zh-CN"/>
        </w:rPr>
        <w:t>附件8：</w:t>
      </w:r>
      <w:bookmarkEnd w:id="1506"/>
      <w:bookmarkEnd w:id="1507"/>
      <w:bookmarkEnd w:id="1508"/>
    </w:p>
    <w:p w14:paraId="5A01E7A3">
      <w:pPr>
        <w:pStyle w:val="Heading2"/>
        <w:spacing w:before="0"/>
        <w:ind w:left="-240" w:right="-240" w:leftChars="-100" w:rightChars="-100"/>
        <w:jc w:val="center"/>
        <w:rPr>
          <w:rFonts w:ascii="宋体" w:hAnsi="宋体" w:cs="宋体"/>
          <w:b w:val="0"/>
          <w:sz w:val="24"/>
          <w:szCs w:val="24"/>
        </w:rPr>
      </w:pPr>
      <w:bookmarkStart w:id="1509" w:name="_Toc1106295181"/>
      <w:bookmarkStart w:id="1510" w:name="_Toc41181775"/>
      <w:r>
        <w:rPr>
          <w:rFonts w:ascii="宋体" w:hAnsi="宋体" w:cs="宋体" w:hint="eastAsia"/>
          <w:b w:val="0"/>
          <w:sz w:val="24"/>
          <w:szCs w:val="24"/>
        </w:rPr>
        <w:t>廉政建设责任书</w:t>
      </w:r>
      <w:bookmarkEnd w:id="1509"/>
      <w:bookmarkEnd w:id="1510"/>
    </w:p>
    <w:p w14:paraId="30420B14">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建设责任书。</w:t>
      </w:r>
    </w:p>
    <w:p w14:paraId="4E1411F0">
      <w:pPr>
        <w:snapToGrid w:val="0"/>
        <w:spacing w:line="360" w:lineRule="auto"/>
        <w:ind w:left="-240" w:right="-240" w:firstLine="480" w:leftChars="-100" w:rightChars="-100" w:firstLineChars="200"/>
        <w:rPr>
          <w:rFonts w:ascii="宋体" w:hAnsi="宋体" w:cs="宋体"/>
          <w:b/>
          <w:bCs/>
          <w:lang w:eastAsia="zh-CN"/>
        </w:rPr>
      </w:pPr>
      <w:r>
        <w:rPr>
          <w:rFonts w:ascii="宋体" w:hAnsi="宋体" w:cs="宋体" w:hint="eastAsia"/>
          <w:b/>
          <w:bCs/>
          <w:lang w:eastAsia="zh-CN"/>
        </w:rPr>
        <w:t>一、双方的责任</w:t>
      </w:r>
    </w:p>
    <w:p w14:paraId="641754EA">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1.1应严格遵守国家关于建设工程的有关法律、法规，相关政策，以及廉政建设的各项规定。</w:t>
      </w:r>
    </w:p>
    <w:p w14:paraId="77A33008">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1.2严格执行建设工程合同文件，自觉按合同办事。</w:t>
      </w:r>
    </w:p>
    <w:p w14:paraId="65F71E0D">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1.3各项活动必须坚持公开、公平、公正、诚信、透明的原则(除法律法规另有规定者外)，不得为获取不正当的利益，损害国家、集体和对方利益，不得违反建设工程管理的规章制度。</w:t>
      </w:r>
    </w:p>
    <w:p w14:paraId="11E0E32B">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1.4发现对方在业务活动中有违规、违纪、违法行为的，应及时提醒对方，情节严重的，应向其上级主管部门或纪检监察、司法等有关机关举报。</w:t>
      </w:r>
    </w:p>
    <w:p w14:paraId="26B81B1C">
      <w:pPr>
        <w:snapToGrid w:val="0"/>
        <w:spacing w:line="360" w:lineRule="auto"/>
        <w:ind w:left="-240" w:right="-240" w:firstLine="480" w:leftChars="-100" w:rightChars="-100" w:firstLineChars="200"/>
        <w:rPr>
          <w:rFonts w:ascii="宋体" w:hAnsi="宋体" w:cs="宋体"/>
          <w:b/>
          <w:bCs/>
          <w:lang w:eastAsia="zh-CN"/>
        </w:rPr>
      </w:pPr>
      <w:r>
        <w:rPr>
          <w:rFonts w:ascii="宋体" w:hAnsi="宋体" w:cs="宋体" w:hint="eastAsia"/>
          <w:b/>
          <w:bCs/>
          <w:lang w:eastAsia="zh-CN"/>
        </w:rPr>
        <w:t>二、发包人责任</w:t>
      </w:r>
    </w:p>
    <w:p w14:paraId="1C30C6AB">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发包人从事该建设工程项目的负责人和工作人员，在工程建设的事前、事中、事后应遵守以下规定：</w:t>
      </w:r>
    </w:p>
    <w:p w14:paraId="77F8B5A0">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2.1不得向承包人和相关单位索要或接受回扣、礼金、有价证券、贵重物品和好处费、感谢费等。</w:t>
      </w:r>
    </w:p>
    <w:p w14:paraId="7EB22698">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2.2不得在承包人和相关单位报销任何应由发包人或个人支付的费用。</w:t>
      </w:r>
    </w:p>
    <w:p w14:paraId="78CAAD18">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2.3不得要求、暗示或接受承包人和相关单位为个人装修住房、婚丧嫁娶、配偶子女的工作安排以及出国(境)、旅游等提供方便。</w:t>
      </w:r>
    </w:p>
    <w:p w14:paraId="3D797EB6">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2.4不得参加有可能影响公正执行公务的承包人和相关单位的宴请、健身、娱乐等活动。</w:t>
      </w:r>
    </w:p>
    <w:p w14:paraId="186FCC06">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2.5不得向承包人和相关单位介绍或为配偶、子女、亲属参与同发包人工程建设管理合同有关的业务活动；不得以任何理由要求承包人和相关单位使用某种产品、材料和设备。</w:t>
      </w:r>
    </w:p>
    <w:p w14:paraId="5BF28BCA">
      <w:pPr>
        <w:snapToGrid w:val="0"/>
        <w:spacing w:line="360" w:lineRule="auto"/>
        <w:ind w:left="-240" w:right="-240" w:firstLine="480" w:leftChars="-100" w:rightChars="-100" w:firstLineChars="200"/>
        <w:rPr>
          <w:rFonts w:ascii="宋体" w:hAnsi="宋体" w:cs="宋体"/>
          <w:b/>
          <w:bCs/>
          <w:lang w:eastAsia="zh-CN"/>
        </w:rPr>
      </w:pPr>
      <w:r>
        <w:rPr>
          <w:rFonts w:ascii="宋体" w:hAnsi="宋体" w:cs="宋体" w:hint="eastAsia"/>
          <w:b/>
          <w:bCs/>
          <w:lang w:eastAsia="zh-CN"/>
        </w:rPr>
        <w:t>三、承包人责任</w:t>
      </w:r>
    </w:p>
    <w:p w14:paraId="72A98AFB">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应与发包人保持正常的业务交往，按照有关法律法规和程序开展业务工作，严格执行工程建设的有关方针、政策，执行工程建设强制性标准，并遵守以下规定：</w:t>
      </w:r>
    </w:p>
    <w:p w14:paraId="3DC096F4">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3.1不得以任何理由向发包人及其工作人员索要、接受或赠送礼金、有价证券、贵重物品及回扣、好处费、感谢费等。</w:t>
      </w:r>
    </w:p>
    <w:p w14:paraId="56C662A9">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3.2不得以任何理由为发包人和相关单位报销应由对方或个人支付的费用。</w:t>
      </w:r>
    </w:p>
    <w:p w14:paraId="07BC6B33">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3.3不得接受或暗示为发包人、相关单位或个人装修住房、婚丧嫁娶、配偶子女的工作安排以及出国(境)、旅游等提供方便。</w:t>
      </w:r>
    </w:p>
    <w:p w14:paraId="47E9041F">
      <w:pPr>
        <w:snapToGrid w:val="0"/>
        <w:spacing w:line="360" w:lineRule="auto"/>
        <w:ind w:left="-240" w:right="-240" w:firstLine="480" w:leftChars="-100" w:rightChars="-100" w:firstLineChars="200"/>
        <w:rPr>
          <w:rFonts w:ascii="宋体" w:hAnsi="宋体" w:cs="宋体"/>
          <w:b/>
          <w:bCs/>
          <w:lang w:eastAsia="zh-CN"/>
        </w:rPr>
      </w:pPr>
      <w:r>
        <w:rPr>
          <w:rFonts w:ascii="宋体" w:hAnsi="宋体" w:cs="宋体" w:hint="eastAsia"/>
          <w:lang w:eastAsia="zh-CN"/>
        </w:rPr>
        <w:t>3.4不得以任何理由为发包人、相关单位或个人组织有可能影响公正执行公务的宴请、健身、娱乐等活动。</w:t>
      </w:r>
    </w:p>
    <w:p w14:paraId="263477F7">
      <w:pPr>
        <w:snapToGrid w:val="0"/>
        <w:spacing w:line="360" w:lineRule="auto"/>
        <w:ind w:left="-240" w:right="-240" w:firstLine="480" w:leftChars="-100" w:rightChars="-100" w:firstLineChars="200"/>
        <w:rPr>
          <w:rFonts w:ascii="宋体" w:hAnsi="宋体" w:cs="宋体"/>
          <w:b/>
          <w:bCs/>
          <w:lang w:eastAsia="zh-CN"/>
        </w:rPr>
      </w:pPr>
      <w:r>
        <w:rPr>
          <w:rFonts w:ascii="宋体" w:hAnsi="宋体" w:cs="宋体" w:hint="eastAsia"/>
          <w:b/>
          <w:bCs/>
          <w:lang w:eastAsia="zh-CN"/>
        </w:rPr>
        <w:t>四、违约责任</w:t>
      </w:r>
    </w:p>
    <w:p w14:paraId="7570FA42">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4.1发包人工作人员有违反本责任书第一、二条责任行为的，依据有关法律、法规给予处理；涉嫌犯罪的，移交司法机关追究刑事责任；给承包人单位造成经济损失的，应予以赔偿。</w:t>
      </w:r>
    </w:p>
    <w:p w14:paraId="1D8F1D40">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4.2承包人工作人员有违反本责任书第一、三条责任行为的，依据有关法律法规处理；涉嫌犯罪的，移交司法机关追究刑事责任；给发包人单位造成经济损失的，应予以赔偿。</w:t>
      </w:r>
    </w:p>
    <w:p w14:paraId="4730F1A4">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4.3本责任书作为本合同的组成部分，与本合同具有同等法律效力，经双方签署后立即生效。</w:t>
      </w:r>
    </w:p>
    <w:p w14:paraId="1BBEED3A">
      <w:pPr>
        <w:snapToGrid w:val="0"/>
        <w:spacing w:line="360" w:lineRule="auto"/>
        <w:ind w:left="-240" w:right="-240" w:firstLine="480" w:leftChars="-100" w:rightChars="-100" w:firstLineChars="200"/>
        <w:rPr>
          <w:rFonts w:ascii="宋体" w:hAnsi="宋体" w:cs="宋体"/>
          <w:b/>
          <w:bCs/>
          <w:lang w:eastAsia="zh-CN"/>
        </w:rPr>
      </w:pPr>
      <w:r>
        <w:rPr>
          <w:rFonts w:ascii="宋体" w:hAnsi="宋体" w:cs="宋体" w:hint="eastAsia"/>
          <w:b/>
          <w:bCs/>
          <w:lang w:eastAsia="zh-CN"/>
        </w:rPr>
        <w:t>五、责任书有效期</w:t>
      </w:r>
    </w:p>
    <w:p w14:paraId="2379EF0F">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本责任书的有效期为双方签署之日起至该工程项目竣工验收合格时止。</w:t>
      </w:r>
    </w:p>
    <w:p w14:paraId="42C9BE0B">
      <w:pPr>
        <w:snapToGrid w:val="0"/>
        <w:spacing w:line="360" w:lineRule="auto"/>
        <w:ind w:left="-240" w:right="-240" w:firstLine="480" w:leftChars="-100" w:rightChars="-100" w:firstLineChars="200"/>
        <w:rPr>
          <w:rFonts w:ascii="宋体" w:hAnsi="宋体" w:cs="宋体"/>
          <w:b/>
          <w:bCs/>
          <w:lang w:eastAsia="zh-CN"/>
        </w:rPr>
      </w:pPr>
      <w:r>
        <w:rPr>
          <w:rFonts w:ascii="宋体" w:hAnsi="宋体" w:cs="宋体" w:hint="eastAsia"/>
          <w:b/>
          <w:bCs/>
          <w:lang w:eastAsia="zh-CN"/>
        </w:rPr>
        <w:t>六、责任书份数</w:t>
      </w:r>
    </w:p>
    <w:p w14:paraId="5F27E91D">
      <w:pPr>
        <w:snapToGrid w:val="0"/>
        <w:spacing w:line="360" w:lineRule="auto"/>
        <w:ind w:left="-240" w:right="-240" w:firstLine="480" w:leftChars="-100" w:rightChars="-100" w:firstLineChars="200"/>
        <w:rPr>
          <w:rFonts w:ascii="宋体" w:hAnsi="宋体" w:cs="宋体"/>
          <w:lang w:eastAsia="zh-CN"/>
        </w:rPr>
      </w:pPr>
      <w:r>
        <w:rPr>
          <w:rFonts w:ascii="宋体" w:hAnsi="宋体" w:cs="宋体" w:hint="eastAsia"/>
          <w:lang w:eastAsia="zh-CN"/>
        </w:rPr>
        <w:t>本责任书一式两份，发包人承包人各执一份，具有同等效力。</w:t>
      </w:r>
    </w:p>
    <w:p w14:paraId="508FF38B">
      <w:pPr>
        <w:snapToGrid w:val="0"/>
        <w:spacing w:line="360" w:lineRule="auto"/>
        <w:ind w:left="-240" w:right="-240" w:firstLine="600" w:leftChars="-100" w:rightChars="-100"/>
        <w:rPr>
          <w:rFonts w:ascii="宋体" w:hAnsi="宋体" w:cs="宋体"/>
          <w:lang w:eastAsia="zh-CN"/>
        </w:rPr>
      </w:pPr>
      <w:r>
        <w:rPr>
          <w:rFonts w:ascii="Calibri" w:hAnsi="Calibri"/>
          <w:sz w:val="21"/>
          <w:szCs w:val="22"/>
        </w:rPr>
        <mc:AlternateContent>
          <mc:Choice Requires="wps">
            <w:drawing>
              <wp:anchor distT="0" distB="0" distL="114300" distR="114300" simplePos="0" relativeHeight="251666432" behindDoc="0" locked="0" layoutInCell="1" allowOverlap="1">
                <wp:simplePos x="0" y="0"/>
                <wp:positionH relativeFrom="column">
                  <wp:posOffset>-60960</wp:posOffset>
                </wp:positionH>
                <wp:positionV relativeFrom="paragraph">
                  <wp:posOffset>63500</wp:posOffset>
                </wp:positionV>
                <wp:extent cx="2865755" cy="2667635"/>
                <wp:effectExtent l="635" t="0" r="635" b="1905"/>
                <wp:wrapNone/>
                <wp:docPr id="5" name="文本框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65755" cy="2667635"/>
                        </a:xfrm>
                        <a:prstGeom prst="rect">
                          <a:avLst/>
                        </a:prstGeom>
                        <a:solidFill>
                          <a:srgbClr val="FFFFFF"/>
                        </a:solidFill>
                        <a:ln>
                          <a:noFill/>
                        </a:ln>
                      </wps:spPr>
                      <wps:txbx>
                        <w:txbxContent>
                          <w:p>
                            <w:pPr>
                              <w:spacing w:line="360" w:lineRule="auto"/>
                              <w:rPr>
                                <w:rFonts w:ascii="宋体" w:hAnsi="宋体" w:cs="宋体"/>
                                <w:lang w:eastAsia="zh-CN"/>
                              </w:rPr>
                            </w:pPr>
                            <w:r>
                              <w:rPr>
                                <w:rFonts w:ascii="宋体" w:hAnsi="宋体" w:cs="宋体" w:hint="eastAsia"/>
                                <w:lang w:eastAsia="zh-CN"/>
                              </w:rPr>
                              <w:t>发包人：（公章）</w:t>
                            </w:r>
                          </w:p>
                          <w:p>
                            <w:pPr>
                              <w:spacing w:line="360" w:lineRule="auto"/>
                              <w:rPr>
                                <w:rFonts w:ascii="宋体" w:hAnsi="宋体" w:cs="宋体"/>
                                <w:u w:val="single"/>
                                <w:lang w:eastAsia="zh-CN"/>
                              </w:rPr>
                            </w:pPr>
                            <w:r>
                              <w:rPr>
                                <w:rFonts w:ascii="宋体" w:hAnsi="宋体" w:cs="宋体" w:hint="eastAsia"/>
                                <w:lang w:eastAsia="zh-CN"/>
                              </w:rPr>
                              <w:t>法定代表人或其委托代理人：</w:t>
                            </w:r>
                            <w:r>
                              <w:rPr>
                                <w:rFonts w:ascii="宋体" w:hAnsi="宋体" w:cs="宋体" w:hint="eastAsia"/>
                                <w:u w:val="single"/>
                                <w:lang w:eastAsia="zh-CN"/>
                              </w:rPr>
                              <w:t xml:space="preserve">（签字）                       </w:t>
                            </w:r>
                          </w:p>
                          <w:p>
                            <w:pPr>
                              <w:spacing w:line="360" w:lineRule="auto"/>
                              <w:rPr>
                                <w:rFonts w:ascii="宋体" w:hAnsi="宋体" w:cs="宋体"/>
                                <w:u w:val="single"/>
                                <w:lang w:eastAsia="zh-CN"/>
                              </w:rPr>
                            </w:pPr>
                            <w:r>
                              <w:rPr>
                                <w:rFonts w:ascii="宋体" w:hAnsi="宋体" w:cs="宋体" w:hint="eastAsia"/>
                                <w:lang w:eastAsia="zh-CN"/>
                              </w:rPr>
                              <w:t>地  址：</w:t>
                            </w:r>
                            <w:r>
                              <w:rPr>
                                <w:rFonts w:ascii="宋体" w:hAnsi="宋体" w:cs="宋体" w:hint="eastAsia"/>
                                <w:u w:val="single"/>
                                <w:lang w:eastAsia="zh-CN"/>
                              </w:rPr>
                              <w:t xml:space="preserve">                   </w:t>
                            </w:r>
                            <w:r>
                              <w:rPr>
                                <w:rFonts w:ascii="宋体" w:hAnsi="宋体" w:cs="宋体" w:hint="eastAsia"/>
                                <w:lang w:eastAsia="zh-CN"/>
                              </w:rPr>
                              <w:t xml:space="preserve"> </w:t>
                            </w:r>
                          </w:p>
                          <w:p>
                            <w:pPr>
                              <w:spacing w:line="360" w:lineRule="auto"/>
                              <w:rPr>
                                <w:rFonts w:ascii="宋体" w:hAnsi="宋体" w:cs="宋体"/>
                                <w:u w:val="single"/>
                                <w:lang w:eastAsia="zh-CN"/>
                              </w:rPr>
                            </w:pPr>
                            <w:r>
                              <w:rPr>
                                <w:rFonts w:ascii="宋体" w:hAnsi="宋体" w:cs="宋体" w:hint="eastAsia"/>
                                <w:lang w:eastAsia="zh-CN"/>
                              </w:rPr>
                              <w:t>电  话：</w:t>
                            </w:r>
                            <w:r>
                              <w:rPr>
                                <w:rFonts w:ascii="宋体" w:hAnsi="宋体" w:cs="宋体" w:hint="eastAsia"/>
                                <w:u w:val="single"/>
                                <w:lang w:eastAsia="zh-CN"/>
                              </w:rPr>
                              <w:t xml:space="preserve">                   </w:t>
                            </w:r>
                            <w:r>
                              <w:rPr>
                                <w:rFonts w:ascii="宋体" w:hAnsi="宋体" w:cs="宋体" w:hint="eastAsia"/>
                                <w:lang w:eastAsia="zh-CN"/>
                              </w:rPr>
                              <w:t xml:space="preserve"> </w:t>
                            </w:r>
                          </w:p>
                          <w:p>
                            <w:pPr>
                              <w:spacing w:line="360" w:lineRule="auto"/>
                              <w:rPr>
                                <w:rFonts w:ascii="仿宋_GB2312" w:eastAsia="仿宋_GB2312" w:hAnsi="Calibri"/>
                                <w:sz w:val="28"/>
                                <w:szCs w:val="28"/>
                                <w:u w:val="single"/>
                                <w:lang w:eastAsia="zh-CN"/>
                              </w:rPr>
                            </w:pPr>
                            <w:r>
                              <w:rPr>
                                <w:rFonts w:ascii="宋体" w:hAnsi="宋体" w:cs="宋体" w:hint="eastAsia"/>
                                <w:lang w:eastAsia="zh-CN"/>
                              </w:rPr>
                              <w:t>日  期：</w:t>
                            </w:r>
                            <w:r>
                              <w:rPr>
                                <w:rFonts w:ascii="宋体" w:hAnsi="宋体" w:cs="宋体" w:hint="eastAsia"/>
                                <w:u w:val="single"/>
                                <w:lang w:eastAsia="zh-CN"/>
                              </w:rPr>
                              <w:t xml:space="preserve">      </w:t>
                            </w:r>
                            <w:r>
                              <w:rPr>
                                <w:rFonts w:ascii="宋体" w:hAnsi="宋体" w:cs="宋体" w:hint="eastAsia"/>
                                <w:lang w:eastAsia="zh-CN"/>
                              </w:rPr>
                              <w:t>年</w:t>
                            </w:r>
                            <w:r>
                              <w:rPr>
                                <w:rFonts w:ascii="宋体" w:hAnsi="宋体" w:cs="宋体" w:hint="eastAsia"/>
                                <w:u w:val="single"/>
                                <w:lang w:eastAsia="zh-CN"/>
                              </w:rPr>
                              <w:t xml:space="preserve">   </w:t>
                            </w:r>
                            <w:r>
                              <w:rPr>
                                <w:rFonts w:ascii="宋体" w:hAnsi="宋体" w:cs="宋体" w:hint="eastAsia"/>
                                <w:lang w:eastAsia="zh-CN"/>
                              </w:rPr>
                              <w:t>月</w:t>
                            </w:r>
                            <w:r>
                              <w:rPr>
                                <w:rFonts w:ascii="宋体" w:hAnsi="宋体" w:cs="宋体" w:hint="eastAsia"/>
                                <w:u w:val="single"/>
                                <w:lang w:eastAsia="zh-CN"/>
                              </w:rPr>
                              <w:t xml:space="preserve">   </w:t>
                            </w:r>
                            <w:r>
                              <w:rPr>
                                <w:rFonts w:ascii="宋体" w:hAnsi="宋体" w:cs="宋体" w:hint="eastAsia"/>
                                <w:lang w:eastAsia="zh-CN"/>
                              </w:rPr>
                              <w:t>日</w:t>
                            </w:r>
                          </w:p>
                        </w:txbxContent>
                      </wps:txbx>
                      <wps:bodyPr rot="0" vert="horz" wrap="square" anchor="t" anchorCtr="0" upright="1"/>
                    </wps:wsp>
                  </a:graphicData>
                </a:graphic>
              </wp:anchor>
            </w:drawing>
          </mc:Choice>
          <mc:Fallback>
            <w:pict>
              <v:shape id="文本框 18" o:spid="_x0000_s1041" type="#_x0000_t202" style="width:225.65pt;height:210.05pt;margin-top:5pt;margin-left:-4.8pt;mso-height-relative:page;mso-width-relative:page;position:absolute;z-index:251667456" coordsize="21600,21600" filled="t" fillcolor="white" stroked="f">
                <o:lock v:ext="edit" aspectratio="f"/>
                <v:textbox>
                  <w:txbxContent>
                    <w:p w14:paraId="4ABD6D9F">
                      <w:pPr>
                        <w:spacing w:line="360" w:lineRule="auto"/>
                        <w:rPr>
                          <w:rFonts w:ascii="宋体" w:hAnsi="宋体" w:cs="宋体"/>
                          <w:lang w:eastAsia="zh-CN"/>
                        </w:rPr>
                      </w:pPr>
                      <w:permStart w:id="1511" w:edGrp="everyone"/>
                      <w:r>
                        <w:rPr>
                          <w:rFonts w:ascii="宋体" w:hAnsi="宋体" w:cs="宋体" w:hint="eastAsia"/>
                          <w:lang w:eastAsia="zh-CN"/>
                        </w:rPr>
                        <w:t>发包人：（公章）</w:t>
                      </w:r>
                    </w:p>
                    <w:p w14:paraId="31B971FD">
                      <w:pPr>
                        <w:spacing w:line="360" w:lineRule="auto"/>
                        <w:rPr>
                          <w:rFonts w:ascii="宋体" w:hAnsi="宋体" w:cs="宋体"/>
                          <w:u w:val="single"/>
                          <w:lang w:eastAsia="zh-CN"/>
                        </w:rPr>
                      </w:pPr>
                      <w:r>
                        <w:rPr>
                          <w:rFonts w:ascii="宋体" w:hAnsi="宋体" w:cs="宋体" w:hint="eastAsia"/>
                          <w:lang w:eastAsia="zh-CN"/>
                        </w:rPr>
                        <w:t>法定代表人或其委托代理人：</w:t>
                      </w:r>
                      <w:r>
                        <w:rPr>
                          <w:rFonts w:ascii="宋体" w:hAnsi="宋体" w:cs="宋体" w:hint="eastAsia"/>
                          <w:u w:val="single"/>
                          <w:lang w:eastAsia="zh-CN"/>
                        </w:rPr>
                        <w:t xml:space="preserve">（签字）                       </w:t>
                      </w:r>
                    </w:p>
                    <w:p w14:paraId="3E5B4DAA">
                      <w:pPr>
                        <w:spacing w:line="360" w:lineRule="auto"/>
                        <w:rPr>
                          <w:rFonts w:ascii="宋体" w:hAnsi="宋体" w:cs="宋体"/>
                          <w:u w:val="single"/>
                          <w:lang w:eastAsia="zh-CN"/>
                        </w:rPr>
                      </w:pPr>
                      <w:r>
                        <w:rPr>
                          <w:rFonts w:ascii="宋体" w:hAnsi="宋体" w:cs="宋体" w:hint="eastAsia"/>
                          <w:lang w:eastAsia="zh-CN"/>
                        </w:rPr>
                        <w:t>地  址：</w:t>
                      </w:r>
                      <w:r>
                        <w:rPr>
                          <w:rFonts w:ascii="宋体" w:hAnsi="宋体" w:cs="宋体" w:hint="eastAsia"/>
                          <w:u w:val="single"/>
                          <w:lang w:eastAsia="zh-CN"/>
                        </w:rPr>
                        <w:t xml:space="preserve">                   </w:t>
                      </w:r>
                      <w:r>
                        <w:rPr>
                          <w:rFonts w:ascii="宋体" w:hAnsi="宋体" w:cs="宋体" w:hint="eastAsia"/>
                          <w:lang w:eastAsia="zh-CN"/>
                        </w:rPr>
                        <w:t xml:space="preserve"> </w:t>
                      </w:r>
                    </w:p>
                    <w:p w14:paraId="2E336B09">
                      <w:pPr>
                        <w:spacing w:line="360" w:lineRule="auto"/>
                        <w:rPr>
                          <w:rFonts w:ascii="宋体" w:hAnsi="宋体" w:cs="宋体"/>
                          <w:u w:val="single"/>
                          <w:lang w:eastAsia="zh-CN"/>
                        </w:rPr>
                      </w:pPr>
                      <w:r>
                        <w:rPr>
                          <w:rFonts w:ascii="宋体" w:hAnsi="宋体" w:cs="宋体" w:hint="eastAsia"/>
                          <w:lang w:eastAsia="zh-CN"/>
                        </w:rPr>
                        <w:t>电  话：</w:t>
                      </w:r>
                      <w:r>
                        <w:rPr>
                          <w:rFonts w:ascii="宋体" w:hAnsi="宋体" w:cs="宋体" w:hint="eastAsia"/>
                          <w:u w:val="single"/>
                          <w:lang w:eastAsia="zh-CN"/>
                        </w:rPr>
                        <w:t xml:space="preserve">                   </w:t>
                      </w:r>
                      <w:r>
                        <w:rPr>
                          <w:rFonts w:ascii="宋体" w:hAnsi="宋体" w:cs="宋体" w:hint="eastAsia"/>
                          <w:lang w:eastAsia="zh-CN"/>
                        </w:rPr>
                        <w:t xml:space="preserve"> </w:t>
                      </w:r>
                    </w:p>
                    <w:p w14:paraId="4CB43465">
                      <w:pPr>
                        <w:spacing w:line="360" w:lineRule="auto"/>
                        <w:rPr>
                          <w:rFonts w:ascii="仿宋_GB2312" w:eastAsia="仿宋_GB2312" w:hAnsi="Calibri"/>
                          <w:sz w:val="28"/>
                          <w:szCs w:val="28"/>
                          <w:u w:val="single"/>
                          <w:lang w:eastAsia="zh-CN"/>
                        </w:rPr>
                      </w:pPr>
                      <w:r>
                        <w:rPr>
                          <w:rFonts w:ascii="宋体" w:hAnsi="宋体" w:cs="宋体" w:hint="eastAsia"/>
                          <w:lang w:eastAsia="zh-CN"/>
                        </w:rPr>
                        <w:t>日  期：</w:t>
                      </w:r>
                      <w:r>
                        <w:rPr>
                          <w:rFonts w:ascii="宋体" w:hAnsi="宋体" w:cs="宋体" w:hint="eastAsia"/>
                          <w:u w:val="single"/>
                          <w:lang w:eastAsia="zh-CN"/>
                        </w:rPr>
                        <w:t xml:space="preserve">      </w:t>
                      </w:r>
                      <w:r>
                        <w:rPr>
                          <w:rFonts w:ascii="宋体" w:hAnsi="宋体" w:cs="宋体" w:hint="eastAsia"/>
                          <w:lang w:eastAsia="zh-CN"/>
                        </w:rPr>
                        <w:t>年</w:t>
                      </w:r>
                      <w:r>
                        <w:rPr>
                          <w:rFonts w:ascii="宋体" w:hAnsi="宋体" w:cs="宋体" w:hint="eastAsia"/>
                          <w:u w:val="single"/>
                          <w:lang w:eastAsia="zh-CN"/>
                        </w:rPr>
                        <w:t xml:space="preserve">   </w:t>
                      </w:r>
                      <w:r>
                        <w:rPr>
                          <w:rFonts w:ascii="宋体" w:hAnsi="宋体" w:cs="宋体" w:hint="eastAsia"/>
                          <w:lang w:eastAsia="zh-CN"/>
                        </w:rPr>
                        <w:t>月</w:t>
                      </w:r>
                      <w:r>
                        <w:rPr>
                          <w:rFonts w:ascii="宋体" w:hAnsi="宋体" w:cs="宋体" w:hint="eastAsia"/>
                          <w:u w:val="single"/>
                          <w:lang w:eastAsia="zh-CN"/>
                        </w:rPr>
                        <w:t xml:space="preserve">   </w:t>
                      </w:r>
                      <w:r>
                        <w:rPr>
                          <w:rFonts w:ascii="宋体" w:hAnsi="宋体" w:cs="宋体" w:hint="eastAsia"/>
                          <w:lang w:eastAsia="zh-CN"/>
                        </w:rPr>
                        <w:t>日</w:t>
                      </w:r>
                      <w:permEnd w:id="1511"/>
                    </w:p>
                  </w:txbxContent>
                </v:textbox>
              </v:shape>
            </w:pict>
          </mc:Fallback>
        </mc:AlternateContent>
      </w:r>
      <w:r>
        <w:rPr>
          <w:rFonts w:ascii="Calibri" w:hAnsi="Calibri"/>
          <w:sz w:val="21"/>
          <w:szCs w:val="22"/>
        </w:rPr>
        <mc:AlternateContent>
          <mc:Choice Requires="wps">
            <w:drawing>
              <wp:anchor distT="0" distB="0" distL="114300" distR="114300" simplePos="0" relativeHeight="251668480" behindDoc="0" locked="0" layoutInCell="1" allowOverlap="1">
                <wp:simplePos x="0" y="0"/>
                <wp:positionH relativeFrom="column">
                  <wp:posOffset>2803525</wp:posOffset>
                </wp:positionH>
                <wp:positionV relativeFrom="paragraph">
                  <wp:posOffset>62230</wp:posOffset>
                </wp:positionV>
                <wp:extent cx="2865755" cy="3362325"/>
                <wp:effectExtent l="0" t="0" r="3175" b="3810"/>
                <wp:wrapNone/>
                <wp:docPr id="4" name="文本框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65755" cy="3362325"/>
                        </a:xfrm>
                        <a:prstGeom prst="rect">
                          <a:avLst/>
                        </a:prstGeom>
                        <a:solidFill>
                          <a:srgbClr val="FFFFFF"/>
                        </a:solidFill>
                        <a:ln>
                          <a:noFill/>
                        </a:ln>
                      </wps:spPr>
                      <wps:txbx>
                        <w:txbxContent>
                          <w:p>
                            <w:pPr>
                              <w:spacing w:line="360" w:lineRule="auto"/>
                              <w:rPr>
                                <w:rFonts w:ascii="宋体" w:hAnsi="宋体" w:cs="宋体"/>
                                <w:lang w:eastAsia="zh-CN"/>
                              </w:rPr>
                            </w:pPr>
                            <w:r>
                              <w:rPr>
                                <w:rFonts w:ascii="宋体" w:hAnsi="宋体" w:cs="宋体" w:hint="eastAsia"/>
                                <w:lang w:eastAsia="zh-CN"/>
                              </w:rPr>
                              <w:t>承包人：（公章）</w:t>
                            </w:r>
                          </w:p>
                          <w:p>
                            <w:pPr>
                              <w:spacing w:line="360" w:lineRule="auto"/>
                              <w:rPr>
                                <w:rFonts w:ascii="宋体" w:hAnsi="宋体" w:cs="宋体"/>
                                <w:u w:val="single"/>
                                <w:lang w:eastAsia="zh-CN"/>
                              </w:rPr>
                            </w:pPr>
                            <w:r>
                              <w:rPr>
                                <w:rFonts w:ascii="宋体" w:hAnsi="宋体" w:cs="宋体" w:hint="eastAsia"/>
                                <w:lang w:eastAsia="zh-CN"/>
                              </w:rPr>
                              <w:t>法定代表人或其委托代理人：</w:t>
                            </w:r>
                            <w:r>
                              <w:rPr>
                                <w:rFonts w:ascii="宋体" w:hAnsi="宋体" w:cs="宋体" w:hint="eastAsia"/>
                                <w:u w:val="single"/>
                                <w:lang w:eastAsia="zh-CN"/>
                              </w:rPr>
                              <w:t xml:space="preserve">（签字）     </w:t>
                            </w:r>
                          </w:p>
                          <w:p>
                            <w:pPr>
                              <w:spacing w:line="360" w:lineRule="auto"/>
                              <w:rPr>
                                <w:rFonts w:ascii="宋体" w:hAnsi="宋体" w:cs="宋体"/>
                                <w:u w:val="single"/>
                                <w:lang w:eastAsia="zh-CN"/>
                              </w:rPr>
                            </w:pPr>
                            <w:r>
                              <w:rPr>
                                <w:rFonts w:ascii="宋体" w:hAnsi="宋体" w:cs="宋体" w:hint="eastAsia"/>
                                <w:lang w:eastAsia="zh-CN"/>
                              </w:rPr>
                              <w:t>地  址：</w:t>
                            </w:r>
                            <w:r>
                              <w:rPr>
                                <w:rFonts w:ascii="宋体" w:hAnsi="宋体" w:cs="宋体" w:hint="eastAsia"/>
                                <w:u w:val="single"/>
                                <w:lang w:eastAsia="zh-CN"/>
                              </w:rPr>
                              <w:t xml:space="preserve">                 </w:t>
                            </w:r>
                            <w:r>
                              <w:rPr>
                                <w:rFonts w:ascii="宋体" w:hAnsi="宋体" w:cs="宋体" w:hint="eastAsia"/>
                                <w:lang w:eastAsia="zh-CN"/>
                              </w:rPr>
                              <w:t xml:space="preserve"> </w:t>
                            </w:r>
                          </w:p>
                          <w:p>
                            <w:pPr>
                              <w:spacing w:line="360" w:lineRule="auto"/>
                              <w:rPr>
                                <w:rFonts w:ascii="宋体" w:hAnsi="宋体" w:cs="宋体"/>
                                <w:u w:val="single"/>
                                <w:lang w:eastAsia="zh-CN"/>
                              </w:rPr>
                            </w:pPr>
                            <w:r>
                              <w:rPr>
                                <w:rFonts w:ascii="宋体" w:hAnsi="宋体" w:cs="宋体" w:hint="eastAsia"/>
                                <w:lang w:eastAsia="zh-CN"/>
                              </w:rPr>
                              <w:t>电  话：</w:t>
                            </w:r>
                            <w:r>
                              <w:rPr>
                                <w:rFonts w:ascii="宋体" w:hAnsi="宋体" w:cs="宋体" w:hint="eastAsia"/>
                                <w:u w:val="single"/>
                                <w:lang w:eastAsia="zh-CN"/>
                              </w:rPr>
                              <w:t xml:space="preserve">                  </w:t>
                            </w:r>
                            <w:r>
                              <w:rPr>
                                <w:rFonts w:ascii="宋体" w:hAnsi="宋体" w:cs="宋体" w:hint="eastAsia"/>
                                <w:lang w:eastAsia="zh-CN"/>
                              </w:rPr>
                              <w:t xml:space="preserve"> </w:t>
                            </w:r>
                          </w:p>
                          <w:p>
                            <w:pPr>
                              <w:spacing w:line="360" w:lineRule="auto"/>
                              <w:rPr>
                                <w:rFonts w:ascii="宋体" w:hAnsi="宋体" w:cs="宋体"/>
                                <w:u w:val="single"/>
                                <w:lang w:eastAsia="zh-CN"/>
                              </w:rPr>
                            </w:pPr>
                            <w:r>
                              <w:rPr>
                                <w:rFonts w:ascii="宋体" w:hAnsi="宋体" w:cs="宋体" w:hint="eastAsia"/>
                                <w:lang w:eastAsia="zh-CN"/>
                              </w:rPr>
                              <w:t>日  期：</w:t>
                            </w:r>
                            <w:r>
                              <w:rPr>
                                <w:rFonts w:ascii="宋体" w:hAnsi="宋体" w:cs="宋体" w:hint="eastAsia"/>
                                <w:u w:val="single"/>
                                <w:lang w:eastAsia="zh-CN"/>
                              </w:rPr>
                              <w:t xml:space="preserve">      </w:t>
                            </w:r>
                            <w:r>
                              <w:rPr>
                                <w:rFonts w:ascii="宋体" w:hAnsi="宋体" w:cs="宋体" w:hint="eastAsia"/>
                                <w:lang w:eastAsia="zh-CN"/>
                              </w:rPr>
                              <w:t>年</w:t>
                            </w:r>
                            <w:r>
                              <w:rPr>
                                <w:rFonts w:ascii="宋体" w:hAnsi="宋体" w:cs="宋体" w:hint="eastAsia"/>
                                <w:u w:val="single"/>
                                <w:lang w:eastAsia="zh-CN"/>
                              </w:rPr>
                              <w:t xml:space="preserve">   </w:t>
                            </w:r>
                            <w:r>
                              <w:rPr>
                                <w:rFonts w:ascii="宋体" w:hAnsi="宋体" w:cs="宋体" w:hint="eastAsia"/>
                                <w:lang w:eastAsia="zh-CN"/>
                              </w:rPr>
                              <w:t>月</w:t>
                            </w:r>
                            <w:r>
                              <w:rPr>
                                <w:rFonts w:ascii="宋体" w:hAnsi="宋体" w:cs="宋体" w:hint="eastAsia"/>
                                <w:u w:val="single"/>
                                <w:lang w:eastAsia="zh-CN"/>
                              </w:rPr>
                              <w:t xml:space="preserve">   </w:t>
                            </w:r>
                            <w:r>
                              <w:rPr>
                                <w:rFonts w:ascii="宋体" w:hAnsi="宋体" w:cs="宋体" w:hint="eastAsia"/>
                                <w:lang w:eastAsia="zh-CN"/>
                              </w:rPr>
                              <w:t>日</w:t>
                            </w:r>
                          </w:p>
                        </w:txbxContent>
                      </wps:txbx>
                      <wps:bodyPr rot="0" vert="horz" wrap="square" anchor="t" anchorCtr="0" upright="1"/>
                    </wps:wsp>
                  </a:graphicData>
                </a:graphic>
              </wp:anchor>
            </w:drawing>
          </mc:Choice>
          <mc:Fallback>
            <w:pict>
              <v:shape id="文本框 17" o:spid="_x0000_s1042" type="#_x0000_t202" style="width:225.65pt;height:264.75pt;margin-top:4.9pt;margin-left:220.75pt;mso-height-relative:page;mso-width-relative:page;position:absolute;z-index:251669504" coordsize="21600,21600" filled="t" fillcolor="white" stroked="f">
                <o:lock v:ext="edit" aspectratio="f"/>
                <v:textbox>
                  <w:txbxContent>
                    <w:p w14:paraId="7C80DE19">
                      <w:pPr>
                        <w:spacing w:line="360" w:lineRule="auto"/>
                        <w:rPr>
                          <w:rFonts w:ascii="宋体" w:hAnsi="宋体" w:cs="宋体"/>
                          <w:lang w:eastAsia="zh-CN"/>
                        </w:rPr>
                      </w:pPr>
                      <w:permStart w:id="1512" w:edGrp="everyone"/>
                      <w:r>
                        <w:rPr>
                          <w:rFonts w:ascii="宋体" w:hAnsi="宋体" w:cs="宋体" w:hint="eastAsia"/>
                          <w:lang w:eastAsia="zh-CN"/>
                        </w:rPr>
                        <w:t>承包人：（公章）</w:t>
                      </w:r>
                    </w:p>
                    <w:p w14:paraId="2213B2E0">
                      <w:pPr>
                        <w:spacing w:line="360" w:lineRule="auto"/>
                        <w:rPr>
                          <w:rFonts w:ascii="宋体" w:hAnsi="宋体" w:cs="宋体"/>
                          <w:u w:val="single"/>
                          <w:lang w:eastAsia="zh-CN"/>
                        </w:rPr>
                      </w:pPr>
                      <w:r>
                        <w:rPr>
                          <w:rFonts w:ascii="宋体" w:hAnsi="宋体" w:cs="宋体" w:hint="eastAsia"/>
                          <w:lang w:eastAsia="zh-CN"/>
                        </w:rPr>
                        <w:t>法定代表人或其委托代理人：</w:t>
                      </w:r>
                      <w:r>
                        <w:rPr>
                          <w:rFonts w:ascii="宋体" w:hAnsi="宋体" w:cs="宋体" w:hint="eastAsia"/>
                          <w:u w:val="single"/>
                          <w:lang w:eastAsia="zh-CN"/>
                        </w:rPr>
                        <w:t xml:space="preserve">（签字）     </w:t>
                      </w:r>
                    </w:p>
                    <w:p w14:paraId="13AADB7F">
                      <w:pPr>
                        <w:spacing w:line="360" w:lineRule="auto"/>
                        <w:rPr>
                          <w:rFonts w:ascii="宋体" w:hAnsi="宋体" w:cs="宋体"/>
                          <w:u w:val="single"/>
                          <w:lang w:eastAsia="zh-CN"/>
                        </w:rPr>
                      </w:pPr>
                      <w:r>
                        <w:rPr>
                          <w:rFonts w:ascii="宋体" w:hAnsi="宋体" w:cs="宋体" w:hint="eastAsia"/>
                          <w:lang w:eastAsia="zh-CN"/>
                        </w:rPr>
                        <w:t>地  址：</w:t>
                      </w:r>
                      <w:r>
                        <w:rPr>
                          <w:rFonts w:ascii="宋体" w:hAnsi="宋体" w:cs="宋体" w:hint="eastAsia"/>
                          <w:u w:val="single"/>
                          <w:lang w:eastAsia="zh-CN"/>
                        </w:rPr>
                        <w:t xml:space="preserve">                 </w:t>
                      </w:r>
                      <w:r>
                        <w:rPr>
                          <w:rFonts w:ascii="宋体" w:hAnsi="宋体" w:cs="宋体" w:hint="eastAsia"/>
                          <w:lang w:eastAsia="zh-CN"/>
                        </w:rPr>
                        <w:t xml:space="preserve"> </w:t>
                      </w:r>
                    </w:p>
                    <w:p w14:paraId="45D5D34F">
                      <w:pPr>
                        <w:spacing w:line="360" w:lineRule="auto"/>
                        <w:rPr>
                          <w:rFonts w:ascii="宋体" w:hAnsi="宋体" w:cs="宋体"/>
                          <w:u w:val="single"/>
                          <w:lang w:eastAsia="zh-CN"/>
                        </w:rPr>
                      </w:pPr>
                      <w:r>
                        <w:rPr>
                          <w:rFonts w:ascii="宋体" w:hAnsi="宋体" w:cs="宋体" w:hint="eastAsia"/>
                          <w:lang w:eastAsia="zh-CN"/>
                        </w:rPr>
                        <w:t>电  话：</w:t>
                      </w:r>
                      <w:r>
                        <w:rPr>
                          <w:rFonts w:ascii="宋体" w:hAnsi="宋体" w:cs="宋体" w:hint="eastAsia"/>
                          <w:u w:val="single"/>
                          <w:lang w:eastAsia="zh-CN"/>
                        </w:rPr>
                        <w:t xml:space="preserve">                  </w:t>
                      </w:r>
                      <w:r>
                        <w:rPr>
                          <w:rFonts w:ascii="宋体" w:hAnsi="宋体" w:cs="宋体" w:hint="eastAsia"/>
                          <w:lang w:eastAsia="zh-CN"/>
                        </w:rPr>
                        <w:t xml:space="preserve"> </w:t>
                      </w:r>
                    </w:p>
                    <w:p w14:paraId="6A7BD061">
                      <w:pPr>
                        <w:spacing w:line="360" w:lineRule="auto"/>
                        <w:rPr>
                          <w:rFonts w:ascii="宋体" w:hAnsi="宋体" w:cs="宋体"/>
                          <w:u w:val="single"/>
                          <w:lang w:eastAsia="zh-CN"/>
                        </w:rPr>
                      </w:pPr>
                      <w:r>
                        <w:rPr>
                          <w:rFonts w:ascii="宋体" w:hAnsi="宋体" w:cs="宋体" w:hint="eastAsia"/>
                          <w:lang w:eastAsia="zh-CN"/>
                        </w:rPr>
                        <w:t>日  期：</w:t>
                      </w:r>
                      <w:r>
                        <w:rPr>
                          <w:rFonts w:ascii="宋体" w:hAnsi="宋体" w:cs="宋体" w:hint="eastAsia"/>
                          <w:u w:val="single"/>
                          <w:lang w:eastAsia="zh-CN"/>
                        </w:rPr>
                        <w:t xml:space="preserve">      </w:t>
                      </w:r>
                      <w:r>
                        <w:rPr>
                          <w:rFonts w:ascii="宋体" w:hAnsi="宋体" w:cs="宋体" w:hint="eastAsia"/>
                          <w:lang w:eastAsia="zh-CN"/>
                        </w:rPr>
                        <w:t>年</w:t>
                      </w:r>
                      <w:r>
                        <w:rPr>
                          <w:rFonts w:ascii="宋体" w:hAnsi="宋体" w:cs="宋体" w:hint="eastAsia"/>
                          <w:u w:val="single"/>
                          <w:lang w:eastAsia="zh-CN"/>
                        </w:rPr>
                        <w:t xml:space="preserve">   </w:t>
                      </w:r>
                      <w:r>
                        <w:rPr>
                          <w:rFonts w:ascii="宋体" w:hAnsi="宋体" w:cs="宋体" w:hint="eastAsia"/>
                          <w:lang w:eastAsia="zh-CN"/>
                        </w:rPr>
                        <w:t>月</w:t>
                      </w:r>
                      <w:r>
                        <w:rPr>
                          <w:rFonts w:ascii="宋体" w:hAnsi="宋体" w:cs="宋体" w:hint="eastAsia"/>
                          <w:u w:val="single"/>
                          <w:lang w:eastAsia="zh-CN"/>
                        </w:rPr>
                        <w:t xml:space="preserve">   </w:t>
                      </w:r>
                      <w:r>
                        <w:rPr>
                          <w:rFonts w:ascii="宋体" w:hAnsi="宋体" w:cs="宋体" w:hint="eastAsia"/>
                          <w:lang w:eastAsia="zh-CN"/>
                        </w:rPr>
                        <w:t>日</w:t>
                      </w:r>
                      <w:permEnd w:id="1512"/>
                    </w:p>
                  </w:txbxContent>
                </v:textbox>
              </v:shape>
            </w:pict>
          </mc:Fallback>
        </mc:AlternateContent>
      </w:r>
    </w:p>
    <w:p w14:paraId="68D08497">
      <w:pPr>
        <w:spacing w:line="360" w:lineRule="auto"/>
        <w:ind w:left="-240" w:right="-240" w:leftChars="-100" w:rightChars="-100"/>
        <w:rPr>
          <w:rFonts w:ascii="宋体" w:hAnsi="宋体" w:cs="宋体"/>
          <w:lang w:eastAsia="zh-CN"/>
        </w:rPr>
      </w:pPr>
    </w:p>
    <w:p w14:paraId="0D314188">
      <w:pPr>
        <w:spacing w:line="360" w:lineRule="auto"/>
        <w:ind w:left="-240" w:right="-240" w:leftChars="-100" w:rightChars="-100"/>
        <w:rPr>
          <w:rFonts w:ascii="宋体" w:hAnsi="宋体" w:cs="宋体"/>
          <w:b/>
          <w:color w:val="000000"/>
          <w:lang w:eastAsia="zh-CN"/>
        </w:rPr>
      </w:pPr>
    </w:p>
    <w:p w14:paraId="6963063D">
      <w:pPr>
        <w:spacing w:line="360" w:lineRule="auto"/>
        <w:ind w:left="-240" w:right="-240" w:leftChars="-100" w:rightChars="-100"/>
        <w:rPr>
          <w:rFonts w:ascii="宋体" w:hAnsi="宋体" w:cs="宋体"/>
          <w:lang w:eastAsia="zh-CN"/>
        </w:rPr>
      </w:pPr>
    </w:p>
    <w:p w14:paraId="532C43CD">
      <w:pPr>
        <w:spacing w:line="360" w:lineRule="auto"/>
        <w:ind w:left="-240" w:right="-240" w:leftChars="-100" w:rightChars="-100"/>
        <w:rPr>
          <w:rFonts w:ascii="宋体" w:hAnsi="宋体" w:cs="宋体"/>
          <w:lang w:eastAsia="zh-CN"/>
        </w:rPr>
      </w:pPr>
    </w:p>
    <w:p w14:paraId="07A8DE3A">
      <w:pPr>
        <w:spacing w:line="360" w:lineRule="auto"/>
        <w:ind w:left="-240" w:right="-240" w:leftChars="-100" w:rightChars="-100"/>
        <w:rPr>
          <w:rFonts w:ascii="宋体" w:hAnsi="宋体" w:cs="宋体"/>
          <w:lang w:eastAsia="zh-CN"/>
        </w:rPr>
      </w:pPr>
    </w:p>
    <w:p w14:paraId="3AEF86BF">
      <w:pPr>
        <w:spacing w:line="360" w:lineRule="auto"/>
        <w:ind w:left="-240" w:right="-240" w:leftChars="-100" w:rightChars="-100"/>
        <w:rPr>
          <w:rFonts w:ascii="宋体" w:hAnsi="宋体" w:cs="宋体"/>
          <w:lang w:eastAsia="zh-CN"/>
        </w:rPr>
      </w:pPr>
    </w:p>
    <w:p w14:paraId="33B56437">
      <w:pPr>
        <w:spacing w:line="360" w:lineRule="auto"/>
        <w:ind w:left="-240" w:right="-240" w:leftChars="-100" w:rightChars="-100"/>
        <w:rPr>
          <w:rFonts w:ascii="宋体" w:hAnsi="宋体" w:cs="宋体"/>
          <w:lang w:eastAsia="zh-CN"/>
        </w:rPr>
      </w:pPr>
    </w:p>
    <w:bookmarkEnd w:id="1440"/>
    <w:p w14:paraId="772268D0">
      <w:pPr>
        <w:autoSpaceDE w:val="0"/>
        <w:autoSpaceDN w:val="0"/>
        <w:adjustRightInd w:val="0"/>
        <w:snapToGrid w:val="0"/>
        <w:spacing w:line="360" w:lineRule="auto"/>
        <w:ind w:left="-240" w:right="-240" w:leftChars="-100" w:rightChars="-100"/>
        <w:rPr>
          <w:rFonts w:ascii="宋体" w:hAnsi="宋体" w:cs="宋体"/>
          <w:color w:val="0C0C0C"/>
          <w:lang w:eastAsia="zh-CN"/>
        </w:rPr>
      </w:pPr>
    </w:p>
    <w:p w14:paraId="6E3AF1EA">
      <w:pPr>
        <w:spacing w:line="36" w:lineRule="auto"/>
        <w:rPr>
          <w:rFonts w:ascii="宋体" w:hAnsi="宋体"/>
          <w:kern w:val="2"/>
          <w:sz w:val="32"/>
          <w:szCs w:val="32"/>
          <w:highlight w:val="green"/>
          <w:lang w:eastAsia="zh-CN"/>
        </w:rPr>
      </w:pPr>
    </w:p>
    <w:p w14:paraId="3AD3B3AA">
      <w:pPr>
        <w:spacing w:line="36" w:lineRule="auto"/>
        <w:rPr>
          <w:rFonts w:ascii="宋体" w:hAnsi="宋体"/>
          <w:sz w:val="27"/>
          <w:szCs w:val="22"/>
          <w:lang w:eastAsia="zh-CN"/>
        </w:rPr>
      </w:pPr>
    </w:p>
    <w:p w14:paraId="555BF2D8">
      <w:pPr>
        <w:pStyle w:val="Heading10"/>
        <w:jc w:val="center"/>
        <w:rPr>
          <w:rFonts w:ascii="宋体" w:hAnsi="宋体"/>
          <w:sz w:val="32"/>
          <w:szCs w:val="32"/>
          <w:lang w:eastAsia="zh-CN"/>
        </w:rPr>
      </w:pPr>
      <w:r>
        <w:rPr>
          <w:rFonts w:asciiTheme="minorHAnsi" w:hAnsiTheme="minorHAnsi" w:cstheme="minorBidi" w:hint="eastAsia"/>
          <w:lang w:eastAsia="zh-CN"/>
        </w:rPr>
        <w:br w:type="page"/>
      </w:r>
      <w:r>
        <w:rPr>
          <w:rFonts w:hint="eastAsia"/>
          <w:sz w:val="32"/>
          <w:szCs w:val="32"/>
          <w:lang w:eastAsia="zh-CN"/>
        </w:rPr>
        <w:t xml:space="preserve">第五章 </w:t>
      </w:r>
      <w:r>
        <w:rPr>
          <w:rFonts w:ascii="宋体" w:hAnsi="宋体" w:hint="eastAsia"/>
          <w:sz w:val="32"/>
          <w:szCs w:val="32"/>
          <w:lang w:eastAsia="zh-CN"/>
        </w:rPr>
        <w:t>工程量清单</w:t>
      </w:r>
    </w:p>
    <w:p w14:paraId="63D23575">
      <w:pPr>
        <w:rPr>
          <w:rFonts w:ascii="宋体" w:hAnsi="宋体"/>
          <w:b/>
          <w:sz w:val="27"/>
          <w:szCs w:val="22"/>
          <w:lang w:eastAsia="zh-CN"/>
        </w:rPr>
      </w:pPr>
    </w:p>
    <w:p w14:paraId="34BE5B99">
      <w:pPr>
        <w:spacing w:line="360" w:lineRule="auto"/>
        <w:rPr>
          <w:rFonts w:ascii="宋体" w:hAnsi="宋体"/>
          <w:lang w:eastAsia="zh-CN"/>
        </w:rPr>
      </w:pPr>
      <w:r>
        <w:rPr>
          <w:rFonts w:ascii="宋体" w:hAnsi="宋体" w:hint="eastAsia"/>
          <w:lang w:eastAsia="zh-CN"/>
        </w:rPr>
        <w:t>注：工程量清单编制、投标报价及工程量清单计价表等按照国家标准《建设工程工程量清单计价规范》（GB 50500-2013）、《四川省建设工程工程量清单计价定额》及有关配套规定执行，工程量清单说明、投标报价说明、其他说明以及工程量清单计价表不得与此相抵触。</w:t>
      </w:r>
    </w:p>
    <w:p w14:paraId="3C5C58EC">
      <w:pPr>
        <w:spacing w:line="36" w:lineRule="auto"/>
        <w:rPr>
          <w:rFonts w:ascii="宋体" w:hAnsi="宋体"/>
          <w:sz w:val="25"/>
          <w:szCs w:val="22"/>
          <w:lang w:eastAsia="zh-CN"/>
        </w:rPr>
      </w:pPr>
    </w:p>
    <w:p w14:paraId="04A13083">
      <w:pPr>
        <w:rPr>
          <w:rFonts w:ascii="宋体" w:hAnsi="宋体"/>
          <w:lang w:eastAsia="zh-CN"/>
        </w:rPr>
      </w:pPr>
    </w:p>
    <w:p w14:paraId="01255D2C">
      <w:pPr>
        <w:spacing w:line="36" w:lineRule="auto"/>
        <w:rPr>
          <w:rFonts w:ascii="宋体" w:hAnsi="宋体"/>
          <w:sz w:val="21"/>
          <w:lang w:eastAsia="zh-CN"/>
        </w:rPr>
      </w:pPr>
      <w:r>
        <w:rPr>
          <w:rFonts w:ascii="宋体" w:hAnsi="宋体" w:hint="eastAsia"/>
          <w:lang w:eastAsia="zh-CN"/>
        </w:rPr>
        <w:t>附件:</w:t>
      </w:r>
      <w:r>
        <w:drawing>
          <wp:inline distT="0" distB="0" distL="0" distR="0">
            <wp:extent cx="153670" cy="153670"/>
            <wp:effectExtent l="0" t="0" r="0" b="0"/>
            <wp:docPr id="2" name="图片 2" descr="R97d9911566a049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97d9911566a049bb"/>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3670" cy="153670"/>
                    </a:xfrm>
                    <a:prstGeom prst="rect">
                      <a:avLst/>
                    </a:prstGeom>
                    <a:noFill/>
                    <a:ln>
                      <a:noFill/>
                    </a:ln>
                  </pic:spPr>
                </pic:pic>
              </a:graphicData>
            </a:graphic>
          </wp:inline>
        </w:drawing>
      </w:r>
    </w:p>
    <w:p w14:paraId="6E1EAA0B">
      <w:pPr>
        <w:spacing w:line="36" w:lineRule="auto"/>
        <w:rPr>
          <w:rFonts w:ascii="宋体" w:hAnsi="宋体"/>
          <w:lang w:eastAsia="zh-CN"/>
        </w:rPr>
      </w:pPr>
      <w:r>
        <w:rPr>
          <w:rFonts w:ascii="宋体" w:hAnsi="宋体" w:hint="eastAsia"/>
          <w:b/>
          <w:lang w:eastAsia="zh-CN"/>
        </w:rPr>
        <w:t>注：此处只上传扫描件。招标控制价（不含组价）的CJZ文件请点击“清单”-&gt;“导入清单”，选择招标控制价（不含组价）路径进行导入。</w:t>
      </w:r>
    </w:p>
    <w:p w14:paraId="71141051">
      <w:pPr>
        <w:jc w:val="center"/>
        <w:rPr>
          <w:rFonts w:ascii="宋体" w:hAnsi="宋体"/>
          <w:lang w:eastAsia="zh-CN"/>
        </w:rPr>
      </w:pPr>
    </w:p>
    <w:p w14:paraId="25B789DA">
      <w:pPr>
        <w:spacing w:line="36" w:lineRule="auto"/>
        <w:jc w:val="center"/>
        <w:rPr>
          <w:rFonts w:ascii="宋体" w:hAnsi="宋体"/>
          <w:b/>
          <w:sz w:val="44"/>
          <w:lang w:eastAsia="zh-CN"/>
        </w:rPr>
      </w:pPr>
      <w:r>
        <w:rPr>
          <w:lang w:eastAsia="zh-CN"/>
        </w:rPr>
        <w:br w:type="page"/>
      </w:r>
    </w:p>
    <w:p w14:paraId="17484907">
      <w:pPr>
        <w:spacing w:line="36" w:lineRule="auto"/>
        <w:jc w:val="center"/>
        <w:rPr>
          <w:rFonts w:ascii="宋体" w:hAnsi="宋体"/>
          <w:b/>
          <w:sz w:val="36"/>
          <w:szCs w:val="36"/>
          <w:lang w:eastAsia="zh-CN"/>
        </w:rPr>
      </w:pPr>
      <w:r>
        <w:rPr>
          <w:rFonts w:ascii="宋体" w:hAnsi="宋体" w:hint="eastAsia"/>
          <w:b/>
          <w:sz w:val="36"/>
          <w:szCs w:val="36"/>
          <w:lang w:eastAsia="zh-CN"/>
        </w:rPr>
        <w:t>第二卷</w:t>
      </w:r>
    </w:p>
    <w:p w14:paraId="5B4BDDE0">
      <w:pPr>
        <w:spacing w:line="36" w:lineRule="auto"/>
        <w:jc w:val="center"/>
        <w:rPr>
          <w:rFonts w:ascii="宋体" w:hAnsi="宋体"/>
          <w:b/>
          <w:sz w:val="44"/>
          <w:szCs w:val="22"/>
          <w:lang w:eastAsia="zh-CN"/>
        </w:rPr>
      </w:pPr>
    </w:p>
    <w:p w14:paraId="5DC1BFC3">
      <w:pPr>
        <w:spacing w:line="36" w:lineRule="auto"/>
        <w:jc w:val="center"/>
        <w:rPr>
          <w:rFonts w:ascii="宋体" w:hAnsi="宋体"/>
          <w:b/>
          <w:sz w:val="36"/>
          <w:lang w:eastAsia="zh-CN"/>
        </w:rPr>
      </w:pPr>
    </w:p>
    <w:p w14:paraId="1440B88D">
      <w:pPr>
        <w:pStyle w:val="Heading10"/>
        <w:jc w:val="center"/>
        <w:rPr>
          <w:rFonts w:ascii="宋体" w:hAnsi="宋体"/>
          <w:sz w:val="32"/>
          <w:szCs w:val="32"/>
          <w:lang w:eastAsia="zh-CN"/>
        </w:rPr>
      </w:pPr>
      <w:bookmarkStart w:id="1513" w:name="_Toc256000085"/>
      <w:r>
        <w:rPr>
          <w:rFonts w:ascii="宋体" w:hAnsi="宋体" w:hint="eastAsia"/>
          <w:sz w:val="32"/>
          <w:szCs w:val="32"/>
          <w:lang w:eastAsia="zh-CN"/>
        </w:rPr>
        <w:t>第六章 图纸</w:t>
      </w:r>
      <w:bookmarkEnd w:id="1513"/>
    </w:p>
    <w:p w14:paraId="4093F852">
      <w:pPr>
        <w:spacing w:line="36" w:lineRule="auto"/>
        <w:rPr>
          <w:rFonts w:ascii="宋体" w:hAnsi="宋体"/>
          <w:sz w:val="26"/>
          <w:szCs w:val="22"/>
          <w:lang w:eastAsia="zh-CN"/>
        </w:rPr>
      </w:pPr>
    </w:p>
    <w:p w14:paraId="75AB1932">
      <w:pPr>
        <w:spacing w:line="360" w:lineRule="auto"/>
        <w:rPr>
          <w:rFonts w:ascii="宋体" w:hAnsi="宋体"/>
          <w:lang w:eastAsia="zh-CN"/>
        </w:rPr>
      </w:pPr>
      <w:r>
        <w:rPr>
          <w:rFonts w:ascii="宋体" w:hAnsi="宋体" w:hint="eastAsia"/>
          <w:lang w:eastAsia="zh-CN"/>
        </w:rPr>
        <w:t>1.图纸目录</w:t>
      </w:r>
    </w:p>
    <w:p w14:paraId="0E4205D3">
      <w:pPr>
        <w:spacing w:line="360" w:lineRule="auto"/>
        <w:rPr>
          <w:rFonts w:ascii="宋体" w:hAnsi="宋体"/>
          <w:lang w:eastAsia="zh-CN"/>
        </w:rPr>
      </w:pP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1366"/>
        <w:gridCol w:w="1258"/>
        <w:gridCol w:w="1438"/>
        <w:gridCol w:w="1258"/>
        <w:gridCol w:w="1438"/>
        <w:gridCol w:w="1759"/>
      </w:tblGrid>
      <w:tr w14:paraId="1709F476">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jc w:val="center"/>
        </w:trPr>
        <w:tc>
          <w:tcPr>
            <w:tcW w:w="1366" w:type="dxa"/>
            <w:tcBorders>
              <w:top w:val="single" w:sz="2" w:space="0" w:color="auto"/>
              <w:left w:val="single" w:sz="2" w:space="0" w:color="auto"/>
              <w:bottom w:val="single" w:sz="2" w:space="0" w:color="auto"/>
              <w:right w:val="single" w:sz="2" w:space="0" w:color="auto"/>
            </w:tcBorders>
            <w:vAlign w:val="center"/>
          </w:tcPr>
          <w:p w14:paraId="666A17DB">
            <w:pPr>
              <w:spacing w:line="360" w:lineRule="auto"/>
              <w:jc w:val="center"/>
              <w:rPr>
                <w:rFonts w:ascii="宋体" w:hAnsi="宋体"/>
              </w:rPr>
            </w:pPr>
            <w:r>
              <w:rPr>
                <w:rFonts w:ascii="宋体" w:hAnsi="宋体" w:hint="eastAsia"/>
              </w:rPr>
              <w:t>序号</w:t>
            </w:r>
          </w:p>
        </w:tc>
        <w:tc>
          <w:tcPr>
            <w:tcW w:w="1258" w:type="dxa"/>
            <w:tcBorders>
              <w:top w:val="single" w:sz="2" w:space="0" w:color="auto"/>
              <w:left w:val="single" w:sz="2" w:space="0" w:color="auto"/>
              <w:bottom w:val="single" w:sz="2" w:space="0" w:color="auto"/>
              <w:right w:val="single" w:sz="2" w:space="0" w:color="auto"/>
            </w:tcBorders>
            <w:vAlign w:val="center"/>
          </w:tcPr>
          <w:p w14:paraId="43E32CA6">
            <w:pPr>
              <w:spacing w:line="360" w:lineRule="auto"/>
              <w:jc w:val="center"/>
              <w:rPr>
                <w:rFonts w:ascii="宋体" w:hAnsi="宋体"/>
              </w:rPr>
            </w:pPr>
            <w:r>
              <w:rPr>
                <w:rFonts w:ascii="宋体" w:hAnsi="宋体" w:hint="eastAsia"/>
              </w:rPr>
              <w:t>图名</w:t>
            </w:r>
          </w:p>
        </w:tc>
        <w:tc>
          <w:tcPr>
            <w:tcW w:w="1438" w:type="dxa"/>
            <w:tcBorders>
              <w:top w:val="single" w:sz="2" w:space="0" w:color="auto"/>
              <w:left w:val="single" w:sz="2" w:space="0" w:color="auto"/>
              <w:bottom w:val="single" w:sz="2" w:space="0" w:color="auto"/>
              <w:right w:val="single" w:sz="2" w:space="0" w:color="auto"/>
            </w:tcBorders>
            <w:vAlign w:val="center"/>
          </w:tcPr>
          <w:p w14:paraId="312B15A4">
            <w:pPr>
              <w:spacing w:line="360" w:lineRule="auto"/>
              <w:jc w:val="center"/>
              <w:rPr>
                <w:rFonts w:ascii="宋体" w:hAnsi="宋体"/>
              </w:rPr>
            </w:pPr>
            <w:r>
              <w:rPr>
                <w:rFonts w:ascii="宋体" w:hAnsi="宋体" w:hint="eastAsia"/>
              </w:rPr>
              <w:t>图号</w:t>
            </w:r>
          </w:p>
        </w:tc>
        <w:tc>
          <w:tcPr>
            <w:tcW w:w="1258" w:type="dxa"/>
            <w:tcBorders>
              <w:top w:val="single" w:sz="2" w:space="0" w:color="auto"/>
              <w:left w:val="single" w:sz="2" w:space="0" w:color="auto"/>
              <w:bottom w:val="single" w:sz="2" w:space="0" w:color="auto"/>
              <w:right w:val="single" w:sz="2" w:space="0" w:color="auto"/>
            </w:tcBorders>
            <w:vAlign w:val="center"/>
          </w:tcPr>
          <w:p w14:paraId="0C393E6D">
            <w:pPr>
              <w:spacing w:line="360" w:lineRule="auto"/>
              <w:jc w:val="center"/>
              <w:rPr>
                <w:rFonts w:ascii="宋体" w:hAnsi="宋体"/>
              </w:rPr>
            </w:pPr>
            <w:r>
              <w:rPr>
                <w:rFonts w:ascii="宋体" w:hAnsi="宋体" w:hint="eastAsia"/>
              </w:rPr>
              <w:t>版本</w:t>
            </w:r>
          </w:p>
        </w:tc>
        <w:tc>
          <w:tcPr>
            <w:tcW w:w="1438" w:type="dxa"/>
            <w:tcBorders>
              <w:top w:val="single" w:sz="2" w:space="0" w:color="auto"/>
              <w:left w:val="single" w:sz="2" w:space="0" w:color="auto"/>
              <w:bottom w:val="single" w:sz="2" w:space="0" w:color="auto"/>
              <w:right w:val="single" w:sz="2" w:space="0" w:color="auto"/>
            </w:tcBorders>
            <w:vAlign w:val="center"/>
          </w:tcPr>
          <w:p w14:paraId="3B120796">
            <w:pPr>
              <w:spacing w:line="360" w:lineRule="auto"/>
              <w:jc w:val="center"/>
              <w:rPr>
                <w:rFonts w:ascii="宋体" w:hAnsi="宋体"/>
              </w:rPr>
            </w:pPr>
            <w:r>
              <w:rPr>
                <w:rFonts w:ascii="宋体" w:hAnsi="宋体" w:hint="eastAsia"/>
              </w:rPr>
              <w:t>出图日期</w:t>
            </w:r>
          </w:p>
        </w:tc>
        <w:tc>
          <w:tcPr>
            <w:tcW w:w="1759" w:type="dxa"/>
            <w:tcBorders>
              <w:top w:val="single" w:sz="2" w:space="0" w:color="auto"/>
              <w:left w:val="single" w:sz="2" w:space="0" w:color="auto"/>
              <w:bottom w:val="single" w:sz="2" w:space="0" w:color="auto"/>
              <w:right w:val="single" w:sz="2" w:space="0" w:color="auto"/>
            </w:tcBorders>
            <w:vAlign w:val="center"/>
          </w:tcPr>
          <w:p w14:paraId="3EA6D976">
            <w:pPr>
              <w:spacing w:line="360" w:lineRule="auto"/>
              <w:jc w:val="center"/>
              <w:rPr>
                <w:rFonts w:ascii="宋体" w:hAnsi="宋体"/>
              </w:rPr>
            </w:pPr>
            <w:r>
              <w:rPr>
                <w:rFonts w:ascii="宋体" w:hAnsi="宋体" w:hint="eastAsia"/>
              </w:rPr>
              <w:t>备注</w:t>
            </w:r>
          </w:p>
        </w:tc>
      </w:tr>
      <w:tr w14:paraId="7F2160D9">
        <w:tblPrEx>
          <w:tblW w:w="0" w:type="auto"/>
          <w:jc w:val="center"/>
          <w:tblLayout w:type="fixed"/>
          <w:tblCellMar>
            <w:top w:w="0" w:type="dxa"/>
            <w:left w:w="108" w:type="dxa"/>
            <w:bottom w:w="0" w:type="dxa"/>
            <w:right w:w="108" w:type="dxa"/>
          </w:tblCellMar>
        </w:tblPrEx>
        <w:trPr>
          <w:jc w:val="center"/>
        </w:trPr>
        <w:tc>
          <w:tcPr>
            <w:tcW w:w="1366" w:type="dxa"/>
            <w:tcBorders>
              <w:top w:val="single" w:sz="2" w:space="0" w:color="auto"/>
              <w:left w:val="single" w:sz="2" w:space="0" w:color="auto"/>
              <w:bottom w:val="single" w:sz="2" w:space="0" w:color="auto"/>
              <w:right w:val="single" w:sz="2" w:space="0" w:color="auto"/>
            </w:tcBorders>
            <w:vAlign w:val="center"/>
          </w:tcPr>
          <w:p w14:paraId="08C22A42">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76000529">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141FBAEA">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00D3A57A">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3E738DA1">
            <w:pPr>
              <w:spacing w:line="360" w:lineRule="auto"/>
              <w:jc w:val="center"/>
              <w:rPr>
                <w:rFonts w:ascii="宋体" w:hAnsi="宋体"/>
              </w:rPr>
            </w:pPr>
          </w:p>
        </w:tc>
        <w:tc>
          <w:tcPr>
            <w:tcW w:w="1759" w:type="dxa"/>
            <w:tcBorders>
              <w:top w:val="single" w:sz="2" w:space="0" w:color="auto"/>
              <w:left w:val="single" w:sz="2" w:space="0" w:color="auto"/>
              <w:bottom w:val="single" w:sz="2" w:space="0" w:color="auto"/>
              <w:right w:val="single" w:sz="2" w:space="0" w:color="auto"/>
            </w:tcBorders>
            <w:vAlign w:val="center"/>
          </w:tcPr>
          <w:p w14:paraId="488E91EA">
            <w:pPr>
              <w:spacing w:line="360" w:lineRule="auto"/>
              <w:jc w:val="center"/>
              <w:rPr>
                <w:rFonts w:ascii="宋体" w:hAnsi="宋体"/>
              </w:rPr>
            </w:pPr>
          </w:p>
        </w:tc>
      </w:tr>
      <w:tr w14:paraId="507D90B7">
        <w:tblPrEx>
          <w:tblW w:w="0" w:type="auto"/>
          <w:jc w:val="center"/>
          <w:tblLayout w:type="fixed"/>
          <w:tblCellMar>
            <w:top w:w="0" w:type="dxa"/>
            <w:left w:w="108" w:type="dxa"/>
            <w:bottom w:w="0" w:type="dxa"/>
            <w:right w:w="108" w:type="dxa"/>
          </w:tblCellMar>
        </w:tblPrEx>
        <w:trPr>
          <w:jc w:val="center"/>
        </w:trPr>
        <w:tc>
          <w:tcPr>
            <w:tcW w:w="1366" w:type="dxa"/>
            <w:tcBorders>
              <w:top w:val="single" w:sz="2" w:space="0" w:color="auto"/>
              <w:left w:val="single" w:sz="2" w:space="0" w:color="auto"/>
              <w:bottom w:val="single" w:sz="2" w:space="0" w:color="auto"/>
              <w:right w:val="single" w:sz="2" w:space="0" w:color="auto"/>
            </w:tcBorders>
            <w:vAlign w:val="center"/>
          </w:tcPr>
          <w:p w14:paraId="0AD97197">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546BAF7C">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52FA3FB4">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387B37DD">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76B2E2EF">
            <w:pPr>
              <w:spacing w:line="360" w:lineRule="auto"/>
              <w:jc w:val="center"/>
              <w:rPr>
                <w:rFonts w:ascii="宋体" w:hAnsi="宋体"/>
              </w:rPr>
            </w:pPr>
          </w:p>
        </w:tc>
        <w:tc>
          <w:tcPr>
            <w:tcW w:w="1759" w:type="dxa"/>
            <w:tcBorders>
              <w:top w:val="single" w:sz="2" w:space="0" w:color="auto"/>
              <w:left w:val="single" w:sz="2" w:space="0" w:color="auto"/>
              <w:bottom w:val="single" w:sz="2" w:space="0" w:color="auto"/>
              <w:right w:val="single" w:sz="2" w:space="0" w:color="auto"/>
            </w:tcBorders>
            <w:vAlign w:val="center"/>
          </w:tcPr>
          <w:p w14:paraId="2C85DC99">
            <w:pPr>
              <w:spacing w:line="360" w:lineRule="auto"/>
              <w:jc w:val="center"/>
              <w:rPr>
                <w:rFonts w:ascii="宋体" w:hAnsi="宋体"/>
              </w:rPr>
            </w:pPr>
          </w:p>
        </w:tc>
      </w:tr>
      <w:tr w14:paraId="315ACA1C">
        <w:tblPrEx>
          <w:tblW w:w="0" w:type="auto"/>
          <w:jc w:val="center"/>
          <w:tblLayout w:type="fixed"/>
          <w:tblCellMar>
            <w:top w:w="0" w:type="dxa"/>
            <w:left w:w="108" w:type="dxa"/>
            <w:bottom w:w="0" w:type="dxa"/>
            <w:right w:w="108" w:type="dxa"/>
          </w:tblCellMar>
        </w:tblPrEx>
        <w:trPr>
          <w:jc w:val="center"/>
        </w:trPr>
        <w:tc>
          <w:tcPr>
            <w:tcW w:w="1366" w:type="dxa"/>
            <w:tcBorders>
              <w:top w:val="single" w:sz="2" w:space="0" w:color="auto"/>
              <w:left w:val="single" w:sz="2" w:space="0" w:color="auto"/>
              <w:bottom w:val="single" w:sz="2" w:space="0" w:color="auto"/>
              <w:right w:val="single" w:sz="2" w:space="0" w:color="auto"/>
            </w:tcBorders>
            <w:vAlign w:val="center"/>
          </w:tcPr>
          <w:p w14:paraId="60DEC88D">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38B729EB">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18262AB9">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5117D837">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5BC07A81">
            <w:pPr>
              <w:spacing w:line="360" w:lineRule="auto"/>
              <w:jc w:val="center"/>
              <w:rPr>
                <w:rFonts w:ascii="宋体" w:hAnsi="宋体"/>
              </w:rPr>
            </w:pPr>
          </w:p>
        </w:tc>
        <w:tc>
          <w:tcPr>
            <w:tcW w:w="1759" w:type="dxa"/>
            <w:tcBorders>
              <w:top w:val="single" w:sz="2" w:space="0" w:color="auto"/>
              <w:left w:val="single" w:sz="2" w:space="0" w:color="auto"/>
              <w:bottom w:val="single" w:sz="2" w:space="0" w:color="auto"/>
              <w:right w:val="single" w:sz="2" w:space="0" w:color="auto"/>
            </w:tcBorders>
            <w:vAlign w:val="center"/>
          </w:tcPr>
          <w:p w14:paraId="751BBD54">
            <w:pPr>
              <w:spacing w:line="360" w:lineRule="auto"/>
              <w:jc w:val="center"/>
              <w:rPr>
                <w:rFonts w:ascii="宋体" w:hAnsi="宋体"/>
              </w:rPr>
            </w:pPr>
          </w:p>
        </w:tc>
      </w:tr>
      <w:tr w14:paraId="126AFD1F">
        <w:tblPrEx>
          <w:tblW w:w="0" w:type="auto"/>
          <w:jc w:val="center"/>
          <w:tblLayout w:type="fixed"/>
          <w:tblCellMar>
            <w:top w:w="0" w:type="dxa"/>
            <w:left w:w="108" w:type="dxa"/>
            <w:bottom w:w="0" w:type="dxa"/>
            <w:right w:w="108" w:type="dxa"/>
          </w:tblCellMar>
        </w:tblPrEx>
        <w:trPr>
          <w:jc w:val="center"/>
        </w:trPr>
        <w:tc>
          <w:tcPr>
            <w:tcW w:w="1366" w:type="dxa"/>
            <w:tcBorders>
              <w:top w:val="single" w:sz="2" w:space="0" w:color="auto"/>
              <w:left w:val="single" w:sz="2" w:space="0" w:color="auto"/>
              <w:bottom w:val="single" w:sz="2" w:space="0" w:color="auto"/>
              <w:right w:val="single" w:sz="2" w:space="0" w:color="auto"/>
            </w:tcBorders>
            <w:vAlign w:val="center"/>
          </w:tcPr>
          <w:p w14:paraId="0794E750">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174A1AB5">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5976F09E">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1F08D5FB">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27EA4C7E">
            <w:pPr>
              <w:spacing w:line="360" w:lineRule="auto"/>
              <w:jc w:val="center"/>
              <w:rPr>
                <w:rFonts w:ascii="宋体" w:hAnsi="宋体"/>
              </w:rPr>
            </w:pPr>
          </w:p>
        </w:tc>
        <w:tc>
          <w:tcPr>
            <w:tcW w:w="1759" w:type="dxa"/>
            <w:tcBorders>
              <w:top w:val="single" w:sz="2" w:space="0" w:color="auto"/>
              <w:left w:val="single" w:sz="2" w:space="0" w:color="auto"/>
              <w:bottom w:val="single" w:sz="2" w:space="0" w:color="auto"/>
              <w:right w:val="single" w:sz="2" w:space="0" w:color="auto"/>
            </w:tcBorders>
            <w:vAlign w:val="center"/>
          </w:tcPr>
          <w:p w14:paraId="43B9BF6D">
            <w:pPr>
              <w:spacing w:line="360" w:lineRule="auto"/>
              <w:jc w:val="center"/>
              <w:rPr>
                <w:rFonts w:ascii="宋体" w:hAnsi="宋体"/>
              </w:rPr>
            </w:pPr>
          </w:p>
        </w:tc>
      </w:tr>
      <w:tr w14:paraId="36144B3E">
        <w:tblPrEx>
          <w:tblW w:w="0" w:type="auto"/>
          <w:jc w:val="center"/>
          <w:tblLayout w:type="fixed"/>
          <w:tblCellMar>
            <w:top w:w="0" w:type="dxa"/>
            <w:left w:w="108" w:type="dxa"/>
            <w:bottom w:w="0" w:type="dxa"/>
            <w:right w:w="108" w:type="dxa"/>
          </w:tblCellMar>
        </w:tblPrEx>
        <w:trPr>
          <w:jc w:val="center"/>
        </w:trPr>
        <w:tc>
          <w:tcPr>
            <w:tcW w:w="1366" w:type="dxa"/>
            <w:tcBorders>
              <w:top w:val="single" w:sz="2" w:space="0" w:color="auto"/>
              <w:left w:val="single" w:sz="2" w:space="0" w:color="auto"/>
              <w:bottom w:val="single" w:sz="2" w:space="0" w:color="auto"/>
              <w:right w:val="single" w:sz="2" w:space="0" w:color="auto"/>
            </w:tcBorders>
            <w:vAlign w:val="center"/>
          </w:tcPr>
          <w:p w14:paraId="75B325B8">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663C17D7">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7BCA4BC0">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526D802D">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7497ACD8">
            <w:pPr>
              <w:spacing w:line="360" w:lineRule="auto"/>
              <w:jc w:val="center"/>
              <w:rPr>
                <w:rFonts w:ascii="宋体" w:hAnsi="宋体"/>
              </w:rPr>
            </w:pPr>
          </w:p>
        </w:tc>
        <w:tc>
          <w:tcPr>
            <w:tcW w:w="1759" w:type="dxa"/>
            <w:tcBorders>
              <w:top w:val="single" w:sz="2" w:space="0" w:color="auto"/>
              <w:left w:val="single" w:sz="2" w:space="0" w:color="auto"/>
              <w:bottom w:val="single" w:sz="2" w:space="0" w:color="auto"/>
              <w:right w:val="single" w:sz="2" w:space="0" w:color="auto"/>
            </w:tcBorders>
            <w:vAlign w:val="center"/>
          </w:tcPr>
          <w:p w14:paraId="462D5DA2">
            <w:pPr>
              <w:spacing w:line="360" w:lineRule="auto"/>
              <w:jc w:val="center"/>
              <w:rPr>
                <w:rFonts w:ascii="宋体" w:hAnsi="宋体"/>
              </w:rPr>
            </w:pPr>
          </w:p>
        </w:tc>
      </w:tr>
      <w:tr w14:paraId="557EE983">
        <w:tblPrEx>
          <w:tblW w:w="0" w:type="auto"/>
          <w:jc w:val="center"/>
          <w:tblLayout w:type="fixed"/>
          <w:tblCellMar>
            <w:top w:w="0" w:type="dxa"/>
            <w:left w:w="108" w:type="dxa"/>
            <w:bottom w:w="0" w:type="dxa"/>
            <w:right w:w="108" w:type="dxa"/>
          </w:tblCellMar>
        </w:tblPrEx>
        <w:trPr>
          <w:jc w:val="center"/>
        </w:trPr>
        <w:tc>
          <w:tcPr>
            <w:tcW w:w="1366" w:type="dxa"/>
            <w:tcBorders>
              <w:top w:val="single" w:sz="2" w:space="0" w:color="auto"/>
              <w:left w:val="single" w:sz="2" w:space="0" w:color="auto"/>
              <w:bottom w:val="single" w:sz="2" w:space="0" w:color="auto"/>
              <w:right w:val="single" w:sz="2" w:space="0" w:color="auto"/>
            </w:tcBorders>
            <w:vAlign w:val="center"/>
          </w:tcPr>
          <w:p w14:paraId="79B19A54">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4BE61F4A">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071FA61B">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785F2270">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7A9C3A95">
            <w:pPr>
              <w:spacing w:line="360" w:lineRule="auto"/>
              <w:jc w:val="center"/>
              <w:rPr>
                <w:rFonts w:ascii="宋体" w:hAnsi="宋体"/>
              </w:rPr>
            </w:pPr>
          </w:p>
        </w:tc>
        <w:tc>
          <w:tcPr>
            <w:tcW w:w="1759" w:type="dxa"/>
            <w:tcBorders>
              <w:top w:val="single" w:sz="2" w:space="0" w:color="auto"/>
              <w:left w:val="single" w:sz="2" w:space="0" w:color="auto"/>
              <w:bottom w:val="single" w:sz="2" w:space="0" w:color="auto"/>
              <w:right w:val="single" w:sz="2" w:space="0" w:color="auto"/>
            </w:tcBorders>
            <w:vAlign w:val="center"/>
          </w:tcPr>
          <w:p w14:paraId="26698BE9">
            <w:pPr>
              <w:spacing w:line="360" w:lineRule="auto"/>
              <w:jc w:val="center"/>
              <w:rPr>
                <w:rFonts w:ascii="宋体" w:hAnsi="宋体"/>
              </w:rPr>
            </w:pPr>
          </w:p>
        </w:tc>
      </w:tr>
      <w:tr w14:paraId="69DBF52A">
        <w:tblPrEx>
          <w:tblW w:w="0" w:type="auto"/>
          <w:jc w:val="center"/>
          <w:tblLayout w:type="fixed"/>
          <w:tblCellMar>
            <w:top w:w="0" w:type="dxa"/>
            <w:left w:w="108" w:type="dxa"/>
            <w:bottom w:w="0" w:type="dxa"/>
            <w:right w:w="108" w:type="dxa"/>
          </w:tblCellMar>
        </w:tblPrEx>
        <w:trPr>
          <w:jc w:val="center"/>
        </w:trPr>
        <w:tc>
          <w:tcPr>
            <w:tcW w:w="1366" w:type="dxa"/>
            <w:tcBorders>
              <w:top w:val="single" w:sz="2" w:space="0" w:color="auto"/>
              <w:left w:val="single" w:sz="2" w:space="0" w:color="auto"/>
              <w:bottom w:val="single" w:sz="2" w:space="0" w:color="auto"/>
              <w:right w:val="single" w:sz="2" w:space="0" w:color="auto"/>
            </w:tcBorders>
            <w:vAlign w:val="center"/>
          </w:tcPr>
          <w:p w14:paraId="1586C763">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3D772752">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65F583E5">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5EC04152">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41144458">
            <w:pPr>
              <w:spacing w:line="360" w:lineRule="auto"/>
              <w:jc w:val="center"/>
              <w:rPr>
                <w:rFonts w:ascii="宋体" w:hAnsi="宋体"/>
              </w:rPr>
            </w:pPr>
          </w:p>
        </w:tc>
        <w:tc>
          <w:tcPr>
            <w:tcW w:w="1759" w:type="dxa"/>
            <w:tcBorders>
              <w:top w:val="single" w:sz="2" w:space="0" w:color="auto"/>
              <w:left w:val="single" w:sz="2" w:space="0" w:color="auto"/>
              <w:bottom w:val="single" w:sz="2" w:space="0" w:color="auto"/>
              <w:right w:val="single" w:sz="2" w:space="0" w:color="auto"/>
            </w:tcBorders>
            <w:vAlign w:val="center"/>
          </w:tcPr>
          <w:p w14:paraId="61E817B8">
            <w:pPr>
              <w:spacing w:line="360" w:lineRule="auto"/>
              <w:jc w:val="center"/>
              <w:rPr>
                <w:rFonts w:ascii="宋体" w:hAnsi="宋体"/>
              </w:rPr>
            </w:pPr>
          </w:p>
        </w:tc>
      </w:tr>
      <w:tr w14:paraId="6122349F">
        <w:tblPrEx>
          <w:tblW w:w="0" w:type="auto"/>
          <w:jc w:val="center"/>
          <w:tblLayout w:type="fixed"/>
          <w:tblCellMar>
            <w:top w:w="0" w:type="dxa"/>
            <w:left w:w="108" w:type="dxa"/>
            <w:bottom w:w="0" w:type="dxa"/>
            <w:right w:w="108" w:type="dxa"/>
          </w:tblCellMar>
        </w:tblPrEx>
        <w:trPr>
          <w:jc w:val="center"/>
        </w:trPr>
        <w:tc>
          <w:tcPr>
            <w:tcW w:w="1366" w:type="dxa"/>
            <w:tcBorders>
              <w:top w:val="single" w:sz="2" w:space="0" w:color="auto"/>
              <w:left w:val="single" w:sz="2" w:space="0" w:color="auto"/>
              <w:bottom w:val="single" w:sz="2" w:space="0" w:color="auto"/>
              <w:right w:val="single" w:sz="2" w:space="0" w:color="auto"/>
            </w:tcBorders>
            <w:vAlign w:val="center"/>
          </w:tcPr>
          <w:p w14:paraId="6190B5C2">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39758017">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51A156E6">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73E054F6">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686C36E6">
            <w:pPr>
              <w:spacing w:line="360" w:lineRule="auto"/>
              <w:jc w:val="center"/>
              <w:rPr>
                <w:rFonts w:ascii="宋体" w:hAnsi="宋体"/>
              </w:rPr>
            </w:pPr>
          </w:p>
        </w:tc>
        <w:tc>
          <w:tcPr>
            <w:tcW w:w="1759" w:type="dxa"/>
            <w:tcBorders>
              <w:top w:val="single" w:sz="2" w:space="0" w:color="auto"/>
              <w:left w:val="single" w:sz="2" w:space="0" w:color="auto"/>
              <w:bottom w:val="single" w:sz="2" w:space="0" w:color="auto"/>
              <w:right w:val="single" w:sz="2" w:space="0" w:color="auto"/>
            </w:tcBorders>
            <w:vAlign w:val="center"/>
          </w:tcPr>
          <w:p w14:paraId="044BF46F">
            <w:pPr>
              <w:spacing w:line="360" w:lineRule="auto"/>
              <w:jc w:val="center"/>
              <w:rPr>
                <w:rFonts w:ascii="宋体" w:hAnsi="宋体"/>
              </w:rPr>
            </w:pPr>
          </w:p>
        </w:tc>
      </w:tr>
      <w:tr w14:paraId="37934788">
        <w:tblPrEx>
          <w:tblW w:w="0" w:type="auto"/>
          <w:jc w:val="center"/>
          <w:tblLayout w:type="fixed"/>
          <w:tblCellMar>
            <w:top w:w="0" w:type="dxa"/>
            <w:left w:w="108" w:type="dxa"/>
            <w:bottom w:w="0" w:type="dxa"/>
            <w:right w:w="108" w:type="dxa"/>
          </w:tblCellMar>
        </w:tblPrEx>
        <w:trPr>
          <w:jc w:val="center"/>
        </w:trPr>
        <w:tc>
          <w:tcPr>
            <w:tcW w:w="1366" w:type="dxa"/>
            <w:tcBorders>
              <w:top w:val="single" w:sz="2" w:space="0" w:color="auto"/>
              <w:left w:val="single" w:sz="2" w:space="0" w:color="auto"/>
              <w:bottom w:val="single" w:sz="2" w:space="0" w:color="auto"/>
              <w:right w:val="single" w:sz="2" w:space="0" w:color="auto"/>
            </w:tcBorders>
            <w:vAlign w:val="center"/>
          </w:tcPr>
          <w:p w14:paraId="3B185874">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702AC556">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50541507">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4F486BBA">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6E120733">
            <w:pPr>
              <w:spacing w:line="360" w:lineRule="auto"/>
              <w:jc w:val="center"/>
              <w:rPr>
                <w:rFonts w:ascii="宋体" w:hAnsi="宋体"/>
              </w:rPr>
            </w:pPr>
          </w:p>
        </w:tc>
        <w:tc>
          <w:tcPr>
            <w:tcW w:w="1759" w:type="dxa"/>
            <w:tcBorders>
              <w:top w:val="single" w:sz="2" w:space="0" w:color="auto"/>
              <w:left w:val="single" w:sz="2" w:space="0" w:color="auto"/>
              <w:bottom w:val="single" w:sz="2" w:space="0" w:color="auto"/>
              <w:right w:val="single" w:sz="2" w:space="0" w:color="auto"/>
            </w:tcBorders>
            <w:vAlign w:val="center"/>
          </w:tcPr>
          <w:p w14:paraId="1B7EE2B3">
            <w:pPr>
              <w:spacing w:line="360" w:lineRule="auto"/>
              <w:jc w:val="center"/>
              <w:rPr>
                <w:rFonts w:ascii="宋体" w:hAnsi="宋体"/>
              </w:rPr>
            </w:pPr>
          </w:p>
        </w:tc>
      </w:tr>
      <w:tr w14:paraId="417167D9">
        <w:tblPrEx>
          <w:tblW w:w="0" w:type="auto"/>
          <w:jc w:val="center"/>
          <w:tblLayout w:type="fixed"/>
          <w:tblCellMar>
            <w:top w:w="0" w:type="dxa"/>
            <w:left w:w="108" w:type="dxa"/>
            <w:bottom w:w="0" w:type="dxa"/>
            <w:right w:w="108" w:type="dxa"/>
          </w:tblCellMar>
        </w:tblPrEx>
        <w:trPr>
          <w:jc w:val="center"/>
        </w:trPr>
        <w:tc>
          <w:tcPr>
            <w:tcW w:w="1366" w:type="dxa"/>
            <w:tcBorders>
              <w:top w:val="single" w:sz="2" w:space="0" w:color="auto"/>
              <w:left w:val="single" w:sz="2" w:space="0" w:color="auto"/>
              <w:bottom w:val="single" w:sz="2" w:space="0" w:color="auto"/>
              <w:right w:val="single" w:sz="2" w:space="0" w:color="auto"/>
            </w:tcBorders>
            <w:vAlign w:val="center"/>
          </w:tcPr>
          <w:p w14:paraId="49657759">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24B0533F">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6478646E">
            <w:pPr>
              <w:spacing w:line="360" w:lineRule="auto"/>
              <w:jc w:val="center"/>
              <w:rPr>
                <w:rFonts w:ascii="宋体" w:hAnsi="宋体"/>
              </w:rPr>
            </w:pPr>
          </w:p>
        </w:tc>
        <w:tc>
          <w:tcPr>
            <w:tcW w:w="1258" w:type="dxa"/>
            <w:tcBorders>
              <w:top w:val="single" w:sz="2" w:space="0" w:color="auto"/>
              <w:left w:val="single" w:sz="2" w:space="0" w:color="auto"/>
              <w:bottom w:val="single" w:sz="2" w:space="0" w:color="auto"/>
              <w:right w:val="single" w:sz="2" w:space="0" w:color="auto"/>
            </w:tcBorders>
            <w:vAlign w:val="center"/>
          </w:tcPr>
          <w:p w14:paraId="0E78FCAB">
            <w:pPr>
              <w:spacing w:line="360" w:lineRule="auto"/>
              <w:jc w:val="center"/>
              <w:rPr>
                <w:rFonts w:ascii="宋体" w:hAnsi="宋体"/>
              </w:rPr>
            </w:pPr>
          </w:p>
        </w:tc>
        <w:tc>
          <w:tcPr>
            <w:tcW w:w="1438" w:type="dxa"/>
            <w:tcBorders>
              <w:top w:val="single" w:sz="2" w:space="0" w:color="auto"/>
              <w:left w:val="single" w:sz="2" w:space="0" w:color="auto"/>
              <w:bottom w:val="single" w:sz="2" w:space="0" w:color="auto"/>
              <w:right w:val="single" w:sz="2" w:space="0" w:color="auto"/>
            </w:tcBorders>
            <w:vAlign w:val="center"/>
          </w:tcPr>
          <w:p w14:paraId="36EB8191">
            <w:pPr>
              <w:spacing w:line="360" w:lineRule="auto"/>
              <w:jc w:val="center"/>
              <w:rPr>
                <w:rFonts w:ascii="宋体" w:hAnsi="宋体"/>
              </w:rPr>
            </w:pPr>
          </w:p>
        </w:tc>
        <w:tc>
          <w:tcPr>
            <w:tcW w:w="1759" w:type="dxa"/>
            <w:tcBorders>
              <w:top w:val="single" w:sz="2" w:space="0" w:color="auto"/>
              <w:left w:val="single" w:sz="2" w:space="0" w:color="auto"/>
              <w:bottom w:val="single" w:sz="2" w:space="0" w:color="auto"/>
              <w:right w:val="single" w:sz="2" w:space="0" w:color="auto"/>
            </w:tcBorders>
            <w:vAlign w:val="center"/>
          </w:tcPr>
          <w:p w14:paraId="483B387B">
            <w:pPr>
              <w:spacing w:line="360" w:lineRule="auto"/>
              <w:jc w:val="center"/>
              <w:rPr>
                <w:rFonts w:ascii="宋体" w:hAnsi="宋体"/>
              </w:rPr>
            </w:pPr>
          </w:p>
        </w:tc>
      </w:tr>
    </w:tbl>
    <w:p w14:paraId="0DEEF801">
      <w:pPr>
        <w:spacing w:line="360" w:lineRule="auto"/>
        <w:rPr>
          <w:rFonts w:ascii="宋体" w:hAnsi="宋体"/>
          <w:kern w:val="2"/>
          <w:lang w:eastAsia="zh-CN"/>
        </w:rPr>
      </w:pPr>
      <w:r>
        <w:rPr>
          <w:rFonts w:ascii="宋体" w:hAnsi="宋体" w:hint="eastAsia"/>
          <w:lang w:eastAsia="zh-CN"/>
        </w:rPr>
        <w:t>注：“图纸目录”的格式供招标人编制招标文件时参考。</w:t>
      </w:r>
    </w:p>
    <w:p w14:paraId="4E991DF0">
      <w:pPr>
        <w:spacing w:line="360" w:lineRule="auto"/>
        <w:rPr>
          <w:rFonts w:ascii="宋体" w:hAnsi="宋体"/>
          <w:lang w:eastAsia="zh-CN"/>
        </w:rPr>
      </w:pPr>
    </w:p>
    <w:p w14:paraId="3D111316">
      <w:pPr>
        <w:spacing w:line="360" w:lineRule="auto"/>
        <w:rPr>
          <w:rFonts w:ascii="宋体" w:hAnsi="宋体"/>
          <w:lang w:eastAsia="zh-CN"/>
        </w:rPr>
      </w:pPr>
      <w:r>
        <w:rPr>
          <w:rFonts w:ascii="宋体" w:hAnsi="宋体" w:hint="eastAsia"/>
          <w:lang w:eastAsia="zh-CN"/>
        </w:rPr>
        <w:t>2.图纸</w:t>
      </w:r>
    </w:p>
    <w:p w14:paraId="1F68A134">
      <w:pPr>
        <w:spacing w:line="360" w:lineRule="auto"/>
        <w:rPr>
          <w:rFonts w:ascii="宋体" w:hAnsi="宋体"/>
          <w:lang w:eastAsia="zh-CN"/>
        </w:rPr>
      </w:pPr>
    </w:p>
    <w:p w14:paraId="6540BC50">
      <w:pPr>
        <w:spacing w:line="360" w:lineRule="auto"/>
        <w:rPr>
          <w:rFonts w:ascii="宋体" w:hAnsi="宋体"/>
          <w:lang w:eastAsia="zh-CN"/>
        </w:rPr>
      </w:pPr>
    </w:p>
    <w:p w14:paraId="4ECB533B">
      <w:pPr>
        <w:spacing w:line="360" w:lineRule="auto"/>
        <w:rPr>
          <w:rFonts w:ascii="宋体" w:hAnsi="宋体"/>
          <w:lang w:eastAsia="zh-CN"/>
        </w:rPr>
      </w:pPr>
    </w:p>
    <w:p w14:paraId="49E3F871">
      <w:pPr>
        <w:spacing w:line="360" w:lineRule="auto"/>
        <w:rPr>
          <w:rFonts w:ascii="宋体" w:hAnsi="宋体"/>
          <w:lang w:eastAsia="zh-CN"/>
        </w:rPr>
      </w:pPr>
      <w:r>
        <w:rPr>
          <w:rFonts w:ascii="宋体" w:hAnsi="宋体" w:hint="eastAsia"/>
          <w:lang w:eastAsia="zh-CN"/>
        </w:rPr>
        <w:t>注：（1）有关行业主管部门的行业标准施工招标文件对“图纸”有具体规定的，应参照其规定，其中强制性的规定应从其规定。</w:t>
      </w:r>
    </w:p>
    <w:p w14:paraId="2D0568FF">
      <w:pPr>
        <w:spacing w:line="360" w:lineRule="auto"/>
        <w:rPr>
          <w:rFonts w:ascii="宋体" w:hAnsi="宋体"/>
          <w:sz w:val="27"/>
          <w:szCs w:val="22"/>
          <w:lang w:eastAsia="zh-CN"/>
        </w:rPr>
      </w:pPr>
      <w:r>
        <w:rPr>
          <w:rFonts w:ascii="宋体" w:hAnsi="宋体" w:hint="eastAsia"/>
          <w:lang w:eastAsia="zh-CN"/>
        </w:rPr>
        <w:t>（2）“图纸”不得为特定投标人量身定做，施工图审查意见不得指定品牌。</w:t>
      </w:r>
    </w:p>
    <w:p w14:paraId="32762C31">
      <w:pPr>
        <w:rPr>
          <w:rFonts w:ascii="宋体" w:hAnsi="宋体"/>
          <w:lang w:eastAsia="zh-CN"/>
        </w:rPr>
      </w:pPr>
    </w:p>
    <w:p w14:paraId="14B9D78D">
      <w:pPr>
        <w:spacing w:line="36" w:lineRule="auto"/>
        <w:rPr>
          <w:rFonts w:ascii="宋体" w:hAnsi="宋体"/>
          <w:b/>
          <w:sz w:val="44"/>
          <w:lang w:eastAsia="zh-CN"/>
        </w:rPr>
      </w:pPr>
    </w:p>
    <w:p w14:paraId="320D4CAB">
      <w:pPr>
        <w:spacing w:line="36" w:lineRule="auto"/>
        <w:jc w:val="center"/>
        <w:rPr>
          <w:rFonts w:ascii="宋体" w:hAnsi="宋体"/>
          <w:b/>
          <w:sz w:val="36"/>
          <w:szCs w:val="36"/>
          <w:lang w:eastAsia="zh-CN"/>
        </w:rPr>
      </w:pPr>
      <w:r>
        <w:rPr>
          <w:rFonts w:ascii="宋体" w:hAnsi="宋体" w:hint="eastAsia"/>
          <w:b/>
          <w:sz w:val="36"/>
          <w:szCs w:val="36"/>
          <w:lang w:eastAsia="zh-CN"/>
        </w:rPr>
        <w:t>第三卷</w:t>
      </w:r>
    </w:p>
    <w:p w14:paraId="5B423284">
      <w:pPr>
        <w:spacing w:line="36" w:lineRule="auto"/>
        <w:rPr>
          <w:rFonts w:ascii="宋体" w:hAnsi="宋体"/>
          <w:b/>
          <w:sz w:val="36"/>
          <w:szCs w:val="22"/>
          <w:lang w:eastAsia="zh-CN"/>
        </w:rPr>
      </w:pPr>
    </w:p>
    <w:p w14:paraId="1A877DD7">
      <w:pPr>
        <w:pStyle w:val="Heading10"/>
        <w:spacing w:line="396" w:lineRule="auto"/>
        <w:jc w:val="center"/>
        <w:rPr>
          <w:rFonts w:ascii="宋体" w:hAnsi="宋体"/>
          <w:sz w:val="32"/>
          <w:szCs w:val="32"/>
          <w:lang w:eastAsia="zh-CN"/>
        </w:rPr>
      </w:pPr>
      <w:bookmarkStart w:id="1514" w:name="_Toc256000086"/>
      <w:r>
        <w:rPr>
          <w:rFonts w:ascii="宋体" w:hAnsi="宋体" w:hint="eastAsia"/>
          <w:sz w:val="32"/>
          <w:szCs w:val="32"/>
          <w:lang w:eastAsia="zh-CN"/>
        </w:rPr>
        <w:t>第七章 技术标准和要求</w:t>
      </w:r>
      <w:bookmarkEnd w:id="1514"/>
    </w:p>
    <w:p w14:paraId="61DA091A">
      <w:pPr>
        <w:spacing w:line="36" w:lineRule="auto"/>
        <w:rPr>
          <w:rFonts w:ascii="宋体" w:hAnsi="宋体"/>
          <w:sz w:val="27"/>
          <w:szCs w:val="22"/>
          <w:lang w:eastAsia="zh-CN"/>
        </w:rPr>
      </w:pPr>
      <w:r>
        <w:rPr>
          <w:rFonts w:ascii="宋体" w:hAnsi="宋体" w:hint="eastAsia"/>
          <w:color w:val="00B0F0"/>
          <w:sz w:val="27"/>
          <w:u w:val="single"/>
          <w:lang w:eastAsia="zh-CN"/>
        </w:rPr>
        <w:t xml:space="preserve">                            </w:t>
      </w:r>
      <w:r>
        <w:rPr>
          <w:rFonts w:ascii="宋体" w:hAnsi="宋体" w:hint="eastAsia"/>
          <w:sz w:val="27"/>
          <w:lang w:eastAsia="zh-CN"/>
        </w:rPr>
        <w:t>。</w:t>
      </w:r>
    </w:p>
    <w:p w14:paraId="6B16D97A">
      <w:pPr>
        <w:spacing w:line="360" w:lineRule="auto"/>
        <w:rPr>
          <w:rFonts w:ascii="宋体" w:hAnsi="宋体"/>
          <w:lang w:eastAsia="zh-CN"/>
        </w:rPr>
      </w:pPr>
    </w:p>
    <w:p w14:paraId="70476339">
      <w:pPr>
        <w:spacing w:line="360" w:lineRule="auto"/>
        <w:rPr>
          <w:rFonts w:ascii="宋体" w:hAnsi="宋体"/>
          <w:lang w:eastAsia="zh-CN"/>
        </w:rPr>
      </w:pPr>
    </w:p>
    <w:p w14:paraId="024DDC42">
      <w:pPr>
        <w:spacing w:line="36" w:lineRule="auto"/>
        <w:rPr>
          <w:rFonts w:ascii="宋体" w:hAnsi="宋体"/>
          <w:sz w:val="21"/>
          <w:szCs w:val="22"/>
          <w:lang w:eastAsia="zh-CN"/>
        </w:rPr>
      </w:pPr>
      <w:r>
        <w:rPr>
          <w:rFonts w:ascii="宋体" w:hAnsi="宋体" w:hint="eastAsia"/>
          <w:lang w:eastAsia="zh-CN"/>
        </w:rPr>
        <w:t>附件:</w:t>
      </w:r>
      <w:r>
        <w:drawing>
          <wp:inline distT="0" distB="0" distL="0" distR="0">
            <wp:extent cx="153670" cy="153670"/>
            <wp:effectExtent l="0" t="0" r="0" b="0"/>
            <wp:docPr id="1" name="图片 1" descr="Rf78e0900fee047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Rf78e0900fee047b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3670" cy="153670"/>
                    </a:xfrm>
                    <a:prstGeom prst="rect">
                      <a:avLst/>
                    </a:prstGeom>
                    <a:noFill/>
                    <a:ln>
                      <a:noFill/>
                    </a:ln>
                  </pic:spPr>
                </pic:pic>
              </a:graphicData>
            </a:graphic>
          </wp:inline>
        </w:drawing>
      </w:r>
    </w:p>
    <w:p w14:paraId="2243AE1B">
      <w:pPr>
        <w:rPr>
          <w:rFonts w:ascii="宋体" w:hAnsi="宋体"/>
          <w:sz w:val="18"/>
          <w:lang w:eastAsia="zh-CN"/>
        </w:rPr>
      </w:pPr>
    </w:p>
    <w:p w14:paraId="2AB2A873">
      <w:pPr>
        <w:rPr>
          <w:rFonts w:ascii="宋体" w:hAnsi="宋体"/>
          <w:b/>
          <w:sz w:val="43"/>
          <w:lang w:eastAsia="zh-CN"/>
        </w:rPr>
      </w:pPr>
    </w:p>
    <w:p w14:paraId="7E57EDFC">
      <w:pPr>
        <w:rPr>
          <w:rFonts w:ascii="宋体" w:hAnsi="宋体"/>
          <w:b/>
          <w:sz w:val="43"/>
          <w:lang w:eastAsia="zh-CN"/>
        </w:rPr>
      </w:pPr>
      <w:r>
        <w:rPr>
          <w:rFonts w:ascii="宋体" w:hAnsi="宋体" w:hint="eastAsia"/>
          <w:b/>
          <w:sz w:val="43"/>
          <w:lang w:eastAsia="zh-CN"/>
        </w:rPr>
        <w:br w:type="page"/>
      </w:r>
    </w:p>
    <w:p w14:paraId="41D7D00E">
      <w:pPr>
        <w:rPr>
          <w:rFonts w:ascii="宋体" w:hAnsi="宋体"/>
          <w:b/>
          <w:sz w:val="43"/>
          <w:lang w:eastAsia="zh-CN"/>
        </w:rPr>
      </w:pPr>
    </w:p>
    <w:p w14:paraId="66071ECB">
      <w:pPr>
        <w:spacing w:line="36" w:lineRule="auto"/>
        <w:rPr>
          <w:rFonts w:ascii="宋体" w:hAnsi="宋体"/>
          <w:b/>
          <w:sz w:val="43"/>
          <w:lang w:eastAsia="zh-CN"/>
        </w:rPr>
      </w:pPr>
    </w:p>
    <w:p w14:paraId="2AB3E7DB">
      <w:pPr>
        <w:spacing w:line="36" w:lineRule="auto"/>
        <w:jc w:val="center"/>
        <w:rPr>
          <w:rFonts w:ascii="宋体" w:hAnsi="宋体"/>
          <w:b/>
          <w:sz w:val="36"/>
          <w:szCs w:val="36"/>
          <w:lang w:eastAsia="zh-CN"/>
        </w:rPr>
      </w:pPr>
      <w:r>
        <w:rPr>
          <w:rFonts w:ascii="宋体" w:hAnsi="宋体" w:hint="eastAsia"/>
          <w:b/>
          <w:sz w:val="36"/>
          <w:szCs w:val="36"/>
          <w:lang w:eastAsia="zh-CN"/>
        </w:rPr>
        <w:t>第四卷</w:t>
      </w:r>
    </w:p>
    <w:p w14:paraId="6F64248F">
      <w:pPr>
        <w:spacing w:line="36" w:lineRule="auto"/>
        <w:jc w:val="center"/>
        <w:rPr>
          <w:rFonts w:ascii="宋体" w:hAnsi="宋体"/>
          <w:b/>
          <w:sz w:val="43"/>
          <w:szCs w:val="22"/>
          <w:lang w:eastAsia="zh-CN"/>
        </w:rPr>
      </w:pPr>
    </w:p>
    <w:p w14:paraId="7D984097">
      <w:pPr>
        <w:spacing w:line="36" w:lineRule="auto"/>
        <w:rPr>
          <w:rFonts w:ascii="宋体" w:hAnsi="宋体"/>
          <w:b/>
          <w:sz w:val="36"/>
          <w:lang w:eastAsia="zh-CN"/>
        </w:rPr>
      </w:pPr>
    </w:p>
    <w:p w14:paraId="4A990E67">
      <w:pPr>
        <w:pStyle w:val="Heading10"/>
        <w:spacing w:line="396" w:lineRule="auto"/>
        <w:jc w:val="center"/>
        <w:rPr>
          <w:rFonts w:ascii="宋体" w:hAnsi="宋体"/>
          <w:sz w:val="32"/>
          <w:szCs w:val="32"/>
          <w:lang w:eastAsia="zh-CN"/>
        </w:rPr>
      </w:pPr>
      <w:bookmarkStart w:id="1515" w:name="_Toc256000087"/>
      <w:r>
        <w:rPr>
          <w:rFonts w:ascii="宋体" w:hAnsi="宋体" w:hint="eastAsia"/>
          <w:sz w:val="32"/>
          <w:szCs w:val="32"/>
          <w:lang w:eastAsia="zh-CN"/>
        </w:rPr>
        <w:t>第八章 投标文件格式</w:t>
      </w:r>
      <w:bookmarkEnd w:id="1515"/>
    </w:p>
    <w:p w14:paraId="4DAEE5CE">
      <w:pPr>
        <w:spacing w:line="36" w:lineRule="auto"/>
        <w:rPr>
          <w:rFonts w:ascii="宋体" w:hAnsi="宋体"/>
          <w:sz w:val="27"/>
          <w:szCs w:val="22"/>
          <w:lang w:eastAsia="zh-CN"/>
        </w:rPr>
      </w:pPr>
    </w:p>
    <w:p w14:paraId="01A8AADD">
      <w:pPr>
        <w:spacing w:line="36" w:lineRule="auto"/>
        <w:rPr>
          <w:rFonts w:ascii="宋体" w:hAnsi="宋体"/>
          <w:sz w:val="27"/>
          <w:lang w:eastAsia="zh-CN"/>
        </w:rPr>
      </w:pPr>
    </w:p>
    <w:p w14:paraId="039769A6">
      <w:pPr>
        <w:spacing w:line="36" w:lineRule="auto"/>
        <w:rPr>
          <w:rFonts w:ascii="宋体" w:hAnsi="宋体"/>
          <w:sz w:val="27"/>
          <w:lang w:eastAsia="zh-CN"/>
        </w:rPr>
      </w:pPr>
    </w:p>
    <w:p w14:paraId="7B02B8D0">
      <w:pPr>
        <w:spacing w:line="36" w:lineRule="auto"/>
        <w:rPr>
          <w:rFonts w:ascii="宋体" w:hAnsi="宋体"/>
          <w:sz w:val="27"/>
          <w:lang w:eastAsia="zh-CN"/>
        </w:rPr>
      </w:pPr>
    </w:p>
    <w:p w14:paraId="02A7328A">
      <w:pPr>
        <w:spacing w:line="36" w:lineRule="auto"/>
        <w:rPr>
          <w:rFonts w:ascii="宋体" w:hAnsi="宋体"/>
          <w:sz w:val="27"/>
          <w:lang w:eastAsia="zh-CN"/>
        </w:rPr>
      </w:pPr>
    </w:p>
    <w:p w14:paraId="41885527">
      <w:pPr>
        <w:spacing w:line="36" w:lineRule="auto"/>
        <w:rPr>
          <w:rFonts w:ascii="宋体" w:hAnsi="宋体"/>
          <w:sz w:val="27"/>
          <w:lang w:eastAsia="zh-CN"/>
        </w:rPr>
      </w:pPr>
    </w:p>
    <w:p w14:paraId="121A2363">
      <w:pPr>
        <w:spacing w:line="36" w:lineRule="auto"/>
        <w:rPr>
          <w:rFonts w:ascii="宋体" w:hAnsi="宋体"/>
          <w:sz w:val="27"/>
          <w:lang w:eastAsia="zh-CN"/>
        </w:rPr>
      </w:pPr>
    </w:p>
    <w:p w14:paraId="71DCC4D8">
      <w:pPr>
        <w:spacing w:line="36" w:lineRule="auto"/>
        <w:rPr>
          <w:rFonts w:ascii="宋体" w:hAnsi="宋体"/>
          <w:sz w:val="27"/>
          <w:lang w:eastAsia="zh-CN"/>
        </w:rPr>
      </w:pPr>
    </w:p>
    <w:p w14:paraId="4CFCC47A">
      <w:pPr>
        <w:spacing w:line="360" w:lineRule="auto"/>
        <w:rPr>
          <w:rFonts w:ascii="Calibri" w:hAnsi="Calibri"/>
          <w:sz w:val="21"/>
          <w:lang w:eastAsia="zh-CN"/>
        </w:rPr>
      </w:pPr>
      <w:r>
        <w:rPr>
          <w:lang w:eastAsia="zh-CN"/>
        </w:rPr>
        <w:t xml:space="preserve">  </w:t>
      </w:r>
      <w:r>
        <w:rPr>
          <w:rFonts w:ascii="宋体" w:hAnsi="宋体" w:hint="eastAsia"/>
          <w:lang w:eastAsia="zh-CN"/>
        </w:rPr>
        <w:t>注：“_______（盖单位章）”的，下划线上填写单位全称（法定名称），在单位全称上加盖单位电子签章，单位全称应与单位章一致，联合体投标的，投标人名称应填写联合体牵头人名称。</w:t>
      </w:r>
    </w:p>
    <w:p w14:paraId="1B1E5302">
      <w:pPr>
        <w:rPr>
          <w:lang w:eastAsia="zh-CN"/>
        </w:rPr>
      </w:pPr>
      <w:r>
        <w:rPr>
          <w:lang w:eastAsia="zh-CN"/>
        </w:rPr>
        <w:br w:type="page"/>
      </w:r>
    </w:p>
    <w:p w14:paraId="4CB2D8B3">
      <w:pPr>
        <w:spacing w:line="360" w:lineRule="auto"/>
        <w:rPr>
          <w:rFonts w:ascii="宋体" w:hAnsi="宋体"/>
          <w:lang w:eastAsia="zh-CN"/>
        </w:rPr>
      </w:pPr>
    </w:p>
    <w:p w14:paraId="395F0A7D">
      <w:pPr>
        <w:rPr>
          <w:rFonts w:ascii="宋体" w:hAnsi="宋体"/>
          <w:lang w:eastAsia="zh-CN"/>
        </w:rPr>
      </w:pPr>
    </w:p>
    <w:p w14:paraId="6C62ACBE">
      <w:pPr>
        <w:spacing w:line="360" w:lineRule="auto"/>
        <w:rPr>
          <w:rFonts w:ascii="宋体" w:hAnsi="宋体"/>
          <w:lang w:eastAsia="zh-CN"/>
        </w:rPr>
      </w:pPr>
    </w:p>
    <w:p w14:paraId="49D6AE51">
      <w:pPr>
        <w:spacing w:line="36" w:lineRule="auto"/>
        <w:rPr>
          <w:rFonts w:ascii="宋体" w:hAnsi="宋体"/>
          <w:sz w:val="27"/>
          <w:lang w:eastAsia="zh-CN"/>
        </w:rPr>
      </w:pPr>
    </w:p>
    <w:p w14:paraId="6DC01C3E">
      <w:pPr>
        <w:spacing w:line="36" w:lineRule="auto"/>
        <w:jc w:val="center"/>
        <w:rPr>
          <w:rFonts w:ascii="宋体" w:hAnsi="宋体"/>
          <w:b/>
          <w:sz w:val="36"/>
          <w:lang w:eastAsia="zh-CN"/>
        </w:rPr>
      </w:pPr>
      <w:r>
        <w:rPr>
          <w:rFonts w:ascii="宋体" w:hAnsi="宋体" w:hint="eastAsia"/>
          <w:b/>
          <w:sz w:val="36"/>
          <w:u w:val="single"/>
          <w:lang w:eastAsia="zh-CN"/>
        </w:rPr>
        <w:t>（项目名称）</w:t>
      </w:r>
      <w:r>
        <w:rPr>
          <w:rFonts w:ascii="宋体" w:hAnsi="宋体" w:hint="eastAsia"/>
          <w:b/>
          <w:sz w:val="36"/>
          <w:lang w:eastAsia="zh-CN"/>
        </w:rPr>
        <w:t>_______施工</w:t>
      </w:r>
      <w:r>
        <w:rPr>
          <w:rFonts w:ascii="宋体" w:hAnsi="宋体" w:hint="eastAsia"/>
          <w:b/>
          <w:sz w:val="36"/>
          <w:u w:val="single"/>
          <w:lang w:eastAsia="zh-CN"/>
        </w:rPr>
        <w:t xml:space="preserve">   </w:t>
      </w:r>
      <w:r>
        <w:rPr>
          <w:rFonts w:ascii="宋体" w:hAnsi="宋体" w:hint="eastAsia"/>
          <w:b/>
          <w:sz w:val="36"/>
          <w:lang w:eastAsia="zh-CN"/>
        </w:rPr>
        <w:t>标段招标</w:t>
      </w:r>
    </w:p>
    <w:p w14:paraId="206DC852">
      <w:pPr>
        <w:spacing w:line="36" w:lineRule="auto"/>
        <w:jc w:val="center"/>
        <w:rPr>
          <w:rFonts w:ascii="宋体" w:hAnsi="宋体"/>
          <w:b/>
          <w:sz w:val="36"/>
          <w:lang w:eastAsia="zh-CN"/>
        </w:rPr>
      </w:pPr>
    </w:p>
    <w:p w14:paraId="03EF2D93">
      <w:pPr>
        <w:spacing w:line="36" w:lineRule="auto"/>
        <w:jc w:val="center"/>
        <w:rPr>
          <w:rFonts w:ascii="宋体" w:hAnsi="宋体"/>
          <w:b/>
          <w:sz w:val="36"/>
          <w:lang w:eastAsia="zh-CN"/>
        </w:rPr>
      </w:pPr>
    </w:p>
    <w:p w14:paraId="44E29547">
      <w:pPr>
        <w:spacing w:line="36" w:lineRule="auto"/>
        <w:jc w:val="center"/>
        <w:rPr>
          <w:rFonts w:ascii="宋体" w:hAnsi="宋体"/>
          <w:b/>
          <w:sz w:val="36"/>
          <w:lang w:eastAsia="zh-CN"/>
        </w:rPr>
      </w:pPr>
    </w:p>
    <w:p w14:paraId="2998AB45">
      <w:pPr>
        <w:spacing w:line="36" w:lineRule="auto"/>
        <w:jc w:val="center"/>
        <w:rPr>
          <w:rFonts w:ascii="宋体" w:hAnsi="宋体"/>
          <w:b/>
          <w:sz w:val="36"/>
          <w:lang w:eastAsia="zh-CN"/>
        </w:rPr>
      </w:pPr>
    </w:p>
    <w:p w14:paraId="2A358D19">
      <w:pPr>
        <w:spacing w:line="36" w:lineRule="auto"/>
        <w:jc w:val="center"/>
        <w:rPr>
          <w:rFonts w:ascii="宋体" w:hAnsi="宋体"/>
          <w:b/>
          <w:sz w:val="52"/>
          <w:lang w:eastAsia="zh-CN"/>
        </w:rPr>
      </w:pPr>
      <w:r>
        <w:rPr>
          <w:rFonts w:ascii="宋体" w:hAnsi="宋体" w:hint="eastAsia"/>
          <w:b/>
          <w:sz w:val="52"/>
          <w:lang w:eastAsia="zh-CN"/>
        </w:rPr>
        <w:t>投 标 文 件</w:t>
      </w:r>
    </w:p>
    <w:p w14:paraId="2F315892">
      <w:pPr>
        <w:spacing w:line="36" w:lineRule="auto"/>
        <w:rPr>
          <w:rFonts w:ascii="宋体" w:hAnsi="宋体"/>
          <w:sz w:val="36"/>
          <w:lang w:eastAsia="zh-CN"/>
        </w:rPr>
      </w:pPr>
    </w:p>
    <w:p w14:paraId="5FB0910B">
      <w:pPr>
        <w:spacing w:line="36" w:lineRule="auto"/>
        <w:rPr>
          <w:rFonts w:ascii="宋体" w:hAnsi="宋体"/>
          <w:sz w:val="36"/>
          <w:lang w:eastAsia="zh-CN"/>
        </w:rPr>
      </w:pPr>
    </w:p>
    <w:p w14:paraId="67674B63">
      <w:pPr>
        <w:spacing w:line="36" w:lineRule="auto"/>
        <w:rPr>
          <w:rFonts w:ascii="宋体" w:hAnsi="宋体"/>
          <w:sz w:val="36"/>
          <w:lang w:eastAsia="zh-CN"/>
        </w:rPr>
      </w:pPr>
    </w:p>
    <w:p w14:paraId="431724CE">
      <w:pPr>
        <w:spacing w:line="36" w:lineRule="auto"/>
        <w:rPr>
          <w:rFonts w:ascii="宋体" w:hAnsi="宋体"/>
          <w:sz w:val="36"/>
          <w:lang w:eastAsia="zh-CN"/>
        </w:rPr>
      </w:pPr>
    </w:p>
    <w:p w14:paraId="2D738B1E">
      <w:pPr>
        <w:spacing w:line="36" w:lineRule="auto"/>
        <w:rPr>
          <w:rFonts w:ascii="宋体" w:hAnsi="宋体"/>
          <w:sz w:val="36"/>
          <w:lang w:eastAsia="zh-CN"/>
        </w:rPr>
      </w:pPr>
    </w:p>
    <w:p w14:paraId="3376D687">
      <w:pPr>
        <w:spacing w:line="36" w:lineRule="auto"/>
        <w:rPr>
          <w:rFonts w:ascii="宋体" w:hAnsi="宋体"/>
          <w:sz w:val="36"/>
          <w:lang w:eastAsia="zh-CN"/>
        </w:rPr>
      </w:pPr>
    </w:p>
    <w:p w14:paraId="79E77C1D">
      <w:pPr>
        <w:spacing w:line="36" w:lineRule="auto"/>
        <w:jc w:val="center"/>
        <w:rPr>
          <w:rFonts w:ascii="宋体" w:hAnsi="宋体"/>
          <w:sz w:val="36"/>
          <w:lang w:eastAsia="zh-CN"/>
        </w:rPr>
      </w:pPr>
    </w:p>
    <w:p w14:paraId="7E2E3522">
      <w:pPr>
        <w:spacing w:line="36" w:lineRule="auto"/>
        <w:jc w:val="center"/>
        <w:rPr>
          <w:rFonts w:ascii="宋体" w:hAnsi="宋体"/>
          <w:b/>
          <w:sz w:val="36"/>
          <w:lang w:eastAsia="zh-CN"/>
        </w:rPr>
      </w:pPr>
      <w:r>
        <w:rPr>
          <w:rFonts w:ascii="宋体" w:hAnsi="宋体" w:hint="eastAsia"/>
          <w:b/>
          <w:sz w:val="36"/>
          <w:lang w:eastAsia="zh-CN"/>
        </w:rPr>
        <w:t>投标人：___</w:t>
      </w:r>
      <w:r>
        <w:rPr>
          <w:rFonts w:ascii="宋体" w:hAnsi="宋体" w:hint="eastAsia"/>
          <w:b/>
          <w:sz w:val="36"/>
          <w:u w:val="single"/>
          <w:lang w:eastAsia="zh-CN"/>
        </w:rPr>
        <w:t xml:space="preserve">     </w:t>
      </w:r>
      <w:r>
        <w:rPr>
          <w:rFonts w:ascii="宋体" w:hAnsi="宋体" w:hint="eastAsia"/>
          <w:b/>
          <w:sz w:val="36"/>
          <w:lang w:eastAsia="zh-CN"/>
        </w:rPr>
        <w:t>____（法定名称）</w:t>
      </w:r>
    </w:p>
    <w:p w14:paraId="31A1ED55">
      <w:pPr>
        <w:spacing w:line="36" w:lineRule="auto"/>
        <w:jc w:val="center"/>
        <w:rPr>
          <w:rFonts w:ascii="宋体" w:hAnsi="宋体"/>
          <w:sz w:val="36"/>
          <w:lang w:eastAsia="zh-CN"/>
        </w:rPr>
      </w:pPr>
    </w:p>
    <w:p w14:paraId="310DB6D4">
      <w:pPr>
        <w:spacing w:line="36" w:lineRule="auto"/>
        <w:jc w:val="center"/>
        <w:rPr>
          <w:rFonts w:ascii="宋体" w:hAnsi="宋体"/>
          <w:b/>
          <w:sz w:val="36"/>
          <w:lang w:eastAsia="zh-CN"/>
        </w:rPr>
      </w:pPr>
      <w:r>
        <w:rPr>
          <w:rFonts w:ascii="宋体" w:hAnsi="宋体" w:hint="eastAsia"/>
          <w:b/>
          <w:sz w:val="36"/>
          <w:lang w:eastAsia="zh-CN"/>
        </w:rPr>
        <w:t>年  月  日</w:t>
      </w:r>
    </w:p>
    <w:p w14:paraId="69CFE4E4">
      <w:pPr>
        <w:spacing w:line="36" w:lineRule="auto"/>
        <w:rPr>
          <w:rFonts w:ascii="宋体" w:hAnsi="宋体"/>
          <w:sz w:val="27"/>
          <w:lang w:eastAsia="zh-CN"/>
        </w:rPr>
      </w:pPr>
    </w:p>
    <w:p w14:paraId="09964C4A">
      <w:pPr>
        <w:spacing w:line="36" w:lineRule="auto"/>
        <w:rPr>
          <w:rFonts w:ascii="宋体" w:hAnsi="宋体"/>
          <w:sz w:val="27"/>
          <w:lang w:eastAsia="zh-CN"/>
        </w:rPr>
      </w:pPr>
    </w:p>
    <w:p w14:paraId="2120051E">
      <w:pPr>
        <w:spacing w:line="36" w:lineRule="auto"/>
        <w:rPr>
          <w:rFonts w:ascii="宋体" w:hAnsi="宋体"/>
          <w:sz w:val="27"/>
          <w:lang w:eastAsia="zh-CN"/>
        </w:rPr>
      </w:pPr>
    </w:p>
    <w:p w14:paraId="20494C84">
      <w:pPr>
        <w:spacing w:line="36" w:lineRule="auto"/>
        <w:rPr>
          <w:rFonts w:ascii="宋体" w:hAnsi="宋体"/>
          <w:sz w:val="36"/>
          <w:lang w:eastAsia="zh-CN"/>
        </w:rPr>
      </w:pPr>
    </w:p>
    <w:p w14:paraId="680C559D">
      <w:pPr>
        <w:spacing w:line="36" w:lineRule="auto"/>
        <w:rPr>
          <w:rFonts w:ascii="宋体" w:hAnsi="宋体"/>
          <w:sz w:val="36"/>
          <w:lang w:eastAsia="zh-CN"/>
        </w:rPr>
      </w:pPr>
    </w:p>
    <w:p w14:paraId="535222AD">
      <w:pPr>
        <w:spacing w:line="36" w:lineRule="auto"/>
        <w:rPr>
          <w:rFonts w:ascii="宋体" w:hAnsi="宋体"/>
          <w:sz w:val="36"/>
          <w:lang w:eastAsia="zh-CN"/>
        </w:rPr>
      </w:pPr>
    </w:p>
    <w:p w14:paraId="6D017303">
      <w:pPr>
        <w:spacing w:line="36" w:lineRule="auto"/>
        <w:jc w:val="center"/>
        <w:rPr>
          <w:rFonts w:ascii="宋体" w:hAnsi="宋体"/>
          <w:b/>
          <w:sz w:val="36"/>
          <w:lang w:eastAsia="zh-CN"/>
        </w:rPr>
      </w:pPr>
      <w:r>
        <w:rPr>
          <w:rFonts w:ascii="宋体" w:hAnsi="宋体" w:hint="eastAsia"/>
          <w:b/>
          <w:sz w:val="36"/>
          <w:u w:val="single"/>
          <w:lang w:eastAsia="zh-CN"/>
        </w:rPr>
        <w:t xml:space="preserve">（项目名称）    </w:t>
      </w:r>
      <w:r>
        <w:rPr>
          <w:rFonts w:ascii="宋体" w:hAnsi="宋体" w:hint="eastAsia"/>
          <w:b/>
          <w:sz w:val="36"/>
          <w:lang w:eastAsia="zh-CN"/>
        </w:rPr>
        <w:t>施工</w:t>
      </w:r>
      <w:r>
        <w:rPr>
          <w:rFonts w:ascii="宋体" w:hAnsi="宋体" w:hint="eastAsia"/>
          <w:b/>
          <w:sz w:val="36"/>
          <w:u w:val="single"/>
          <w:lang w:eastAsia="zh-CN"/>
        </w:rPr>
        <w:t xml:space="preserve">    </w:t>
      </w:r>
      <w:r>
        <w:rPr>
          <w:rFonts w:ascii="宋体" w:hAnsi="宋体" w:hint="eastAsia"/>
          <w:b/>
          <w:sz w:val="36"/>
          <w:lang w:eastAsia="zh-CN"/>
        </w:rPr>
        <w:t>标段招标</w:t>
      </w:r>
    </w:p>
    <w:p w14:paraId="7F6AF05C">
      <w:pPr>
        <w:spacing w:line="36" w:lineRule="auto"/>
        <w:jc w:val="center"/>
        <w:rPr>
          <w:rFonts w:ascii="宋体" w:hAnsi="宋体"/>
          <w:b/>
          <w:sz w:val="36"/>
          <w:lang w:eastAsia="zh-CN"/>
        </w:rPr>
      </w:pPr>
    </w:p>
    <w:p w14:paraId="48181185">
      <w:pPr>
        <w:spacing w:line="36" w:lineRule="auto"/>
        <w:jc w:val="center"/>
        <w:rPr>
          <w:rFonts w:ascii="宋体" w:hAnsi="宋体"/>
          <w:b/>
          <w:sz w:val="36"/>
          <w:lang w:eastAsia="zh-CN"/>
        </w:rPr>
      </w:pPr>
    </w:p>
    <w:p w14:paraId="572A8371">
      <w:pPr>
        <w:spacing w:line="36" w:lineRule="auto"/>
        <w:rPr>
          <w:rFonts w:ascii="宋体" w:hAnsi="宋体"/>
          <w:b/>
          <w:sz w:val="36"/>
          <w:lang w:eastAsia="zh-CN"/>
        </w:rPr>
      </w:pPr>
    </w:p>
    <w:p w14:paraId="2CB8682B">
      <w:pPr>
        <w:spacing w:line="36" w:lineRule="auto"/>
        <w:rPr>
          <w:rFonts w:ascii="宋体" w:hAnsi="宋体"/>
          <w:b/>
          <w:sz w:val="36"/>
          <w:lang w:eastAsia="zh-CN"/>
        </w:rPr>
      </w:pPr>
    </w:p>
    <w:p w14:paraId="201683CD">
      <w:pPr>
        <w:spacing w:line="36" w:lineRule="auto"/>
        <w:jc w:val="center"/>
        <w:rPr>
          <w:rFonts w:ascii="宋体" w:hAnsi="宋体"/>
          <w:b/>
          <w:sz w:val="52"/>
          <w:lang w:eastAsia="zh-CN"/>
        </w:rPr>
      </w:pPr>
      <w:r>
        <w:rPr>
          <w:rFonts w:ascii="宋体" w:hAnsi="宋体" w:hint="eastAsia"/>
          <w:b/>
          <w:sz w:val="52"/>
          <w:lang w:eastAsia="zh-CN"/>
        </w:rPr>
        <w:t>投 标 文 件</w:t>
      </w:r>
    </w:p>
    <w:p w14:paraId="6862C7A6">
      <w:pPr>
        <w:spacing w:line="36" w:lineRule="auto"/>
        <w:jc w:val="center"/>
        <w:rPr>
          <w:rFonts w:ascii="宋体" w:hAnsi="宋体"/>
          <w:sz w:val="36"/>
          <w:lang w:eastAsia="zh-CN"/>
        </w:rPr>
      </w:pPr>
    </w:p>
    <w:p w14:paraId="42ED45F5">
      <w:pPr>
        <w:spacing w:line="36" w:lineRule="auto"/>
        <w:jc w:val="center"/>
        <w:rPr>
          <w:rFonts w:ascii="宋体" w:hAnsi="宋体"/>
          <w:sz w:val="36"/>
          <w:lang w:eastAsia="zh-CN"/>
        </w:rPr>
      </w:pPr>
    </w:p>
    <w:p w14:paraId="34C54EB1">
      <w:pPr>
        <w:spacing w:line="36" w:lineRule="auto"/>
        <w:jc w:val="center"/>
        <w:rPr>
          <w:rFonts w:ascii="宋体" w:hAnsi="宋体"/>
          <w:sz w:val="36"/>
          <w:lang w:eastAsia="zh-CN"/>
        </w:rPr>
      </w:pPr>
    </w:p>
    <w:p w14:paraId="0791777C">
      <w:pPr>
        <w:spacing w:line="36" w:lineRule="auto"/>
        <w:jc w:val="center"/>
        <w:rPr>
          <w:rFonts w:ascii="宋体" w:hAnsi="宋体"/>
          <w:sz w:val="36"/>
          <w:lang w:eastAsia="zh-CN"/>
        </w:rPr>
      </w:pPr>
    </w:p>
    <w:p w14:paraId="4563FA88">
      <w:pPr>
        <w:spacing w:line="36" w:lineRule="auto"/>
        <w:rPr>
          <w:rFonts w:ascii="宋体" w:hAnsi="宋体"/>
          <w:sz w:val="36"/>
          <w:lang w:eastAsia="zh-CN"/>
        </w:rPr>
      </w:pPr>
    </w:p>
    <w:p w14:paraId="46CED782">
      <w:pPr>
        <w:spacing w:line="36" w:lineRule="auto"/>
        <w:rPr>
          <w:rFonts w:ascii="宋体" w:hAnsi="宋体"/>
          <w:b/>
          <w:sz w:val="36"/>
          <w:lang w:eastAsia="zh-CN"/>
        </w:rPr>
      </w:pPr>
      <w:r>
        <w:rPr>
          <w:rFonts w:ascii="宋体" w:hAnsi="宋体" w:hint="eastAsia"/>
          <w:b/>
          <w:sz w:val="36"/>
          <w:lang w:eastAsia="zh-CN"/>
        </w:rPr>
        <w:t>投标人：_______（盖单位章）</w:t>
      </w:r>
    </w:p>
    <w:p w14:paraId="5F814C75">
      <w:pPr>
        <w:spacing w:line="36" w:lineRule="auto"/>
        <w:rPr>
          <w:rFonts w:ascii="宋体" w:hAnsi="宋体"/>
          <w:b/>
          <w:sz w:val="36"/>
          <w:lang w:eastAsia="zh-CN"/>
        </w:rPr>
      </w:pPr>
    </w:p>
    <w:p w14:paraId="51A1A214">
      <w:pPr>
        <w:spacing w:line="36" w:lineRule="auto"/>
        <w:rPr>
          <w:rFonts w:ascii="宋体" w:hAnsi="宋体"/>
          <w:b/>
          <w:sz w:val="36"/>
          <w:lang w:eastAsia="zh-CN"/>
        </w:rPr>
      </w:pPr>
      <w:r>
        <w:rPr>
          <w:rFonts w:ascii="宋体" w:hAnsi="宋体" w:hint="eastAsia"/>
          <w:b/>
          <w:sz w:val="36"/>
          <w:lang w:eastAsia="zh-CN"/>
        </w:rPr>
        <w:t>法定代表人或其委托代理人：___________（签字）</w:t>
      </w:r>
    </w:p>
    <w:p w14:paraId="6CFC8FB2">
      <w:pPr>
        <w:spacing w:line="36" w:lineRule="auto"/>
        <w:jc w:val="center"/>
        <w:rPr>
          <w:rFonts w:ascii="宋体" w:hAnsi="宋体"/>
          <w:b/>
          <w:sz w:val="36"/>
          <w:lang w:eastAsia="zh-CN"/>
        </w:rPr>
      </w:pPr>
    </w:p>
    <w:p w14:paraId="46FE8504">
      <w:pPr>
        <w:rPr>
          <w:rFonts w:ascii="宋体" w:hAnsi="宋体"/>
          <w:b/>
          <w:sz w:val="36"/>
          <w:lang w:eastAsia="zh-CN"/>
        </w:rPr>
      </w:pPr>
      <w:r>
        <w:rPr>
          <w:rFonts w:ascii="宋体" w:hAnsi="宋体" w:hint="eastAsia"/>
          <w:b/>
          <w:sz w:val="36"/>
          <w:lang w:eastAsia="zh-CN"/>
        </w:rPr>
        <w:t>年  月  日</w:t>
      </w:r>
      <w:r>
        <w:rPr>
          <w:rFonts w:ascii="宋体" w:hAnsi="宋体" w:hint="eastAsia"/>
          <w:b/>
          <w:sz w:val="36"/>
          <w:lang w:eastAsia="zh-CN"/>
        </w:rPr>
        <w:br w:type="page"/>
      </w:r>
    </w:p>
    <w:p w14:paraId="443C1716">
      <w:pPr>
        <w:spacing w:line="36" w:lineRule="auto"/>
        <w:jc w:val="center"/>
        <w:rPr>
          <w:rFonts w:ascii="宋体" w:hAnsi="宋体"/>
          <w:b/>
          <w:sz w:val="36"/>
          <w:lang w:eastAsia="zh-CN"/>
        </w:rPr>
      </w:pPr>
    </w:p>
    <w:p w14:paraId="72378CCD">
      <w:pPr>
        <w:pStyle w:val="Heading2"/>
        <w:spacing w:line="36" w:lineRule="auto"/>
        <w:jc w:val="center"/>
        <w:rPr>
          <w:rFonts w:ascii="宋体" w:hAnsi="宋体"/>
          <w:sz w:val="36"/>
        </w:rPr>
      </w:pPr>
      <w:bookmarkStart w:id="1516" w:name="_Toc256000088"/>
      <w:r>
        <w:rPr>
          <w:rFonts w:ascii="宋体" w:hAnsi="宋体" w:hint="eastAsia"/>
          <w:sz w:val="36"/>
        </w:rPr>
        <w:t>目  录</w:t>
      </w:r>
      <w:bookmarkEnd w:id="1516"/>
    </w:p>
    <w:p w14:paraId="4D205E03">
      <w:pPr>
        <w:spacing w:line="36" w:lineRule="auto"/>
        <w:rPr>
          <w:rFonts w:ascii="宋体" w:hAnsi="宋体"/>
          <w:sz w:val="27"/>
          <w:lang w:eastAsia="zh-CN"/>
        </w:rPr>
      </w:pPr>
    </w:p>
    <w:p w14:paraId="446FF35C">
      <w:pPr>
        <w:spacing w:line="36" w:lineRule="auto"/>
        <w:rPr>
          <w:rFonts w:ascii="宋体" w:hAnsi="宋体"/>
          <w:sz w:val="28"/>
          <w:lang w:eastAsia="zh-CN"/>
        </w:rPr>
      </w:pPr>
      <w:r>
        <w:rPr>
          <w:rFonts w:ascii="宋体" w:hAnsi="宋体" w:hint="eastAsia"/>
          <w:sz w:val="28"/>
          <w:lang w:eastAsia="zh-CN"/>
        </w:rPr>
        <w:t>一、投标函及投标函附录</w:t>
      </w:r>
    </w:p>
    <w:p w14:paraId="08DA5ADE">
      <w:pPr>
        <w:spacing w:line="36" w:lineRule="auto"/>
        <w:rPr>
          <w:rFonts w:ascii="宋体" w:hAnsi="宋体"/>
          <w:sz w:val="28"/>
          <w:lang w:eastAsia="zh-CN"/>
        </w:rPr>
      </w:pPr>
      <w:r>
        <w:rPr>
          <w:rFonts w:ascii="宋体" w:hAnsi="宋体" w:hint="eastAsia"/>
          <w:sz w:val="28"/>
          <w:lang w:eastAsia="zh-CN"/>
        </w:rPr>
        <w:t>二、法定代表人身份证明</w:t>
      </w:r>
    </w:p>
    <w:p w14:paraId="4B4D550B">
      <w:pPr>
        <w:spacing w:line="36" w:lineRule="auto"/>
        <w:rPr>
          <w:rFonts w:ascii="宋体" w:hAnsi="宋体"/>
          <w:sz w:val="28"/>
          <w:lang w:eastAsia="zh-CN"/>
        </w:rPr>
      </w:pPr>
      <w:r>
        <w:rPr>
          <w:rFonts w:ascii="宋体" w:hAnsi="宋体" w:hint="eastAsia"/>
          <w:sz w:val="28"/>
          <w:lang w:eastAsia="zh-CN"/>
        </w:rPr>
        <w:t>二、授权委托书</w:t>
      </w:r>
    </w:p>
    <w:p w14:paraId="46D3F8F5">
      <w:pPr>
        <w:spacing w:line="36" w:lineRule="auto"/>
        <w:rPr>
          <w:rFonts w:ascii="宋体" w:hAnsi="宋体"/>
          <w:sz w:val="28"/>
          <w:lang w:eastAsia="zh-CN"/>
        </w:rPr>
      </w:pPr>
      <w:r>
        <w:rPr>
          <w:rFonts w:ascii="宋体" w:hAnsi="宋体" w:hint="eastAsia"/>
          <w:sz w:val="28"/>
          <w:lang w:eastAsia="zh-CN"/>
        </w:rPr>
        <w:t>三、联合体协议书</w:t>
      </w:r>
    </w:p>
    <w:p w14:paraId="3249845A">
      <w:pPr>
        <w:spacing w:line="36" w:lineRule="auto"/>
        <w:rPr>
          <w:rFonts w:ascii="宋体" w:hAnsi="宋体"/>
          <w:sz w:val="28"/>
          <w:lang w:eastAsia="zh-CN"/>
        </w:rPr>
      </w:pPr>
      <w:r>
        <w:rPr>
          <w:rFonts w:ascii="宋体" w:hAnsi="宋体" w:hint="eastAsia"/>
          <w:sz w:val="28"/>
          <w:lang w:eastAsia="zh-CN"/>
        </w:rPr>
        <w:t>四、投标保证金</w:t>
      </w:r>
    </w:p>
    <w:p w14:paraId="286127D6">
      <w:pPr>
        <w:spacing w:line="36" w:lineRule="auto"/>
        <w:rPr>
          <w:rFonts w:ascii="宋体" w:hAnsi="宋体"/>
          <w:sz w:val="28"/>
          <w:lang w:eastAsia="zh-CN"/>
        </w:rPr>
      </w:pPr>
      <w:r>
        <w:rPr>
          <w:rFonts w:ascii="宋体" w:hAnsi="宋体" w:hint="eastAsia"/>
          <w:sz w:val="28"/>
          <w:lang w:eastAsia="zh-CN"/>
        </w:rPr>
        <w:t>五、已标价工程量清单</w:t>
      </w:r>
    </w:p>
    <w:p w14:paraId="399652DB">
      <w:pPr>
        <w:spacing w:line="36" w:lineRule="auto"/>
        <w:rPr>
          <w:rFonts w:ascii="宋体" w:hAnsi="宋体"/>
          <w:sz w:val="28"/>
          <w:lang w:eastAsia="zh-CN"/>
        </w:rPr>
      </w:pPr>
      <w:r>
        <w:rPr>
          <w:rFonts w:ascii="宋体" w:hAnsi="宋体" w:hint="eastAsia"/>
          <w:sz w:val="28"/>
          <w:lang w:eastAsia="zh-CN"/>
        </w:rPr>
        <w:t>六、施工组织设计</w:t>
      </w:r>
    </w:p>
    <w:p w14:paraId="23AE8BAF">
      <w:pPr>
        <w:spacing w:line="36" w:lineRule="auto"/>
        <w:rPr>
          <w:rFonts w:ascii="宋体" w:hAnsi="宋体"/>
          <w:sz w:val="28"/>
          <w:lang w:eastAsia="zh-CN"/>
        </w:rPr>
      </w:pPr>
      <w:r>
        <w:rPr>
          <w:rFonts w:ascii="宋体" w:hAnsi="宋体" w:hint="eastAsia"/>
          <w:sz w:val="28"/>
          <w:lang w:eastAsia="zh-CN"/>
        </w:rPr>
        <w:t>七、项目管理机构</w:t>
      </w:r>
    </w:p>
    <w:p w14:paraId="48668590">
      <w:pPr>
        <w:spacing w:line="36" w:lineRule="auto"/>
        <w:rPr>
          <w:rFonts w:ascii="宋体" w:hAnsi="宋体"/>
          <w:sz w:val="28"/>
          <w:lang w:eastAsia="zh-CN"/>
        </w:rPr>
      </w:pPr>
      <w:r>
        <w:rPr>
          <w:rFonts w:ascii="宋体" w:hAnsi="宋体" w:hint="eastAsia"/>
          <w:sz w:val="28"/>
          <w:lang w:eastAsia="zh-CN"/>
        </w:rPr>
        <w:t>八、拟分包项目情况表</w:t>
      </w:r>
    </w:p>
    <w:p w14:paraId="35DBFB38">
      <w:pPr>
        <w:spacing w:line="36" w:lineRule="auto"/>
        <w:rPr>
          <w:rFonts w:ascii="宋体" w:hAnsi="宋体"/>
          <w:sz w:val="28"/>
          <w:lang w:eastAsia="zh-CN"/>
        </w:rPr>
      </w:pPr>
      <w:r>
        <w:rPr>
          <w:rFonts w:ascii="宋体" w:hAnsi="宋体" w:hint="eastAsia"/>
          <w:sz w:val="28"/>
          <w:lang w:eastAsia="zh-CN"/>
        </w:rPr>
        <w:t>九、资格审查资料</w:t>
      </w:r>
    </w:p>
    <w:p w14:paraId="4EB40DA8">
      <w:pPr>
        <w:spacing w:line="36" w:lineRule="auto"/>
        <w:rPr>
          <w:rFonts w:ascii="宋体" w:hAnsi="宋体"/>
          <w:sz w:val="28"/>
          <w:lang w:eastAsia="zh-CN"/>
        </w:rPr>
      </w:pPr>
      <w:r>
        <w:rPr>
          <w:rFonts w:ascii="宋体" w:hAnsi="宋体" w:hint="eastAsia"/>
          <w:sz w:val="28"/>
          <w:lang w:eastAsia="zh-CN"/>
        </w:rPr>
        <w:t>十、其他材料</w:t>
      </w:r>
    </w:p>
    <w:p w14:paraId="240428DB">
      <w:pPr>
        <w:spacing w:line="36" w:lineRule="auto"/>
        <w:rPr>
          <w:rFonts w:ascii="宋体" w:hAnsi="宋体"/>
          <w:sz w:val="27"/>
          <w:lang w:eastAsia="zh-CN"/>
        </w:rPr>
      </w:pPr>
    </w:p>
    <w:p w14:paraId="434E4736">
      <w:pPr>
        <w:spacing w:line="36" w:lineRule="auto"/>
        <w:rPr>
          <w:rFonts w:ascii="宋体" w:hAnsi="宋体"/>
          <w:sz w:val="27"/>
          <w:lang w:eastAsia="zh-CN"/>
        </w:rPr>
      </w:pPr>
    </w:p>
    <w:p w14:paraId="58D87586">
      <w:pPr>
        <w:spacing w:line="360" w:lineRule="auto"/>
        <w:rPr>
          <w:rFonts w:ascii="宋体" w:hAnsi="宋体"/>
          <w:lang w:eastAsia="zh-CN"/>
        </w:rPr>
      </w:pPr>
      <w:r>
        <w:rPr>
          <w:lang w:eastAsia="zh-CN"/>
        </w:rPr>
        <w:t xml:space="preserve">    </w:t>
      </w:r>
      <w:r>
        <w:rPr>
          <w:rFonts w:ascii="宋体" w:hAnsi="宋体" w:hint="eastAsia"/>
          <w:lang w:eastAsia="zh-CN"/>
        </w:rPr>
        <w:t>注：投标文件不需要编制页码。</w:t>
      </w:r>
    </w:p>
    <w:p w14:paraId="77860F59">
      <w:pPr>
        <w:spacing w:line="36" w:lineRule="auto"/>
        <w:rPr>
          <w:rFonts w:ascii="宋体" w:hAnsi="宋体"/>
          <w:sz w:val="27"/>
          <w:lang w:eastAsia="zh-CN"/>
        </w:rPr>
      </w:pPr>
    </w:p>
    <w:p w14:paraId="4122997C">
      <w:pPr>
        <w:rPr>
          <w:rFonts w:ascii="宋体" w:hAnsi="宋体"/>
          <w:sz w:val="27"/>
          <w:lang w:eastAsia="zh-CN"/>
        </w:rPr>
      </w:pPr>
      <w:r>
        <w:rPr>
          <w:rFonts w:ascii="宋体" w:hAnsi="宋体" w:hint="eastAsia"/>
          <w:sz w:val="27"/>
          <w:lang w:eastAsia="zh-CN"/>
        </w:rPr>
        <w:br w:type="page"/>
      </w:r>
    </w:p>
    <w:p w14:paraId="1980C733">
      <w:pPr>
        <w:pStyle w:val="Heading2"/>
        <w:spacing w:line="36" w:lineRule="auto"/>
        <w:jc w:val="center"/>
        <w:rPr>
          <w:rFonts w:ascii="宋体" w:hAnsi="宋体"/>
          <w:sz w:val="31"/>
        </w:rPr>
      </w:pPr>
      <w:bookmarkStart w:id="1517" w:name="_Toc256000089"/>
      <w:r>
        <w:rPr>
          <w:rFonts w:ascii="宋体" w:hAnsi="宋体" w:hint="eastAsia"/>
          <w:sz w:val="31"/>
        </w:rPr>
        <w:t>一、投标函及投标函附录</w:t>
      </w:r>
      <w:bookmarkEnd w:id="1517"/>
    </w:p>
    <w:p w14:paraId="467C5F19">
      <w:pPr>
        <w:pStyle w:val="Heading3"/>
        <w:spacing w:line="36" w:lineRule="auto"/>
        <w:jc w:val="center"/>
        <w:rPr>
          <w:rFonts w:ascii="宋体" w:hAnsi="宋体"/>
          <w:sz w:val="31"/>
        </w:rPr>
      </w:pPr>
      <w:bookmarkStart w:id="1518" w:name="_Toc256000090"/>
      <w:r>
        <w:rPr>
          <w:rFonts w:ascii="宋体" w:hAnsi="宋体" w:hint="eastAsia"/>
          <w:sz w:val="31"/>
        </w:rPr>
        <w:t>（一）投标函</w:t>
      </w:r>
      <w:bookmarkEnd w:id="1518"/>
    </w:p>
    <w:p w14:paraId="4BD59DA6">
      <w:pPr>
        <w:spacing w:line="360" w:lineRule="auto"/>
        <w:rPr>
          <w:rFonts w:ascii="宋体" w:hAnsi="宋体"/>
          <w:lang w:eastAsia="zh-CN"/>
        </w:rPr>
      </w:pPr>
      <w:r>
        <w:rPr>
          <w:rFonts w:ascii="宋体" w:hAnsi="宋体" w:hint="eastAsia"/>
          <w:u w:val="single"/>
          <w:lang w:eastAsia="zh-CN"/>
        </w:rPr>
        <w:t xml:space="preserve">              </w:t>
      </w:r>
      <w:r>
        <w:rPr>
          <w:rFonts w:ascii="宋体" w:hAnsi="宋体" w:hint="eastAsia"/>
          <w:lang w:eastAsia="zh-CN"/>
        </w:rPr>
        <w:t>（招标人名称）：</w:t>
      </w:r>
    </w:p>
    <w:p w14:paraId="7B0B3EB6">
      <w:pPr>
        <w:spacing w:line="360" w:lineRule="auto"/>
        <w:rPr>
          <w:rFonts w:ascii="宋体" w:hAnsi="宋体"/>
          <w:lang w:eastAsia="zh-CN"/>
        </w:rPr>
      </w:pPr>
      <w:r>
        <w:rPr>
          <w:lang w:eastAsia="zh-CN"/>
        </w:rPr>
        <w:t xml:space="preserve">    </w:t>
      </w:r>
      <w:r>
        <w:rPr>
          <w:rFonts w:ascii="宋体" w:hAnsi="宋体" w:hint="eastAsia"/>
          <w:lang w:eastAsia="zh-CN"/>
        </w:rPr>
        <w:t>1．我方已仔细研究了（项目名称）标段施工招标文件的全部内容，愿意以人民币（大写）</w:t>
      </w:r>
      <w:r>
        <w:rPr>
          <w:rFonts w:ascii="宋体" w:hAnsi="宋体" w:hint="eastAsia"/>
          <w:u w:val="single"/>
          <w:lang w:eastAsia="zh-CN"/>
        </w:rPr>
        <w:t xml:space="preserve">      </w:t>
      </w:r>
      <w:r>
        <w:rPr>
          <w:rFonts w:ascii="宋体" w:hAnsi="宋体" w:hint="eastAsia"/>
          <w:lang w:eastAsia="zh-CN"/>
        </w:rPr>
        <w:t>（小写）</w:t>
      </w:r>
      <w:r>
        <w:rPr>
          <w:rFonts w:ascii="宋体" w:hAnsi="宋体" w:hint="eastAsia"/>
          <w:u w:val="single"/>
          <w:lang w:eastAsia="zh-CN"/>
        </w:rPr>
        <w:t xml:space="preserve">       </w:t>
      </w:r>
      <w:r>
        <w:rPr>
          <w:rFonts w:ascii="宋体" w:hAnsi="宋体" w:hint="eastAsia"/>
          <w:lang w:eastAsia="zh-CN"/>
        </w:rPr>
        <w:t>的投标报价，工期______日历天，按合同约定实施和完成承包工程，修补工程中的任何缺陷 ，工程质量达到___</w:t>
      </w:r>
      <w:r>
        <w:rPr>
          <w:rFonts w:ascii="宋体" w:hAnsi="宋体" w:hint="eastAsia"/>
          <w:u w:val="single"/>
          <w:lang w:eastAsia="zh-CN"/>
        </w:rPr>
        <w:t xml:space="preserve">_ </w:t>
      </w:r>
      <w:r>
        <w:rPr>
          <w:rFonts w:ascii="宋体" w:hAnsi="宋体" w:hint="eastAsia"/>
          <w:lang w:eastAsia="zh-CN"/>
        </w:rPr>
        <w:t>___。</w:t>
      </w:r>
    </w:p>
    <w:p w14:paraId="4C7DFDF9">
      <w:pPr>
        <w:spacing w:line="360" w:lineRule="auto"/>
        <w:rPr>
          <w:rFonts w:ascii="宋体" w:hAnsi="宋体"/>
          <w:lang w:eastAsia="zh-CN"/>
        </w:rPr>
      </w:pPr>
      <w:r>
        <w:rPr>
          <w:lang w:eastAsia="zh-CN"/>
        </w:rPr>
        <w:t xml:space="preserve">    </w:t>
      </w:r>
      <w:r>
        <w:rPr>
          <w:rFonts w:ascii="宋体" w:hAnsi="宋体" w:hint="eastAsia"/>
          <w:lang w:eastAsia="zh-CN"/>
        </w:rPr>
        <w:t>2．我方承诺在投标有效期内不撤销投标文件。</w:t>
      </w:r>
    </w:p>
    <w:p w14:paraId="7393DA39">
      <w:pPr>
        <w:spacing w:line="360" w:lineRule="auto"/>
        <w:rPr>
          <w:rFonts w:ascii="宋体" w:hAnsi="宋体"/>
          <w:lang w:eastAsia="zh-CN"/>
        </w:rPr>
      </w:pPr>
      <w:r>
        <w:rPr>
          <w:lang w:eastAsia="zh-CN"/>
        </w:rPr>
        <w:t xml:space="preserve">    </w:t>
      </w:r>
      <w:r>
        <w:rPr>
          <w:rFonts w:ascii="宋体" w:hAnsi="宋体" w:hint="eastAsia"/>
          <w:lang w:eastAsia="zh-CN"/>
        </w:rPr>
        <w:t>3．随同本投标函提交投标保证金一份，金额为人民币（大写）_______元（¥_______）。</w:t>
      </w:r>
    </w:p>
    <w:p w14:paraId="481465E7">
      <w:pPr>
        <w:spacing w:line="360" w:lineRule="auto"/>
        <w:rPr>
          <w:rFonts w:ascii="宋体" w:hAnsi="宋体"/>
          <w:lang w:eastAsia="zh-CN"/>
        </w:rPr>
      </w:pPr>
      <w:r>
        <w:rPr>
          <w:lang w:eastAsia="zh-CN"/>
        </w:rPr>
        <w:t xml:space="preserve">    </w:t>
      </w:r>
      <w:r>
        <w:rPr>
          <w:rFonts w:ascii="宋体" w:hAnsi="宋体" w:hint="eastAsia"/>
          <w:lang w:eastAsia="zh-CN"/>
        </w:rPr>
        <w:t>4．如我方中标：</w:t>
      </w:r>
    </w:p>
    <w:p w14:paraId="70CD40E4">
      <w:pPr>
        <w:spacing w:line="360" w:lineRule="auto"/>
        <w:rPr>
          <w:rFonts w:ascii="宋体" w:hAnsi="宋体"/>
          <w:lang w:eastAsia="zh-CN"/>
        </w:rPr>
      </w:pPr>
      <w:r>
        <w:rPr>
          <w:lang w:eastAsia="zh-CN"/>
        </w:rPr>
        <w:t xml:space="preserve">    </w:t>
      </w:r>
      <w:r>
        <w:rPr>
          <w:rFonts w:ascii="宋体" w:hAnsi="宋体" w:hint="eastAsia"/>
          <w:lang w:eastAsia="zh-CN"/>
        </w:rPr>
        <w:t>（1）我方承诺在收到中标通知书后，在中标通知书规定的期限内，与你方按照招标文件和我方的投标文件签订合同；</w:t>
      </w:r>
    </w:p>
    <w:p w14:paraId="3A31D9B0">
      <w:pPr>
        <w:spacing w:line="360" w:lineRule="auto"/>
        <w:rPr>
          <w:rFonts w:ascii="宋体" w:hAnsi="宋体"/>
          <w:lang w:eastAsia="zh-CN"/>
        </w:rPr>
      </w:pPr>
      <w:r>
        <w:rPr>
          <w:lang w:eastAsia="zh-CN"/>
        </w:rPr>
        <w:t xml:space="preserve">    </w:t>
      </w:r>
      <w:r>
        <w:rPr>
          <w:rFonts w:ascii="宋体" w:hAnsi="宋体" w:hint="eastAsia"/>
          <w:lang w:eastAsia="zh-CN"/>
        </w:rPr>
        <w:t>（2）随同本投标函递交的投标函附录属于合同文件的组成部分；</w:t>
      </w:r>
    </w:p>
    <w:p w14:paraId="0EB29B0B">
      <w:pPr>
        <w:spacing w:line="360" w:lineRule="auto"/>
        <w:ind w:firstLine="480"/>
        <w:rPr>
          <w:rFonts w:ascii="宋体" w:hAnsi="宋体"/>
          <w:lang w:eastAsia="zh-CN"/>
        </w:rPr>
      </w:pPr>
      <w:r>
        <w:rPr>
          <w:rFonts w:ascii="宋体" w:hAnsi="宋体" w:hint="eastAsia"/>
          <w:lang w:eastAsia="zh-CN"/>
        </w:rPr>
        <w:t>（3）我方承诺按照招标文件规定向你方递交履约担保；</w:t>
      </w:r>
    </w:p>
    <w:p w14:paraId="468D47B6">
      <w:pPr>
        <w:spacing w:line="360" w:lineRule="auto"/>
        <w:ind w:firstLine="480"/>
        <w:rPr>
          <w:rFonts w:ascii="宋体" w:hAnsi="宋体"/>
          <w:lang w:eastAsia="zh-CN"/>
        </w:rPr>
      </w:pPr>
      <w:r>
        <w:rPr>
          <w:rFonts w:ascii="宋体" w:hAnsi="宋体" w:hint="eastAsia"/>
          <w:lang w:eastAsia="zh-CN"/>
        </w:rPr>
        <w:t>（4）我方承诺在合同约定的期限内不更换项目经理、技术负责人，因特殊情况确需更换的，应征得你方同意，且更换后的人员不低于原投标承诺人员所具有的资格和条件，否则愿意承担相应违约责任；</w:t>
      </w:r>
    </w:p>
    <w:p w14:paraId="1858303F">
      <w:pPr>
        <w:spacing w:line="360" w:lineRule="auto"/>
        <w:ind w:firstLine="480"/>
        <w:rPr>
          <w:rFonts w:ascii="宋体" w:hAnsi="宋体"/>
          <w:lang w:eastAsia="zh-CN"/>
        </w:rPr>
      </w:pPr>
      <w:r>
        <w:rPr>
          <w:rFonts w:ascii="宋体" w:hAnsi="宋体" w:hint="eastAsia"/>
          <w:lang w:eastAsia="zh-CN"/>
        </w:rPr>
        <w:t>（5）我方承诺在合同约定的期限内完成并移交全部合同工程。</w:t>
      </w:r>
    </w:p>
    <w:p w14:paraId="6A29BCC6">
      <w:pPr>
        <w:spacing w:line="360" w:lineRule="auto"/>
        <w:ind w:firstLine="480"/>
        <w:rPr>
          <w:rFonts w:ascii="宋体" w:hAnsi="宋体"/>
          <w:lang w:eastAsia="zh-CN"/>
        </w:rPr>
      </w:pPr>
      <w:r>
        <w:rPr>
          <w:rFonts w:ascii="宋体" w:hAnsi="宋体" w:hint="eastAsia"/>
          <w:lang w:eastAsia="zh-CN"/>
        </w:rPr>
        <w:t>5.我方在此声明，所递交的投标文件（包括有关资料、澄清）真实可信，</w:t>
      </w:r>
      <w:r>
        <w:rPr>
          <w:rFonts w:ascii="宋体" w:hAnsi="宋体" w:cs="宋体" w:hint="eastAsia"/>
          <w:lang w:eastAsia="zh-CN"/>
        </w:rPr>
        <w:t>不存在弄虚作假或隐瞒</w:t>
      </w:r>
      <w:r>
        <w:rPr>
          <w:rFonts w:ascii="宋体" w:hAnsi="宋体" w:hint="eastAsia"/>
          <w:lang w:eastAsia="zh-CN"/>
        </w:rPr>
        <w:t>。</w:t>
      </w:r>
    </w:p>
    <w:p w14:paraId="224E7EF0">
      <w:pPr>
        <w:spacing w:line="360" w:lineRule="auto"/>
        <w:ind w:firstLine="480"/>
        <w:rPr>
          <w:rFonts w:ascii="宋体" w:hAnsi="宋体"/>
          <w:lang w:eastAsia="zh-CN"/>
        </w:rPr>
      </w:pPr>
      <w:r>
        <w:rPr>
          <w:rFonts w:ascii="宋体" w:hAnsi="宋体" w:hint="eastAsia"/>
          <w:lang w:eastAsia="zh-CN"/>
        </w:rPr>
        <w:t>经我方认真核查，本投标人不存在招标文件第二章“投标人须知”第1.4.3项规定的任何一种情形。</w:t>
      </w:r>
    </w:p>
    <w:p w14:paraId="7EF0B2E3">
      <w:pPr>
        <w:spacing w:line="360" w:lineRule="auto"/>
        <w:ind w:firstLine="480"/>
        <w:rPr>
          <w:rFonts w:ascii="宋体" w:hAnsi="宋体"/>
          <w:lang w:eastAsia="zh-CN"/>
        </w:rPr>
      </w:pPr>
      <w:r>
        <w:rPr>
          <w:rFonts w:ascii="宋体" w:hAnsi="宋体" w:hint="eastAsia"/>
          <w:lang w:eastAsia="zh-CN"/>
        </w:rPr>
        <w:t>6．</w:t>
      </w:r>
      <w:r>
        <w:rPr>
          <w:rFonts w:ascii="宋体" w:hAnsi="宋体" w:hint="eastAsia"/>
          <w:u w:val="single"/>
          <w:lang w:eastAsia="zh-CN"/>
        </w:rPr>
        <w:t xml:space="preserve">              </w:t>
      </w:r>
      <w:r>
        <w:rPr>
          <w:rFonts w:ascii="宋体" w:hAnsi="宋体" w:hint="eastAsia"/>
          <w:lang w:eastAsia="zh-CN"/>
        </w:rPr>
        <w:t>（其他补充说明）。</w:t>
      </w:r>
    </w:p>
    <w:p w14:paraId="6D310DD2">
      <w:pPr>
        <w:spacing w:line="360" w:lineRule="auto"/>
        <w:ind w:firstLine="480"/>
        <w:rPr>
          <w:rFonts w:ascii="宋体" w:hAnsi="宋体"/>
          <w:lang w:eastAsia="zh-CN"/>
        </w:rPr>
      </w:pPr>
    </w:p>
    <w:p w14:paraId="68CE6C60">
      <w:pPr>
        <w:spacing w:line="360" w:lineRule="auto"/>
        <w:ind w:firstLine="480"/>
        <w:rPr>
          <w:rFonts w:ascii="宋体" w:hAnsi="宋体"/>
          <w:lang w:eastAsia="zh-CN"/>
        </w:rPr>
      </w:pPr>
    </w:p>
    <w:p w14:paraId="32030461">
      <w:pPr>
        <w:spacing w:line="360" w:lineRule="auto"/>
        <w:ind w:firstLine="3401" w:firstLineChars="1417"/>
        <w:rPr>
          <w:rFonts w:ascii="宋体" w:hAnsi="宋体"/>
          <w:lang w:eastAsia="zh-CN"/>
        </w:rPr>
      </w:pPr>
      <w:r>
        <w:rPr>
          <w:rFonts w:hint="eastAsia"/>
          <w:bCs/>
          <w:lang w:eastAsia="zh-CN"/>
        </w:rPr>
        <w:t>投</w:t>
      </w:r>
      <w:r>
        <w:rPr>
          <w:bCs/>
          <w:lang w:eastAsia="zh-CN"/>
        </w:rPr>
        <w:t xml:space="preserve"> </w:t>
      </w:r>
      <w:r>
        <w:rPr>
          <w:rFonts w:hint="eastAsia"/>
          <w:bCs/>
          <w:lang w:eastAsia="zh-CN"/>
        </w:rPr>
        <w:t>标</w:t>
      </w:r>
      <w:r>
        <w:rPr>
          <w:bCs/>
          <w:lang w:eastAsia="zh-CN"/>
        </w:rPr>
        <w:t xml:space="preserve"> </w:t>
      </w:r>
      <w:r>
        <w:rPr>
          <w:rFonts w:hint="eastAsia"/>
          <w:bCs/>
          <w:lang w:eastAsia="zh-CN"/>
        </w:rPr>
        <w:t>人：</w:t>
      </w:r>
      <w:r>
        <w:rPr>
          <w:bCs/>
          <w:lang w:eastAsia="zh-CN"/>
        </w:rPr>
        <w:t xml:space="preserve"> </w:t>
      </w:r>
      <w:r>
        <w:rPr>
          <w:bCs/>
          <w:u w:val="single"/>
          <w:lang w:eastAsia="zh-CN"/>
        </w:rPr>
        <w:t xml:space="preserve">                  </w:t>
      </w:r>
      <w:r>
        <w:rPr>
          <w:rFonts w:hint="eastAsia"/>
          <w:bCs/>
          <w:lang w:eastAsia="zh-CN"/>
        </w:rPr>
        <w:t>（盖单位章）</w:t>
      </w:r>
    </w:p>
    <w:p w14:paraId="7F8E1B3B">
      <w:pPr>
        <w:spacing w:line="360" w:lineRule="auto"/>
        <w:ind w:firstLine="3401" w:firstLineChars="1417"/>
        <w:rPr>
          <w:rFonts w:ascii="Calibri" w:hAnsi="Calibri"/>
          <w:bCs/>
          <w:lang w:eastAsia="zh-CN"/>
        </w:rPr>
      </w:pPr>
      <w:r>
        <w:rPr>
          <w:rFonts w:hint="eastAsia"/>
          <w:bCs/>
          <w:lang w:eastAsia="zh-CN"/>
        </w:rPr>
        <w:t>法定代表人或其委托代理人：</w:t>
      </w:r>
      <w:r>
        <w:rPr>
          <w:bCs/>
          <w:u w:val="single"/>
          <w:lang w:eastAsia="zh-CN"/>
        </w:rPr>
        <w:t xml:space="preserve">    </w:t>
      </w:r>
      <w:r>
        <w:rPr>
          <w:rFonts w:hint="eastAsia"/>
          <w:bCs/>
          <w:lang w:eastAsia="zh-CN"/>
        </w:rPr>
        <w:t>（签</w:t>
      </w:r>
      <w:r>
        <w:rPr>
          <w:bCs/>
          <w:lang w:eastAsia="zh-CN"/>
        </w:rPr>
        <w:t xml:space="preserve">   </w:t>
      </w:r>
      <w:r>
        <w:rPr>
          <w:rFonts w:hint="eastAsia"/>
          <w:bCs/>
          <w:lang w:eastAsia="zh-CN"/>
        </w:rPr>
        <w:t>字）</w:t>
      </w:r>
    </w:p>
    <w:p w14:paraId="21AA06B4">
      <w:pPr>
        <w:spacing w:line="360" w:lineRule="auto"/>
        <w:ind w:firstLine="3401" w:firstLineChars="1417"/>
        <w:rPr>
          <w:bCs/>
          <w:lang w:eastAsia="zh-CN"/>
        </w:rPr>
      </w:pPr>
      <w:r>
        <w:rPr>
          <w:rFonts w:hint="eastAsia"/>
          <w:bCs/>
          <w:lang w:eastAsia="zh-CN"/>
        </w:rPr>
        <w:t>地</w:t>
      </w:r>
      <w:r>
        <w:rPr>
          <w:bCs/>
          <w:lang w:eastAsia="zh-CN"/>
        </w:rPr>
        <w:t xml:space="preserve">    </w:t>
      </w:r>
      <w:r>
        <w:rPr>
          <w:rFonts w:hint="eastAsia"/>
          <w:bCs/>
          <w:lang w:eastAsia="zh-CN"/>
        </w:rPr>
        <w:t>址：</w:t>
      </w:r>
      <w:r>
        <w:rPr>
          <w:bCs/>
          <w:u w:val="single"/>
          <w:lang w:eastAsia="zh-CN"/>
        </w:rPr>
        <w:t xml:space="preserve">                             </w:t>
      </w:r>
    </w:p>
    <w:p w14:paraId="1588FA30">
      <w:pPr>
        <w:spacing w:line="360" w:lineRule="auto"/>
        <w:ind w:firstLine="3401" w:firstLineChars="1417"/>
        <w:rPr>
          <w:bCs/>
          <w:lang w:eastAsia="zh-CN"/>
        </w:rPr>
      </w:pPr>
      <w:r>
        <w:rPr>
          <w:rFonts w:hint="eastAsia"/>
          <w:bCs/>
          <w:lang w:eastAsia="zh-CN"/>
        </w:rPr>
        <w:t>网</w:t>
      </w:r>
      <w:r>
        <w:rPr>
          <w:bCs/>
          <w:lang w:eastAsia="zh-CN"/>
        </w:rPr>
        <w:t xml:space="preserve">    </w:t>
      </w:r>
      <w:r>
        <w:rPr>
          <w:rFonts w:hint="eastAsia"/>
          <w:bCs/>
          <w:lang w:eastAsia="zh-CN"/>
        </w:rPr>
        <w:t>址：</w:t>
      </w:r>
      <w:r>
        <w:rPr>
          <w:bCs/>
          <w:u w:val="single"/>
          <w:lang w:eastAsia="zh-CN"/>
        </w:rPr>
        <w:t xml:space="preserve">                             </w:t>
      </w:r>
    </w:p>
    <w:p w14:paraId="1DBE25F3">
      <w:pPr>
        <w:spacing w:line="360" w:lineRule="auto"/>
        <w:ind w:firstLine="3401" w:firstLineChars="1417"/>
        <w:rPr>
          <w:bCs/>
          <w:lang w:eastAsia="zh-CN"/>
        </w:rPr>
      </w:pPr>
      <w:r>
        <w:rPr>
          <w:rFonts w:hint="eastAsia"/>
          <w:bCs/>
          <w:lang w:eastAsia="zh-CN"/>
        </w:rPr>
        <w:t>联系电话：</w:t>
      </w:r>
      <w:r>
        <w:rPr>
          <w:bCs/>
          <w:u w:val="single"/>
          <w:lang w:eastAsia="zh-CN"/>
        </w:rPr>
        <w:t xml:space="preserve">                             </w:t>
      </w:r>
    </w:p>
    <w:p w14:paraId="289ECE90">
      <w:pPr>
        <w:spacing w:line="360" w:lineRule="auto"/>
        <w:ind w:firstLine="3401" w:firstLineChars="1417"/>
        <w:rPr>
          <w:bCs/>
          <w:lang w:eastAsia="zh-CN"/>
        </w:rPr>
      </w:pPr>
      <w:r>
        <w:rPr>
          <w:rFonts w:hint="eastAsia"/>
          <w:bCs/>
          <w:lang w:eastAsia="zh-CN"/>
        </w:rPr>
        <w:t>传</w:t>
      </w:r>
      <w:r>
        <w:rPr>
          <w:bCs/>
          <w:lang w:eastAsia="zh-CN"/>
        </w:rPr>
        <w:t xml:space="preserve">    </w:t>
      </w:r>
      <w:r>
        <w:rPr>
          <w:rFonts w:hint="eastAsia"/>
          <w:bCs/>
          <w:lang w:eastAsia="zh-CN"/>
        </w:rPr>
        <w:t>真：</w:t>
      </w:r>
      <w:r>
        <w:rPr>
          <w:bCs/>
          <w:u w:val="single"/>
          <w:lang w:eastAsia="zh-CN"/>
        </w:rPr>
        <w:t xml:space="preserve">                             </w:t>
      </w:r>
    </w:p>
    <w:p w14:paraId="591559CD">
      <w:pPr>
        <w:spacing w:line="360" w:lineRule="auto"/>
        <w:ind w:firstLine="3401" w:firstLineChars="1417"/>
        <w:rPr>
          <w:b/>
          <w:lang w:eastAsia="zh-CN"/>
        </w:rPr>
      </w:pPr>
      <w:r>
        <w:rPr>
          <w:rFonts w:hint="eastAsia"/>
          <w:bCs/>
          <w:lang w:eastAsia="zh-CN"/>
        </w:rPr>
        <w:t>邮政编码：</w:t>
      </w:r>
      <w:r>
        <w:rPr>
          <w:bCs/>
          <w:u w:val="single"/>
          <w:lang w:eastAsia="zh-CN"/>
        </w:rPr>
        <w:t xml:space="preserve">                             </w:t>
      </w:r>
    </w:p>
    <w:p w14:paraId="7BDABE52">
      <w:pPr>
        <w:spacing w:line="360" w:lineRule="auto"/>
        <w:jc w:val="center"/>
        <w:rPr>
          <w:rFonts w:ascii="宋体" w:hAnsi="宋体"/>
          <w:lang w:eastAsia="zh-CN"/>
        </w:rPr>
      </w:pPr>
      <w:r>
        <w:rPr>
          <w:lang w:eastAsia="zh-CN"/>
        </w:rPr>
        <w:t xml:space="preserve">                              </w:t>
      </w:r>
      <w:r>
        <w:rPr>
          <w:rFonts w:ascii="宋体" w:hAnsi="宋体" w:hint="eastAsia"/>
          <w:lang w:eastAsia="zh-CN"/>
        </w:rPr>
        <w:t>_______年_______月_______日</w:t>
      </w:r>
    </w:p>
    <w:p w14:paraId="64B05EE5">
      <w:pPr>
        <w:pStyle w:val="Heading3"/>
        <w:spacing w:line="36" w:lineRule="auto"/>
        <w:jc w:val="center"/>
        <w:rPr>
          <w:rFonts w:ascii="宋体" w:hAnsi="宋体"/>
          <w:sz w:val="31"/>
        </w:rPr>
      </w:pPr>
      <w:bookmarkStart w:id="1519" w:name="_Toc256000092"/>
      <w:r>
        <w:rPr>
          <w:rFonts w:ascii="宋体" w:hAnsi="宋体" w:hint="eastAsia"/>
          <w:sz w:val="31"/>
        </w:rPr>
        <w:t>（二）投标函附录</w:t>
      </w:r>
      <w:bookmarkEnd w:id="1519"/>
    </w:p>
    <w:p w14:paraId="73D88027">
      <w:pPr>
        <w:spacing w:line="36" w:lineRule="auto"/>
        <w:rPr>
          <w:rFonts w:ascii="宋体" w:hAnsi="宋体"/>
          <w:sz w:val="27"/>
        </w:rPr>
      </w:pP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1371"/>
        <w:gridCol w:w="1777"/>
        <w:gridCol w:w="2673"/>
        <w:gridCol w:w="1693"/>
      </w:tblGrid>
      <w:tr w14:paraId="6E60A32B">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740"/>
          <w:jc w:val="center"/>
        </w:trPr>
        <w:tc>
          <w:tcPr>
            <w:tcW w:w="1371" w:type="dxa"/>
            <w:tcBorders>
              <w:top w:val="single" w:sz="2" w:space="0" w:color="auto"/>
              <w:left w:val="single" w:sz="2" w:space="0" w:color="auto"/>
              <w:bottom w:val="single" w:sz="2" w:space="0" w:color="auto"/>
              <w:right w:val="single" w:sz="2" w:space="0" w:color="auto"/>
            </w:tcBorders>
            <w:vAlign w:val="center"/>
          </w:tcPr>
          <w:p w14:paraId="0BDD94AF">
            <w:r>
              <w:rPr>
                <w:rFonts w:hint="eastAsia"/>
              </w:rPr>
              <w:t>序号</w:t>
            </w:r>
          </w:p>
        </w:tc>
        <w:tc>
          <w:tcPr>
            <w:tcW w:w="1777" w:type="dxa"/>
            <w:tcBorders>
              <w:top w:val="single" w:sz="2" w:space="0" w:color="auto"/>
              <w:left w:val="single" w:sz="2" w:space="0" w:color="auto"/>
              <w:bottom w:val="single" w:sz="2" w:space="0" w:color="auto"/>
              <w:right w:val="single" w:sz="2" w:space="0" w:color="auto"/>
            </w:tcBorders>
            <w:vAlign w:val="center"/>
          </w:tcPr>
          <w:p w14:paraId="368948FB">
            <w:r>
              <w:rPr>
                <w:rFonts w:hint="eastAsia"/>
              </w:rPr>
              <w:t>条款名称</w:t>
            </w:r>
          </w:p>
        </w:tc>
        <w:tc>
          <w:tcPr>
            <w:tcW w:w="2673" w:type="dxa"/>
            <w:tcBorders>
              <w:top w:val="single" w:sz="2" w:space="0" w:color="auto"/>
              <w:left w:val="single" w:sz="2" w:space="0" w:color="auto"/>
              <w:bottom w:val="single" w:sz="2" w:space="0" w:color="auto"/>
              <w:right w:val="single" w:sz="2" w:space="0" w:color="auto"/>
            </w:tcBorders>
            <w:vAlign w:val="center"/>
          </w:tcPr>
          <w:p w14:paraId="0F27A875">
            <w:r>
              <w:rPr>
                <w:rFonts w:hint="eastAsia"/>
              </w:rPr>
              <w:t>约定内容</w:t>
            </w:r>
          </w:p>
        </w:tc>
        <w:tc>
          <w:tcPr>
            <w:tcW w:w="1693" w:type="dxa"/>
            <w:tcBorders>
              <w:top w:val="single" w:sz="2" w:space="0" w:color="auto"/>
              <w:left w:val="single" w:sz="2" w:space="0" w:color="auto"/>
              <w:bottom w:val="single" w:sz="2" w:space="0" w:color="auto"/>
              <w:right w:val="single" w:sz="2" w:space="0" w:color="auto"/>
            </w:tcBorders>
            <w:vAlign w:val="center"/>
          </w:tcPr>
          <w:p w14:paraId="28CD6BB9">
            <w:r>
              <w:rPr>
                <w:rFonts w:hint="eastAsia"/>
              </w:rPr>
              <w:t>备注</w:t>
            </w:r>
          </w:p>
        </w:tc>
      </w:tr>
      <w:tr w14:paraId="24A8DFB7">
        <w:tblPrEx>
          <w:tblW w:w="0" w:type="auto"/>
          <w:jc w:val="center"/>
          <w:tblLayout w:type="fixed"/>
          <w:tblCellMar>
            <w:top w:w="0" w:type="dxa"/>
            <w:left w:w="108" w:type="dxa"/>
            <w:bottom w:w="0" w:type="dxa"/>
            <w:right w:w="108" w:type="dxa"/>
          </w:tblCellMar>
        </w:tblPrEx>
        <w:trPr>
          <w:trHeight w:val="721"/>
          <w:jc w:val="center"/>
        </w:trPr>
        <w:tc>
          <w:tcPr>
            <w:tcW w:w="1371" w:type="dxa"/>
            <w:tcBorders>
              <w:top w:val="single" w:sz="2" w:space="0" w:color="auto"/>
              <w:left w:val="single" w:sz="2" w:space="0" w:color="auto"/>
              <w:bottom w:val="single" w:sz="2" w:space="0" w:color="auto"/>
              <w:right w:val="single" w:sz="2" w:space="0" w:color="auto"/>
            </w:tcBorders>
            <w:vAlign w:val="center"/>
          </w:tcPr>
          <w:p w14:paraId="2AE7BCB9">
            <w:r>
              <w:rPr>
                <w:rFonts w:hint="eastAsia"/>
              </w:rPr>
              <w:t>1</w:t>
            </w:r>
          </w:p>
        </w:tc>
        <w:tc>
          <w:tcPr>
            <w:tcW w:w="1777" w:type="dxa"/>
            <w:tcBorders>
              <w:top w:val="single" w:sz="2" w:space="0" w:color="auto"/>
              <w:left w:val="single" w:sz="2" w:space="0" w:color="auto"/>
              <w:bottom w:val="single" w:sz="2" w:space="0" w:color="auto"/>
              <w:right w:val="single" w:sz="2" w:space="0" w:color="auto"/>
            </w:tcBorders>
            <w:vAlign w:val="center"/>
          </w:tcPr>
          <w:p w14:paraId="56A768C2">
            <w:r>
              <w:rPr>
                <w:rFonts w:hint="eastAsia"/>
              </w:rPr>
              <w:t>项目经理</w:t>
            </w:r>
          </w:p>
        </w:tc>
        <w:tc>
          <w:tcPr>
            <w:tcW w:w="2673" w:type="dxa"/>
            <w:tcBorders>
              <w:top w:val="single" w:sz="2" w:space="0" w:color="auto"/>
              <w:left w:val="single" w:sz="2" w:space="0" w:color="auto"/>
              <w:bottom w:val="single" w:sz="2" w:space="0" w:color="auto"/>
              <w:right w:val="single" w:sz="2" w:space="0" w:color="auto"/>
            </w:tcBorders>
            <w:vAlign w:val="center"/>
          </w:tcPr>
          <w:p w14:paraId="028D20DD">
            <w:r>
              <w:rPr>
                <w:rFonts w:hint="eastAsia"/>
              </w:rPr>
              <w:t>姓名：</w:t>
            </w:r>
          </w:p>
        </w:tc>
        <w:tc>
          <w:tcPr>
            <w:tcW w:w="1693" w:type="dxa"/>
            <w:tcBorders>
              <w:top w:val="single" w:sz="2" w:space="0" w:color="auto"/>
              <w:left w:val="single" w:sz="2" w:space="0" w:color="auto"/>
              <w:bottom w:val="single" w:sz="2" w:space="0" w:color="auto"/>
              <w:right w:val="single" w:sz="2" w:space="0" w:color="auto"/>
            </w:tcBorders>
            <w:vAlign w:val="center"/>
          </w:tcPr>
          <w:p w14:paraId="40DA5054"/>
        </w:tc>
      </w:tr>
      <w:tr w14:paraId="7E6CF2FE">
        <w:tblPrEx>
          <w:tblW w:w="0" w:type="auto"/>
          <w:jc w:val="center"/>
          <w:tblLayout w:type="fixed"/>
          <w:tblCellMar>
            <w:top w:w="0" w:type="dxa"/>
            <w:left w:w="108" w:type="dxa"/>
            <w:bottom w:w="0" w:type="dxa"/>
            <w:right w:w="108" w:type="dxa"/>
          </w:tblCellMar>
        </w:tblPrEx>
        <w:trPr>
          <w:trHeight w:val="729"/>
          <w:jc w:val="center"/>
        </w:trPr>
        <w:tc>
          <w:tcPr>
            <w:tcW w:w="1371" w:type="dxa"/>
            <w:tcBorders>
              <w:top w:val="single" w:sz="2" w:space="0" w:color="auto"/>
              <w:left w:val="single" w:sz="2" w:space="0" w:color="auto"/>
              <w:bottom w:val="single" w:sz="2" w:space="0" w:color="auto"/>
              <w:right w:val="single" w:sz="2" w:space="0" w:color="auto"/>
            </w:tcBorders>
            <w:vAlign w:val="center"/>
          </w:tcPr>
          <w:p w14:paraId="7D1BBDAE">
            <w:r>
              <w:rPr>
                <w:rFonts w:hint="eastAsia"/>
              </w:rPr>
              <w:t>2</w:t>
            </w:r>
          </w:p>
        </w:tc>
        <w:tc>
          <w:tcPr>
            <w:tcW w:w="1777" w:type="dxa"/>
            <w:tcBorders>
              <w:top w:val="single" w:sz="2" w:space="0" w:color="auto"/>
              <w:left w:val="single" w:sz="2" w:space="0" w:color="auto"/>
              <w:bottom w:val="single" w:sz="2" w:space="0" w:color="auto"/>
              <w:right w:val="single" w:sz="2" w:space="0" w:color="auto"/>
            </w:tcBorders>
            <w:vAlign w:val="center"/>
          </w:tcPr>
          <w:p w14:paraId="7BA491F3">
            <w:r>
              <w:rPr>
                <w:rFonts w:hint="eastAsia"/>
              </w:rPr>
              <w:t>工期</w:t>
            </w:r>
          </w:p>
        </w:tc>
        <w:tc>
          <w:tcPr>
            <w:tcW w:w="2673" w:type="dxa"/>
            <w:tcBorders>
              <w:top w:val="single" w:sz="2" w:space="0" w:color="auto"/>
              <w:left w:val="single" w:sz="2" w:space="0" w:color="auto"/>
              <w:bottom w:val="single" w:sz="2" w:space="0" w:color="auto"/>
              <w:right w:val="single" w:sz="2" w:space="0" w:color="auto"/>
            </w:tcBorders>
            <w:vAlign w:val="center"/>
          </w:tcPr>
          <w:p w14:paraId="3910FA48">
            <w:pPr>
              <w:rPr>
                <w:u w:val="single"/>
              </w:rPr>
            </w:pPr>
            <w:r>
              <w:rPr>
                <w:rFonts w:hint="eastAsia"/>
                <w:u w:val="single"/>
              </w:rPr>
              <w:t xml:space="preserve">       </w:t>
            </w:r>
            <w:r>
              <w:rPr>
                <w:rFonts w:hint="eastAsia"/>
              </w:rPr>
              <w:t>日历天</w:t>
            </w:r>
          </w:p>
        </w:tc>
        <w:tc>
          <w:tcPr>
            <w:tcW w:w="1693" w:type="dxa"/>
            <w:tcBorders>
              <w:top w:val="single" w:sz="2" w:space="0" w:color="auto"/>
              <w:left w:val="single" w:sz="2" w:space="0" w:color="auto"/>
              <w:bottom w:val="single" w:sz="2" w:space="0" w:color="auto"/>
              <w:right w:val="single" w:sz="2" w:space="0" w:color="auto"/>
            </w:tcBorders>
            <w:vAlign w:val="center"/>
          </w:tcPr>
          <w:p w14:paraId="34C2D68D"/>
        </w:tc>
      </w:tr>
      <w:tr w14:paraId="4E241B17">
        <w:tblPrEx>
          <w:tblW w:w="0" w:type="auto"/>
          <w:jc w:val="center"/>
          <w:tblLayout w:type="fixed"/>
          <w:tblCellMar>
            <w:top w:w="0" w:type="dxa"/>
            <w:left w:w="108" w:type="dxa"/>
            <w:bottom w:w="0" w:type="dxa"/>
            <w:right w:w="108" w:type="dxa"/>
          </w:tblCellMar>
        </w:tblPrEx>
        <w:trPr>
          <w:trHeight w:val="630"/>
          <w:jc w:val="center"/>
        </w:trPr>
        <w:tc>
          <w:tcPr>
            <w:tcW w:w="1371" w:type="dxa"/>
            <w:tcBorders>
              <w:top w:val="single" w:sz="2" w:space="0" w:color="auto"/>
              <w:left w:val="single" w:sz="2" w:space="0" w:color="auto"/>
              <w:bottom w:val="single" w:sz="2" w:space="0" w:color="auto"/>
              <w:right w:val="single" w:sz="2" w:space="0" w:color="auto"/>
            </w:tcBorders>
            <w:vAlign w:val="center"/>
          </w:tcPr>
          <w:p w14:paraId="06A9DC2C">
            <w:pPr>
              <w:rPr>
                <w:sz w:val="27"/>
                <w:szCs w:val="22"/>
              </w:rPr>
            </w:pPr>
            <w:r>
              <w:rPr>
                <w:rFonts w:hint="eastAsia"/>
                <w:sz w:val="27"/>
              </w:rPr>
              <w:t>……</w:t>
            </w:r>
          </w:p>
        </w:tc>
        <w:tc>
          <w:tcPr>
            <w:tcW w:w="1777" w:type="dxa"/>
            <w:tcBorders>
              <w:top w:val="single" w:sz="2" w:space="0" w:color="auto"/>
              <w:left w:val="single" w:sz="2" w:space="0" w:color="auto"/>
              <w:bottom w:val="single" w:sz="2" w:space="0" w:color="auto"/>
              <w:right w:val="single" w:sz="2" w:space="0" w:color="auto"/>
            </w:tcBorders>
            <w:vAlign w:val="center"/>
          </w:tcPr>
          <w:p w14:paraId="69ADDB93">
            <w:pPr>
              <w:rPr>
                <w:sz w:val="27"/>
              </w:rPr>
            </w:pPr>
            <w:r>
              <w:rPr>
                <w:rFonts w:hint="eastAsia"/>
                <w:sz w:val="27"/>
              </w:rPr>
              <w:t>……</w:t>
            </w:r>
          </w:p>
        </w:tc>
        <w:tc>
          <w:tcPr>
            <w:tcW w:w="2673" w:type="dxa"/>
            <w:tcBorders>
              <w:top w:val="single" w:sz="2" w:space="0" w:color="auto"/>
              <w:left w:val="single" w:sz="2" w:space="0" w:color="auto"/>
              <w:bottom w:val="single" w:sz="2" w:space="0" w:color="auto"/>
              <w:right w:val="single" w:sz="2" w:space="0" w:color="auto"/>
            </w:tcBorders>
            <w:vAlign w:val="center"/>
          </w:tcPr>
          <w:p w14:paraId="5CC3D124">
            <w:pPr>
              <w:rPr>
                <w:sz w:val="27"/>
              </w:rPr>
            </w:pPr>
            <w:r>
              <w:rPr>
                <w:rFonts w:hint="eastAsia"/>
                <w:sz w:val="27"/>
              </w:rPr>
              <w:t>……</w:t>
            </w:r>
          </w:p>
        </w:tc>
        <w:tc>
          <w:tcPr>
            <w:tcW w:w="1693" w:type="dxa"/>
            <w:tcBorders>
              <w:top w:val="single" w:sz="2" w:space="0" w:color="auto"/>
              <w:left w:val="single" w:sz="2" w:space="0" w:color="auto"/>
              <w:bottom w:val="single" w:sz="2" w:space="0" w:color="auto"/>
              <w:right w:val="single" w:sz="2" w:space="0" w:color="auto"/>
            </w:tcBorders>
            <w:vAlign w:val="center"/>
          </w:tcPr>
          <w:p w14:paraId="10F621DE">
            <w:pPr>
              <w:rPr>
                <w:sz w:val="27"/>
              </w:rPr>
            </w:pPr>
            <w:r>
              <w:rPr>
                <w:rFonts w:hint="eastAsia"/>
                <w:sz w:val="27"/>
              </w:rPr>
              <w:t>……</w:t>
            </w:r>
          </w:p>
        </w:tc>
      </w:tr>
      <w:tr w14:paraId="5F55F2D6">
        <w:tblPrEx>
          <w:tblW w:w="0" w:type="auto"/>
          <w:jc w:val="center"/>
          <w:tblLayout w:type="fixed"/>
          <w:tblCellMar>
            <w:top w:w="0" w:type="dxa"/>
            <w:left w:w="108" w:type="dxa"/>
            <w:bottom w:w="0" w:type="dxa"/>
            <w:right w:w="108" w:type="dxa"/>
          </w:tblCellMar>
        </w:tblPrEx>
        <w:trPr>
          <w:trHeight w:val="621"/>
          <w:jc w:val="center"/>
        </w:trPr>
        <w:tc>
          <w:tcPr>
            <w:tcW w:w="1371" w:type="dxa"/>
            <w:tcBorders>
              <w:top w:val="single" w:sz="2" w:space="0" w:color="auto"/>
              <w:left w:val="single" w:sz="2" w:space="0" w:color="auto"/>
              <w:bottom w:val="single" w:sz="2" w:space="0" w:color="auto"/>
              <w:right w:val="single" w:sz="2" w:space="0" w:color="auto"/>
            </w:tcBorders>
            <w:vAlign w:val="center"/>
          </w:tcPr>
          <w:p w14:paraId="49AF3A0C">
            <w:pPr>
              <w:rPr>
                <w:sz w:val="27"/>
              </w:rPr>
            </w:pPr>
            <w:r>
              <w:rPr>
                <w:rFonts w:hint="eastAsia"/>
                <w:sz w:val="27"/>
              </w:rPr>
              <w:t>……</w:t>
            </w:r>
          </w:p>
        </w:tc>
        <w:tc>
          <w:tcPr>
            <w:tcW w:w="1777" w:type="dxa"/>
            <w:tcBorders>
              <w:top w:val="single" w:sz="2" w:space="0" w:color="auto"/>
              <w:left w:val="single" w:sz="2" w:space="0" w:color="auto"/>
              <w:bottom w:val="single" w:sz="2" w:space="0" w:color="auto"/>
              <w:right w:val="single" w:sz="2" w:space="0" w:color="auto"/>
            </w:tcBorders>
            <w:vAlign w:val="center"/>
          </w:tcPr>
          <w:p w14:paraId="109A8332">
            <w:pPr>
              <w:rPr>
                <w:sz w:val="27"/>
              </w:rPr>
            </w:pPr>
            <w:r>
              <w:rPr>
                <w:rFonts w:hint="eastAsia"/>
                <w:sz w:val="27"/>
              </w:rPr>
              <w:t>……</w:t>
            </w:r>
          </w:p>
        </w:tc>
        <w:tc>
          <w:tcPr>
            <w:tcW w:w="2673" w:type="dxa"/>
            <w:tcBorders>
              <w:top w:val="single" w:sz="2" w:space="0" w:color="auto"/>
              <w:left w:val="single" w:sz="2" w:space="0" w:color="auto"/>
              <w:bottom w:val="single" w:sz="2" w:space="0" w:color="auto"/>
              <w:right w:val="single" w:sz="2" w:space="0" w:color="auto"/>
            </w:tcBorders>
            <w:vAlign w:val="center"/>
          </w:tcPr>
          <w:p w14:paraId="2A76C014">
            <w:pPr>
              <w:rPr>
                <w:sz w:val="27"/>
              </w:rPr>
            </w:pPr>
            <w:r>
              <w:rPr>
                <w:rFonts w:hint="eastAsia"/>
                <w:sz w:val="27"/>
              </w:rPr>
              <w:t>……</w:t>
            </w:r>
          </w:p>
        </w:tc>
        <w:tc>
          <w:tcPr>
            <w:tcW w:w="1693" w:type="dxa"/>
            <w:tcBorders>
              <w:top w:val="single" w:sz="2" w:space="0" w:color="auto"/>
              <w:left w:val="single" w:sz="2" w:space="0" w:color="auto"/>
              <w:bottom w:val="single" w:sz="2" w:space="0" w:color="auto"/>
              <w:right w:val="single" w:sz="2" w:space="0" w:color="auto"/>
            </w:tcBorders>
            <w:vAlign w:val="center"/>
          </w:tcPr>
          <w:p w14:paraId="22A86BFA">
            <w:pPr>
              <w:rPr>
                <w:sz w:val="27"/>
              </w:rPr>
            </w:pPr>
            <w:r>
              <w:rPr>
                <w:rFonts w:hint="eastAsia"/>
                <w:sz w:val="27"/>
              </w:rPr>
              <w:t>……</w:t>
            </w:r>
          </w:p>
        </w:tc>
      </w:tr>
    </w:tbl>
    <w:p w14:paraId="75E4054C">
      <w:pPr>
        <w:spacing w:line="36" w:lineRule="auto"/>
        <w:rPr>
          <w:rFonts w:ascii="宋体" w:hAnsi="宋体"/>
          <w:kern w:val="2"/>
          <w:sz w:val="27"/>
          <w:szCs w:val="22"/>
        </w:rPr>
      </w:pPr>
    </w:p>
    <w:p w14:paraId="67905224">
      <w:pPr>
        <w:spacing w:line="36" w:lineRule="auto"/>
        <w:rPr>
          <w:rFonts w:ascii="宋体" w:hAnsi="宋体"/>
          <w:sz w:val="27"/>
        </w:rPr>
      </w:pPr>
    </w:p>
    <w:p w14:paraId="3D9306DE">
      <w:pPr>
        <w:rPr>
          <w:rFonts w:ascii="宋体" w:hAnsi="宋体"/>
          <w:sz w:val="27"/>
        </w:rPr>
      </w:pPr>
      <w:r>
        <w:rPr>
          <w:rFonts w:ascii="宋体" w:hAnsi="宋体" w:hint="eastAsia"/>
          <w:sz w:val="27"/>
        </w:rPr>
        <w:br w:type="page"/>
      </w:r>
    </w:p>
    <w:p w14:paraId="53240C24">
      <w:pPr>
        <w:pStyle w:val="Heading1"/>
        <w:adjustRightInd w:val="0"/>
        <w:snapToGrid w:val="0"/>
        <w:spacing w:line="360" w:lineRule="auto"/>
        <w:jc w:val="center"/>
        <w:rPr>
          <w:rFonts w:ascii="宋体" w:hAnsi="宋体"/>
          <w:sz w:val="28"/>
          <w:szCs w:val="28"/>
        </w:rPr>
      </w:pPr>
      <w:bookmarkStart w:id="1520" w:name="_Toc27806_WPSOffice_Level1"/>
      <w:sdt>
        <w:sdtPr>
          <w:rPr>
            <w:rFonts w:ascii="宋体" w:hAnsi="宋体" w:hint="eastAsia"/>
            <w:sz w:val="28"/>
            <w:szCs w:val="28"/>
          </w:rPr>
          <w:id w:val="-1461493414"/>
          <w14:checkbox>
            <w14:checked w14:val="0"/>
            <w14:checkedState w14:val="2611" w14:font="MS Gothic"/>
            <w14:uncheckedState w14:val="2610" w14:font="MS Gothic"/>
          </w14:checkbox>
        </w:sdtPr>
        <w:sdtEndPr>
          <w:rPr>
            <w:rFonts w:ascii="宋体" w:hAnsi="宋体" w:hint="eastAsia"/>
            <w:sz w:val="28"/>
            <w:szCs w:val="28"/>
          </w:rPr>
        </w:sdtEndPr>
        <w:sdtContent>
          <w:r>
            <w:rPr>
              <w:rFonts w:ascii="MS Gothic" w:eastAsia="MS Gothic" w:hAnsi="MS Gothic" w:cs="MS Gothic" w:hint="eastAsia"/>
              <w:sz w:val="28"/>
              <w:szCs w:val="28"/>
            </w:rPr>
            <w:t>☐</w:t>
          </w:r>
        </w:sdtContent>
      </w:sdt>
      <w:r>
        <w:rPr>
          <w:rFonts w:ascii="宋体" w:hAnsi="宋体" w:hint="eastAsia"/>
          <w:sz w:val="28"/>
          <w:szCs w:val="28"/>
        </w:rPr>
        <w:t>二、法定代表人身份证明</w:t>
      </w:r>
      <w:bookmarkEnd w:id="1520"/>
    </w:p>
    <w:p w14:paraId="4CB24A13">
      <w:pPr>
        <w:spacing w:line="360" w:lineRule="auto"/>
        <w:rPr>
          <w:rFonts w:ascii="宋体" w:hAnsi="宋体" w:cs="宋体"/>
          <w:lang w:eastAsia="zh-CN"/>
        </w:rPr>
      </w:pPr>
      <w:r>
        <w:rPr>
          <w:rFonts w:ascii="宋体" w:hAnsi="宋体" w:cs="宋体" w:hint="eastAsia"/>
          <w:lang w:eastAsia="zh-CN"/>
        </w:rPr>
        <w:t>投标人名称：</w:t>
      </w:r>
      <w:r>
        <w:rPr>
          <w:rFonts w:ascii="宋体" w:hAnsi="宋体" w:cs="宋体" w:hint="eastAsia"/>
          <w:u w:val="single"/>
          <w:lang w:eastAsia="zh-CN"/>
        </w:rPr>
        <w:t xml:space="preserve">                    </w:t>
      </w:r>
      <w:r>
        <w:rPr>
          <w:rFonts w:ascii="宋体" w:hAnsi="宋体" w:cs="宋体" w:hint="eastAsia"/>
          <w:lang w:eastAsia="zh-CN"/>
        </w:rPr>
        <w:t xml:space="preserve"> </w:t>
      </w:r>
    </w:p>
    <w:p w14:paraId="065E3512">
      <w:pPr>
        <w:spacing w:line="360" w:lineRule="auto"/>
        <w:rPr>
          <w:rFonts w:ascii="宋体" w:hAnsi="宋体" w:cs="宋体"/>
          <w:lang w:eastAsia="zh-CN"/>
        </w:rPr>
      </w:pPr>
      <w:r>
        <w:rPr>
          <w:rFonts w:ascii="宋体" w:hAnsi="宋体" w:cs="宋体" w:hint="eastAsia"/>
          <w:lang w:eastAsia="zh-CN"/>
        </w:rPr>
        <w:t>姓名：</w:t>
      </w:r>
      <w:r>
        <w:rPr>
          <w:rFonts w:ascii="宋体" w:hAnsi="宋体" w:cs="宋体" w:hint="eastAsia"/>
          <w:u w:val="single"/>
          <w:lang w:eastAsia="zh-CN"/>
        </w:rPr>
        <w:t xml:space="preserve">        </w:t>
      </w:r>
      <w:r>
        <w:rPr>
          <w:rFonts w:ascii="宋体" w:hAnsi="宋体" w:cs="宋体" w:hint="eastAsia"/>
          <w:lang w:eastAsia="zh-CN"/>
        </w:rPr>
        <w:t xml:space="preserve"> 性别：</w:t>
      </w:r>
      <w:r>
        <w:rPr>
          <w:rFonts w:ascii="宋体" w:hAnsi="宋体" w:cs="宋体" w:hint="eastAsia"/>
          <w:u w:val="single"/>
          <w:lang w:eastAsia="zh-CN"/>
        </w:rPr>
        <w:t xml:space="preserve">      </w:t>
      </w:r>
      <w:r>
        <w:rPr>
          <w:rFonts w:ascii="宋体" w:hAnsi="宋体" w:cs="宋体" w:hint="eastAsia"/>
          <w:lang w:eastAsia="zh-CN"/>
        </w:rPr>
        <w:t xml:space="preserve">  年龄：</w:t>
      </w:r>
      <w:r>
        <w:rPr>
          <w:rFonts w:ascii="宋体" w:hAnsi="宋体" w:cs="宋体" w:hint="eastAsia"/>
          <w:u w:val="single"/>
          <w:lang w:eastAsia="zh-CN"/>
        </w:rPr>
        <w:t xml:space="preserve">      </w:t>
      </w:r>
      <w:r>
        <w:rPr>
          <w:rFonts w:ascii="宋体" w:hAnsi="宋体" w:cs="宋体" w:hint="eastAsia"/>
          <w:lang w:eastAsia="zh-CN"/>
        </w:rPr>
        <w:t xml:space="preserve">  职务：</w:t>
      </w:r>
      <w:r>
        <w:rPr>
          <w:rFonts w:ascii="宋体" w:hAnsi="宋体" w:cs="宋体" w:hint="eastAsia"/>
          <w:u w:val="single"/>
          <w:lang w:eastAsia="zh-CN"/>
        </w:rPr>
        <w:t xml:space="preserve">          </w:t>
      </w:r>
      <w:r>
        <w:rPr>
          <w:rFonts w:ascii="宋体" w:hAnsi="宋体" w:cs="宋体" w:hint="eastAsia"/>
          <w:lang w:eastAsia="zh-CN"/>
        </w:rPr>
        <w:t xml:space="preserve"> </w:t>
      </w:r>
    </w:p>
    <w:p w14:paraId="35CF4E24">
      <w:pPr>
        <w:spacing w:line="360" w:lineRule="auto"/>
        <w:rPr>
          <w:rFonts w:ascii="宋体" w:hAnsi="宋体" w:cs="宋体"/>
          <w:lang w:eastAsia="zh-CN"/>
        </w:rPr>
      </w:pPr>
      <w:r>
        <w:rPr>
          <w:rFonts w:ascii="宋体" w:hAnsi="宋体" w:cs="宋体" w:hint="eastAsia"/>
          <w:lang w:eastAsia="zh-CN"/>
        </w:rPr>
        <w:t xml:space="preserve">系 </w:t>
      </w:r>
      <w:r>
        <w:rPr>
          <w:rFonts w:ascii="宋体" w:hAnsi="宋体" w:cs="宋体" w:hint="eastAsia"/>
          <w:u w:val="single"/>
          <w:lang w:eastAsia="zh-CN"/>
        </w:rPr>
        <w:t xml:space="preserve">                             </w:t>
      </w:r>
      <w:r>
        <w:rPr>
          <w:rFonts w:ascii="宋体" w:hAnsi="宋体" w:cs="宋体" w:hint="eastAsia"/>
          <w:lang w:eastAsia="zh-CN"/>
        </w:rPr>
        <w:t>（投标人名称）的法定代表人。</w:t>
      </w:r>
    </w:p>
    <w:p w14:paraId="578FD982">
      <w:pPr>
        <w:spacing w:line="360" w:lineRule="auto"/>
        <w:ind w:left="576" w:leftChars="240"/>
        <w:rPr>
          <w:rFonts w:ascii="宋体" w:hAnsi="宋体" w:cs="宋体"/>
          <w:lang w:eastAsia="zh-CN"/>
        </w:rPr>
      </w:pPr>
      <w:r>
        <w:rPr>
          <w:rFonts w:ascii="宋体" w:hAnsi="宋体" w:cs="宋体" w:hint="eastAsia"/>
          <w:lang w:eastAsia="zh-CN"/>
        </w:rPr>
        <w:t>特此证明。</w:t>
      </w:r>
    </w:p>
    <w:p w14:paraId="1AE42BC3">
      <w:pPr>
        <w:spacing w:line="360" w:lineRule="auto"/>
        <w:ind w:firstLine="480" w:firstLineChars="200"/>
        <w:rPr>
          <w:rFonts w:ascii="宋体" w:hAnsi="宋体" w:cs="宋体"/>
          <w:lang w:eastAsia="zh-CN"/>
        </w:rPr>
      </w:pPr>
    </w:p>
    <w:p w14:paraId="399C125A">
      <w:pPr>
        <w:spacing w:line="360" w:lineRule="auto"/>
        <w:ind w:firstLine="480" w:firstLineChars="200"/>
        <w:rPr>
          <w:rFonts w:ascii="宋体" w:hAnsi="宋体" w:cs="宋体"/>
          <w:lang w:eastAsia="zh-CN"/>
        </w:rPr>
      </w:pPr>
    </w:p>
    <w:p w14:paraId="6A803C7A">
      <w:pPr>
        <w:spacing w:line="360" w:lineRule="auto"/>
        <w:rPr>
          <w:rFonts w:ascii="宋体" w:hAnsi="宋体" w:cs="宋体"/>
          <w:lang w:eastAsia="zh-CN"/>
        </w:rPr>
      </w:pPr>
    </w:p>
    <w:p w14:paraId="3CC01BD9">
      <w:pPr>
        <w:spacing w:line="360" w:lineRule="auto"/>
        <w:rPr>
          <w:rFonts w:ascii="宋体" w:hAnsi="宋体" w:cs="宋体"/>
          <w:b/>
          <w:lang w:eastAsia="zh-CN"/>
        </w:rPr>
      </w:pPr>
      <w:r>
        <w:rPr>
          <w:rFonts w:ascii="宋体" w:hAnsi="宋体" w:cs="宋体" w:hint="eastAsia"/>
          <w:bCs/>
          <w:lang w:eastAsia="zh-CN"/>
        </w:rPr>
        <w:t>附：法定代表人身份证扫描件</w:t>
      </w:r>
    </w:p>
    <w:p w14:paraId="7FF77B1E">
      <w:pPr>
        <w:spacing w:line="360" w:lineRule="auto"/>
        <w:rPr>
          <w:rFonts w:ascii="宋体" w:hAnsi="宋体" w:cs="宋体"/>
          <w:lang w:eastAsia="zh-CN"/>
        </w:rPr>
      </w:pPr>
    </w:p>
    <w:p w14:paraId="23B4461B">
      <w:pPr>
        <w:spacing w:line="360" w:lineRule="auto"/>
        <w:rPr>
          <w:rFonts w:ascii="宋体" w:hAnsi="宋体" w:cs="宋体"/>
          <w:lang w:eastAsia="zh-CN"/>
        </w:rPr>
      </w:pPr>
    </w:p>
    <w:p w14:paraId="327B0091">
      <w:pPr>
        <w:spacing w:line="360" w:lineRule="auto"/>
        <w:rPr>
          <w:rFonts w:ascii="宋体" w:hAnsi="宋体" w:cs="宋体"/>
          <w:lang w:eastAsia="zh-CN"/>
        </w:rPr>
      </w:pPr>
    </w:p>
    <w:p w14:paraId="08805FE9">
      <w:pPr>
        <w:adjustRightInd w:val="0"/>
        <w:snapToGrid w:val="0"/>
        <w:spacing w:line="360" w:lineRule="auto"/>
        <w:jc w:val="right"/>
        <w:rPr>
          <w:rFonts w:ascii="宋体" w:hAnsi="宋体" w:cs="宋体"/>
          <w:bCs/>
          <w:lang w:eastAsia="zh-CN"/>
        </w:rPr>
      </w:pPr>
      <w:r>
        <w:rPr>
          <w:rFonts w:ascii="宋体" w:hAnsi="宋体" w:cs="宋体" w:hint="eastAsia"/>
          <w:b/>
          <w:lang w:eastAsia="zh-CN"/>
        </w:rPr>
        <w:t xml:space="preserve">                             </w:t>
      </w:r>
      <w:bookmarkStart w:id="1521" w:name="_Toc500854820"/>
      <w:r>
        <w:rPr>
          <w:rFonts w:ascii="宋体" w:hAnsi="宋体" w:cs="宋体" w:hint="eastAsia"/>
          <w:bCs/>
          <w:lang w:eastAsia="zh-CN"/>
        </w:rPr>
        <w:t xml:space="preserve">投标人： </w:t>
      </w:r>
      <w:r>
        <w:rPr>
          <w:rFonts w:ascii="宋体" w:hAnsi="宋体" w:cs="宋体" w:hint="eastAsia"/>
          <w:bCs/>
          <w:u w:val="single"/>
          <w:lang w:eastAsia="zh-CN"/>
        </w:rPr>
        <w:t xml:space="preserve">                  </w:t>
      </w:r>
      <w:r>
        <w:rPr>
          <w:rFonts w:ascii="宋体" w:hAnsi="宋体" w:cs="宋体" w:hint="eastAsia"/>
          <w:bCs/>
          <w:lang w:eastAsia="zh-CN"/>
        </w:rPr>
        <w:t>（盖单位章）</w:t>
      </w:r>
      <w:r>
        <w:rPr>
          <w:rFonts w:ascii="宋体" w:hAnsi="宋体" w:hint="eastAsia"/>
          <w:bCs/>
          <w:lang w:eastAsia="zh-CN"/>
        </w:rPr>
        <w:t xml:space="preserve">                                 </w:t>
      </w:r>
    </w:p>
    <w:bookmarkEnd w:id="1521"/>
    <w:p w14:paraId="1E46FF24">
      <w:pPr>
        <w:spacing w:line="360" w:lineRule="auto"/>
        <w:ind w:firstLine="480" w:firstLineChars="200"/>
        <w:jc w:val="center"/>
        <w:rPr>
          <w:rFonts w:ascii="宋体" w:hAnsi="宋体" w:cs="宋体"/>
          <w:lang w:eastAsia="zh-CN"/>
        </w:rPr>
      </w:pPr>
      <w:r>
        <w:rPr>
          <w:rFonts w:ascii="宋体" w:hAnsi="宋体" w:cs="宋体" w:hint="eastAsia"/>
          <w:b/>
          <w:lang w:eastAsia="zh-CN"/>
        </w:rPr>
        <w:t xml:space="preserve">                           </w:t>
      </w:r>
      <w:r>
        <w:rPr>
          <w:rFonts w:ascii="宋体" w:hAnsi="宋体" w:cs="宋体" w:hint="eastAsia"/>
          <w:b/>
          <w:u w:val="single"/>
          <w:lang w:eastAsia="zh-CN"/>
        </w:rPr>
        <w:t xml:space="preserve">   </w:t>
      </w:r>
      <w:r>
        <w:rPr>
          <w:rFonts w:ascii="宋体" w:hAnsi="宋体" w:cs="宋体" w:hint="eastAsia"/>
          <w:lang w:eastAsia="zh-CN"/>
        </w:rPr>
        <w:t>年</w:t>
      </w:r>
      <w:r>
        <w:rPr>
          <w:rFonts w:ascii="宋体" w:hAnsi="宋体" w:cs="宋体" w:hint="eastAsia"/>
          <w:b/>
          <w:u w:val="single"/>
          <w:lang w:eastAsia="zh-CN"/>
        </w:rPr>
        <w:t xml:space="preserve">   </w:t>
      </w:r>
      <w:r>
        <w:rPr>
          <w:rFonts w:ascii="宋体" w:hAnsi="宋体" w:cs="宋体" w:hint="eastAsia"/>
          <w:lang w:eastAsia="zh-CN"/>
        </w:rPr>
        <w:t>月</w:t>
      </w:r>
      <w:r>
        <w:rPr>
          <w:rFonts w:ascii="宋体" w:hAnsi="宋体" w:cs="宋体" w:hint="eastAsia"/>
          <w:b/>
          <w:u w:val="single"/>
          <w:lang w:eastAsia="zh-CN"/>
        </w:rPr>
        <w:t xml:space="preserve">   </w:t>
      </w:r>
      <w:r>
        <w:rPr>
          <w:rFonts w:ascii="宋体" w:hAnsi="宋体" w:cs="宋体" w:hint="eastAsia"/>
          <w:lang w:eastAsia="zh-CN"/>
        </w:rPr>
        <w:t>日</w:t>
      </w:r>
    </w:p>
    <w:p w14:paraId="1C4A7E69">
      <w:pPr>
        <w:spacing w:line="360" w:lineRule="auto"/>
        <w:ind w:firstLine="480" w:firstLineChars="200"/>
        <w:rPr>
          <w:rFonts w:ascii="宋体" w:hAnsi="宋体" w:cs="宋体"/>
          <w:bCs/>
          <w:lang w:eastAsia="zh-CN"/>
        </w:rPr>
      </w:pPr>
    </w:p>
    <w:p w14:paraId="150B4477">
      <w:pPr>
        <w:spacing w:line="36" w:lineRule="auto"/>
        <w:rPr>
          <w:rFonts w:ascii="宋体" w:hAnsi="宋体" w:cs="宋体"/>
          <w:bCs/>
          <w:lang w:eastAsia="zh-CN"/>
        </w:rPr>
      </w:pPr>
      <w:r>
        <w:rPr>
          <w:rFonts w:ascii="宋体" w:hAnsi="宋体" w:cs="宋体" w:hint="eastAsia"/>
          <w:bCs/>
          <w:lang w:eastAsia="zh-CN"/>
        </w:rPr>
        <w:t>注：法定代表人亲自投标而不委托代理人投标适用。</w:t>
      </w:r>
    </w:p>
    <w:p w14:paraId="2EC65B59">
      <w:pPr>
        <w:spacing w:line="36" w:lineRule="auto"/>
        <w:rPr>
          <w:rFonts w:ascii="宋体" w:hAnsi="宋体"/>
          <w:sz w:val="27"/>
          <w:szCs w:val="22"/>
          <w:lang w:eastAsia="zh-CN"/>
        </w:rPr>
      </w:pPr>
    </w:p>
    <w:p w14:paraId="2C0016EC">
      <w:pPr>
        <w:rPr>
          <w:rFonts w:ascii="宋体" w:hAnsi="宋体"/>
          <w:sz w:val="27"/>
          <w:lang w:eastAsia="zh-CN"/>
        </w:rPr>
      </w:pPr>
      <w:r>
        <w:rPr>
          <w:rFonts w:ascii="宋体" w:hAnsi="宋体" w:hint="eastAsia"/>
          <w:sz w:val="27"/>
          <w:lang w:eastAsia="zh-CN"/>
        </w:rPr>
        <w:br w:type="page"/>
      </w:r>
    </w:p>
    <w:p w14:paraId="11FD57F0">
      <w:pPr>
        <w:pStyle w:val="Heading1"/>
        <w:adjustRightInd w:val="0"/>
        <w:snapToGrid w:val="0"/>
        <w:spacing w:line="360" w:lineRule="auto"/>
        <w:jc w:val="center"/>
        <w:rPr>
          <w:rFonts w:ascii="宋体" w:hAnsi="宋体"/>
          <w:sz w:val="28"/>
          <w:szCs w:val="28"/>
        </w:rPr>
      </w:pPr>
      <w:bookmarkStart w:id="1522" w:name="_Toc7805_WPSOffice_Level1"/>
      <w:bookmarkStart w:id="1523" w:name="_Toc500854821"/>
      <w:sdt>
        <w:sdtPr>
          <w:rPr>
            <w:rFonts w:ascii="宋体" w:hAnsi="宋体" w:hint="eastAsia"/>
            <w:sz w:val="28"/>
            <w:szCs w:val="28"/>
          </w:rPr>
          <w:id w:val="-379403726"/>
          <w14:checkbox>
            <w14:checked w14:val="0"/>
            <w14:checkedState w14:val="2611" w14:font="MS Gothic"/>
            <w14:uncheckedState w14:val="2610" w14:font="MS Gothic"/>
          </w14:checkbox>
        </w:sdtPr>
        <w:sdtEndPr>
          <w:rPr>
            <w:rFonts w:ascii="宋体" w:hAnsi="宋体" w:hint="eastAsia"/>
            <w:sz w:val="28"/>
            <w:szCs w:val="28"/>
          </w:rPr>
        </w:sdtEndPr>
        <w:sdtContent>
          <w:r>
            <w:rPr>
              <w:rFonts w:ascii="MS Gothic" w:eastAsia="MS Gothic" w:hAnsi="MS Gothic" w:cs="MS Gothic" w:hint="eastAsia"/>
              <w:sz w:val="28"/>
              <w:szCs w:val="28"/>
            </w:rPr>
            <w:t>☐</w:t>
          </w:r>
        </w:sdtContent>
      </w:sdt>
      <w:r>
        <w:rPr>
          <w:rFonts w:ascii="宋体" w:hAnsi="宋体" w:hint="eastAsia"/>
          <w:sz w:val="28"/>
          <w:szCs w:val="28"/>
        </w:rPr>
        <w:t>二、授权委托书</w:t>
      </w:r>
      <w:bookmarkEnd w:id="1522"/>
      <w:bookmarkEnd w:id="1523"/>
    </w:p>
    <w:p w14:paraId="3DCD5F62">
      <w:pPr>
        <w:pStyle w:val="1111A"/>
        <w:tabs>
          <w:tab w:val="left" w:pos="0"/>
        </w:tabs>
        <w:autoSpaceDE w:val="0"/>
        <w:autoSpaceDN w:val="0"/>
        <w:adjustRightInd/>
        <w:spacing w:before="0" w:after="0" w:line="360" w:lineRule="auto"/>
        <w:ind w:left="0" w:right="0" w:firstLine="480" w:rightChars="0" w:firstLineChars="200"/>
        <w:jc w:val="left"/>
        <w:textAlignment w:val="bottom"/>
        <w:rPr>
          <w:rFonts w:ascii="宋体" w:hAnsi="宋体"/>
          <w:szCs w:val="24"/>
        </w:rPr>
      </w:pPr>
      <w:r>
        <w:rPr>
          <w:rFonts w:ascii="宋体" w:hAnsi="宋体" w:hint="eastAsia"/>
          <w:szCs w:val="24"/>
        </w:rPr>
        <w:t>本人</w:t>
      </w:r>
      <w:bookmarkStart w:id="1524" w:name="_Hlk500849392"/>
      <w:r>
        <w:rPr>
          <w:rFonts w:ascii="宋体" w:hAnsi="宋体" w:hint="eastAsia"/>
          <w:szCs w:val="24"/>
          <w:u w:val="single"/>
        </w:rPr>
        <w:t xml:space="preserve">        </w:t>
      </w:r>
      <w:r>
        <w:rPr>
          <w:rFonts w:ascii="宋体" w:hAnsi="宋体" w:hint="eastAsia"/>
          <w:szCs w:val="24"/>
        </w:rPr>
        <w:t xml:space="preserve">（姓名）系 </w:t>
      </w:r>
      <w:r>
        <w:rPr>
          <w:rFonts w:ascii="宋体" w:hAnsi="宋体" w:hint="eastAsia"/>
          <w:szCs w:val="24"/>
          <w:u w:val="single"/>
        </w:rPr>
        <w:t xml:space="preserve">              </w:t>
      </w:r>
      <w:r>
        <w:rPr>
          <w:rFonts w:ascii="宋体" w:hAnsi="宋体" w:hint="eastAsia"/>
          <w:szCs w:val="24"/>
        </w:rPr>
        <w:t xml:space="preserve">（投标人全称）的法定代表人，现授权委托 </w:t>
      </w:r>
      <w:r>
        <w:rPr>
          <w:rFonts w:ascii="宋体" w:hAnsi="宋体" w:hint="eastAsia"/>
          <w:szCs w:val="24"/>
          <w:u w:val="single"/>
        </w:rPr>
        <w:t xml:space="preserve">       </w:t>
      </w:r>
      <w:r>
        <w:rPr>
          <w:rFonts w:ascii="宋体" w:hAnsi="宋体" w:hint="eastAsia"/>
          <w:szCs w:val="24"/>
        </w:rPr>
        <w:t>（姓名）为我方代理人。代</w:t>
      </w:r>
      <w:bookmarkEnd w:id="1524"/>
      <w:r>
        <w:rPr>
          <w:rFonts w:ascii="宋体" w:hAnsi="宋体" w:hint="eastAsia"/>
          <w:szCs w:val="24"/>
        </w:rPr>
        <w:t>理人根据授权，以我方名义签署、澄清、说明、补正、递交、撤回、修改</w:t>
      </w:r>
      <w:r>
        <w:rPr>
          <w:rFonts w:ascii="宋体" w:hAnsi="宋体" w:hint="eastAsia"/>
          <w:szCs w:val="24"/>
          <w:u w:val="single"/>
        </w:rPr>
        <w:t xml:space="preserve">       </w:t>
      </w:r>
      <w:r>
        <w:rPr>
          <w:rFonts w:ascii="宋体" w:hAnsi="宋体" w:hint="eastAsia"/>
          <w:szCs w:val="24"/>
        </w:rPr>
        <w:t>（项目名称）施工</w:t>
      </w:r>
      <w:r>
        <w:rPr>
          <w:rFonts w:ascii="宋体" w:hAnsi="宋体" w:hint="eastAsia"/>
          <w:szCs w:val="24"/>
          <w:u w:val="single"/>
        </w:rPr>
        <w:t xml:space="preserve">    </w:t>
      </w:r>
      <w:r>
        <w:rPr>
          <w:rFonts w:ascii="宋体" w:hAnsi="宋体" w:hint="eastAsia"/>
          <w:szCs w:val="24"/>
        </w:rPr>
        <w:t>标段投标文件、签订合同和处理有关事宜</w:t>
      </w:r>
      <w:r>
        <w:rPr>
          <w:rFonts w:hint="eastAsia"/>
        </w:rPr>
        <w:t>（向有关行政监督部门投诉另行授权）</w:t>
      </w:r>
      <w:r>
        <w:rPr>
          <w:rFonts w:ascii="宋体" w:hAnsi="宋体" w:hint="eastAsia"/>
          <w:szCs w:val="24"/>
        </w:rPr>
        <w:t>，其法律后果由我方承担。</w:t>
      </w:r>
    </w:p>
    <w:p w14:paraId="53722B6B">
      <w:pPr>
        <w:pStyle w:val="1111A"/>
        <w:tabs>
          <w:tab w:val="left" w:pos="0"/>
        </w:tabs>
        <w:autoSpaceDE w:val="0"/>
        <w:autoSpaceDN w:val="0"/>
        <w:adjustRightInd/>
        <w:spacing w:before="0" w:after="0" w:line="360" w:lineRule="auto"/>
        <w:ind w:left="0" w:right="0" w:firstLine="480" w:rightChars="0" w:firstLineChars="200"/>
        <w:jc w:val="left"/>
        <w:textAlignment w:val="bottom"/>
        <w:rPr>
          <w:rFonts w:ascii="宋体" w:hAnsi="宋体"/>
          <w:szCs w:val="24"/>
        </w:rPr>
      </w:pPr>
      <w:r>
        <w:rPr>
          <w:rFonts w:ascii="宋体" w:hAnsi="宋体" w:hint="eastAsia"/>
          <w:szCs w:val="24"/>
        </w:rPr>
        <w:t>委托期限：自本授权委托书签署之日起至“投标有效期”结束为止。</w:t>
      </w:r>
    </w:p>
    <w:p w14:paraId="3D92639B">
      <w:pPr>
        <w:pStyle w:val="1111A"/>
        <w:tabs>
          <w:tab w:val="left" w:pos="0"/>
        </w:tabs>
        <w:autoSpaceDE w:val="0"/>
        <w:autoSpaceDN w:val="0"/>
        <w:adjustRightInd/>
        <w:spacing w:before="0" w:after="0" w:line="360" w:lineRule="auto"/>
        <w:ind w:left="0" w:right="0" w:firstLine="480" w:rightChars="0" w:firstLineChars="200"/>
        <w:jc w:val="left"/>
        <w:textAlignment w:val="bottom"/>
        <w:rPr>
          <w:rFonts w:ascii="宋体" w:hAnsi="宋体"/>
          <w:szCs w:val="24"/>
        </w:rPr>
      </w:pPr>
      <w:r>
        <w:rPr>
          <w:rFonts w:ascii="宋体" w:hAnsi="宋体" w:hint="eastAsia"/>
          <w:szCs w:val="24"/>
        </w:rPr>
        <w:t>代理人无转委托权。</w:t>
      </w:r>
    </w:p>
    <w:p w14:paraId="158E3848">
      <w:pPr>
        <w:spacing w:line="360" w:lineRule="auto"/>
        <w:ind w:firstLine="480" w:firstLineChars="200"/>
        <w:rPr>
          <w:rFonts w:ascii="宋体" w:hAnsi="宋体" w:cs="宋体"/>
          <w:lang w:eastAsia="zh-CN"/>
        </w:rPr>
      </w:pPr>
    </w:p>
    <w:p w14:paraId="1AB0E4FF">
      <w:pPr>
        <w:spacing w:line="360" w:lineRule="auto"/>
        <w:ind w:firstLine="480" w:firstLineChars="200"/>
        <w:rPr>
          <w:rFonts w:ascii="宋体" w:hAnsi="宋体" w:cs="宋体"/>
          <w:lang w:eastAsia="zh-CN"/>
        </w:rPr>
      </w:pPr>
    </w:p>
    <w:p w14:paraId="69AE08B1">
      <w:pPr>
        <w:pStyle w:val="1111A"/>
        <w:tabs>
          <w:tab w:val="left" w:pos="0"/>
        </w:tabs>
        <w:autoSpaceDE w:val="0"/>
        <w:autoSpaceDN w:val="0"/>
        <w:adjustRightInd/>
        <w:spacing w:before="0" w:after="0" w:line="360" w:lineRule="auto"/>
        <w:ind w:left="0" w:right="0" w:firstLine="480" w:rightChars="0" w:firstLineChars="200"/>
        <w:jc w:val="left"/>
        <w:textAlignment w:val="bottom"/>
        <w:rPr>
          <w:rFonts w:ascii="宋体" w:hAnsi="宋体"/>
          <w:szCs w:val="24"/>
        </w:rPr>
      </w:pPr>
    </w:p>
    <w:p w14:paraId="1AA2293F">
      <w:pPr>
        <w:pStyle w:val="1111A"/>
        <w:tabs>
          <w:tab w:val="left" w:pos="0"/>
        </w:tabs>
        <w:autoSpaceDE w:val="0"/>
        <w:autoSpaceDN w:val="0"/>
        <w:adjustRightInd/>
        <w:spacing w:before="0" w:after="0" w:line="360" w:lineRule="auto"/>
        <w:ind w:left="0" w:right="0" w:firstLine="480" w:rightChars="0" w:firstLineChars="200"/>
        <w:jc w:val="left"/>
        <w:textAlignment w:val="bottom"/>
        <w:rPr>
          <w:rFonts w:ascii="宋体" w:hAnsi="宋体"/>
          <w:szCs w:val="24"/>
        </w:rPr>
      </w:pPr>
      <w:r>
        <w:rPr>
          <w:rFonts w:ascii="宋体" w:hAnsi="宋体" w:hint="eastAsia"/>
          <w:szCs w:val="24"/>
        </w:rPr>
        <w:t>附：（1）法定代表人身份证扫描件、委托代理人身份证扫描件</w:t>
      </w:r>
    </w:p>
    <w:p w14:paraId="7DA948C8">
      <w:pPr>
        <w:pStyle w:val="1111A"/>
        <w:tabs>
          <w:tab w:val="left" w:pos="0"/>
        </w:tabs>
        <w:autoSpaceDE w:val="0"/>
        <w:autoSpaceDN w:val="0"/>
        <w:adjustRightInd/>
        <w:spacing w:before="0" w:after="0" w:line="360" w:lineRule="auto"/>
        <w:ind w:left="0" w:right="0" w:firstLine="425" w:rightChars="0" w:firstLineChars="177"/>
        <w:jc w:val="left"/>
        <w:textAlignment w:val="bottom"/>
        <w:rPr>
          <w:rFonts w:ascii="宋体" w:hAnsi="宋体"/>
          <w:szCs w:val="24"/>
        </w:rPr>
      </w:pPr>
      <w:r>
        <w:rPr>
          <w:rFonts w:ascii="宋体" w:hAnsi="宋体" w:hint="eastAsia"/>
          <w:szCs w:val="24"/>
        </w:rPr>
        <w:t xml:space="preserve">   （2）投标人为委托代理人缴纳的社保缴费证明（提供最近 6 个月连续缴费证明）扫描件</w:t>
      </w:r>
    </w:p>
    <w:p w14:paraId="5DF68A20">
      <w:pPr>
        <w:spacing w:line="360" w:lineRule="auto"/>
        <w:rPr>
          <w:rFonts w:ascii="宋体" w:hAnsi="宋体" w:cs="宋体"/>
          <w:lang w:eastAsia="zh-CN"/>
        </w:rPr>
      </w:pPr>
    </w:p>
    <w:p w14:paraId="7219C21D">
      <w:pPr>
        <w:spacing w:line="360" w:lineRule="auto"/>
        <w:ind w:firstLine="3684" w:firstLineChars="1535"/>
        <w:rPr>
          <w:rFonts w:ascii="宋体" w:hAnsi="宋体"/>
          <w:lang w:eastAsia="zh-CN"/>
        </w:rPr>
      </w:pPr>
      <w:r>
        <w:rPr>
          <w:rFonts w:ascii="宋体" w:hAnsi="宋体" w:cs="宋体" w:hint="eastAsia"/>
          <w:lang w:eastAsia="zh-CN"/>
        </w:rPr>
        <w:t>投  标  人：</w:t>
      </w:r>
      <w:r>
        <w:rPr>
          <w:rFonts w:ascii="宋体" w:hAnsi="宋体" w:cs="宋体" w:hint="eastAsia"/>
          <w:u w:val="single"/>
          <w:lang w:eastAsia="zh-CN"/>
        </w:rPr>
        <w:t xml:space="preserve">             </w:t>
      </w:r>
      <w:r>
        <w:rPr>
          <w:rFonts w:ascii="宋体" w:hAnsi="宋体" w:cs="宋体" w:hint="eastAsia"/>
          <w:lang w:eastAsia="zh-CN"/>
        </w:rPr>
        <w:t>（盖单位章）</w:t>
      </w:r>
    </w:p>
    <w:p w14:paraId="48DC33E2">
      <w:pPr>
        <w:spacing w:line="360" w:lineRule="auto"/>
        <w:ind w:firstLine="3684" w:firstLineChars="1535"/>
        <w:rPr>
          <w:rFonts w:ascii="宋体" w:hAnsi="宋体" w:cs="宋体"/>
          <w:lang w:eastAsia="zh-CN"/>
        </w:rPr>
      </w:pPr>
      <w:r>
        <w:rPr>
          <w:rFonts w:ascii="宋体" w:hAnsi="宋体" w:cs="宋体" w:hint="eastAsia"/>
          <w:lang w:eastAsia="zh-CN"/>
        </w:rPr>
        <w:t>法定代表人：</w:t>
      </w:r>
      <w:r>
        <w:rPr>
          <w:rFonts w:ascii="宋体" w:hAnsi="宋体" w:cs="宋体" w:hint="eastAsia"/>
          <w:u w:val="single"/>
          <w:lang w:eastAsia="zh-CN"/>
        </w:rPr>
        <w:t xml:space="preserve">             </w:t>
      </w:r>
      <w:r>
        <w:rPr>
          <w:rFonts w:ascii="宋体" w:hAnsi="宋体" w:cs="宋体" w:hint="eastAsia"/>
          <w:lang w:eastAsia="zh-CN"/>
        </w:rPr>
        <w:t>（签    字）</w:t>
      </w:r>
    </w:p>
    <w:p w14:paraId="714D4CCE">
      <w:pPr>
        <w:spacing w:line="360" w:lineRule="auto"/>
        <w:ind w:firstLine="3684" w:firstLineChars="1535"/>
        <w:rPr>
          <w:rFonts w:ascii="宋体" w:hAnsi="宋体" w:cs="宋体"/>
          <w:u w:val="single"/>
          <w:lang w:eastAsia="zh-CN"/>
        </w:rPr>
      </w:pPr>
      <w:r>
        <w:rPr>
          <w:rFonts w:ascii="宋体" w:hAnsi="宋体" w:cs="宋体" w:hint="eastAsia"/>
          <w:lang w:eastAsia="zh-CN"/>
        </w:rPr>
        <w:t>身份证号码：</w:t>
      </w:r>
      <w:r>
        <w:rPr>
          <w:rFonts w:ascii="宋体" w:hAnsi="宋体" w:cs="宋体" w:hint="eastAsia"/>
          <w:u w:val="single"/>
          <w:lang w:eastAsia="zh-CN"/>
        </w:rPr>
        <w:t xml:space="preserve">                         </w:t>
      </w:r>
    </w:p>
    <w:p w14:paraId="6E45C0F8">
      <w:pPr>
        <w:spacing w:line="360" w:lineRule="auto"/>
        <w:ind w:firstLine="3684" w:firstLineChars="1535"/>
        <w:rPr>
          <w:rFonts w:ascii="宋体" w:hAnsi="宋体" w:cs="宋体"/>
          <w:lang w:eastAsia="zh-CN"/>
        </w:rPr>
      </w:pPr>
      <w:r>
        <w:rPr>
          <w:rFonts w:ascii="宋体" w:hAnsi="宋体" w:cs="宋体" w:hint="eastAsia"/>
          <w:lang w:eastAsia="zh-CN"/>
        </w:rPr>
        <w:t>委托代理人：</w:t>
      </w:r>
      <w:r>
        <w:rPr>
          <w:rFonts w:ascii="宋体" w:hAnsi="宋体" w:cs="宋体" w:hint="eastAsia"/>
          <w:u w:val="single"/>
          <w:lang w:eastAsia="zh-CN"/>
        </w:rPr>
        <w:t xml:space="preserve">             </w:t>
      </w:r>
      <w:r>
        <w:rPr>
          <w:rFonts w:ascii="宋体" w:hAnsi="宋体" w:cs="宋体" w:hint="eastAsia"/>
          <w:lang w:eastAsia="zh-CN"/>
        </w:rPr>
        <w:t>（签字）</w:t>
      </w:r>
    </w:p>
    <w:p w14:paraId="153D13B1">
      <w:pPr>
        <w:spacing w:line="360" w:lineRule="auto"/>
        <w:ind w:firstLine="3684" w:firstLineChars="1535"/>
        <w:rPr>
          <w:rFonts w:ascii="宋体" w:hAnsi="宋体" w:cs="宋体"/>
          <w:lang w:eastAsia="zh-CN"/>
        </w:rPr>
      </w:pPr>
      <w:r>
        <w:rPr>
          <w:rFonts w:ascii="宋体" w:hAnsi="宋体" w:cs="宋体" w:hint="eastAsia"/>
          <w:lang w:eastAsia="zh-CN"/>
        </w:rPr>
        <w:t>身份证号码：</w:t>
      </w:r>
      <w:r>
        <w:rPr>
          <w:rFonts w:ascii="宋体" w:hAnsi="宋体" w:cs="宋体" w:hint="eastAsia"/>
          <w:u w:val="single"/>
          <w:lang w:eastAsia="zh-CN"/>
        </w:rPr>
        <w:t xml:space="preserve">                         </w:t>
      </w:r>
    </w:p>
    <w:p w14:paraId="15D4D8C2">
      <w:pPr>
        <w:pStyle w:val="1111A"/>
        <w:tabs>
          <w:tab w:val="left" w:pos="0"/>
        </w:tabs>
        <w:autoSpaceDE w:val="0"/>
        <w:autoSpaceDN w:val="0"/>
        <w:adjustRightInd/>
        <w:spacing w:before="0" w:after="0" w:line="360" w:lineRule="auto"/>
        <w:ind w:left="485" w:right="0" w:hanging="485" w:rightChars="0" w:hangingChars="202"/>
        <w:jc w:val="center"/>
        <w:textAlignment w:val="bottom"/>
        <w:rPr>
          <w:rFonts w:ascii="宋体" w:hAnsi="宋体"/>
          <w:szCs w:val="24"/>
        </w:rPr>
      </w:pPr>
      <w:r>
        <w:rPr>
          <w:rFonts w:ascii="宋体" w:hAnsi="宋体" w:cs="宋体" w:hint="eastAsia"/>
          <w:szCs w:val="24"/>
        </w:rPr>
        <w:t xml:space="preserve">                                       </w:t>
      </w:r>
      <w:r>
        <w:rPr>
          <w:rFonts w:ascii="宋体" w:hAnsi="宋体" w:cs="宋体" w:hint="eastAsia"/>
          <w:szCs w:val="24"/>
          <w:u w:val="single"/>
        </w:rPr>
        <w:t xml:space="preserve">     </w:t>
      </w:r>
      <w:r>
        <w:rPr>
          <w:rFonts w:ascii="宋体" w:hAnsi="宋体" w:cs="宋体" w:hint="eastAsia"/>
          <w:szCs w:val="24"/>
        </w:rPr>
        <w:t>年</w:t>
      </w:r>
      <w:r>
        <w:rPr>
          <w:rFonts w:ascii="宋体" w:hAnsi="宋体" w:cs="宋体" w:hint="eastAsia"/>
          <w:szCs w:val="24"/>
          <w:u w:val="single"/>
        </w:rPr>
        <w:t xml:space="preserve">    </w:t>
      </w:r>
      <w:r>
        <w:rPr>
          <w:rFonts w:ascii="宋体" w:hAnsi="宋体" w:cs="宋体" w:hint="eastAsia"/>
          <w:szCs w:val="24"/>
        </w:rPr>
        <w:t>月</w:t>
      </w:r>
      <w:r>
        <w:rPr>
          <w:rFonts w:ascii="宋体" w:hAnsi="宋体" w:cs="宋体" w:hint="eastAsia"/>
          <w:szCs w:val="24"/>
          <w:u w:val="single"/>
        </w:rPr>
        <w:t xml:space="preserve">    </w:t>
      </w:r>
      <w:r>
        <w:rPr>
          <w:rFonts w:ascii="宋体" w:hAnsi="宋体" w:cs="宋体" w:hint="eastAsia"/>
          <w:szCs w:val="24"/>
        </w:rPr>
        <w:t>日</w:t>
      </w:r>
    </w:p>
    <w:p w14:paraId="2D2E4908">
      <w:pPr>
        <w:pStyle w:val="1111A"/>
        <w:tabs>
          <w:tab w:val="left" w:pos="0"/>
        </w:tabs>
        <w:autoSpaceDE w:val="0"/>
        <w:autoSpaceDN w:val="0"/>
        <w:adjustRightInd/>
        <w:spacing w:before="0" w:after="0" w:line="360" w:lineRule="auto"/>
        <w:ind w:left="0" w:right="0" w:firstLine="0" w:rightChars="0"/>
        <w:jc w:val="left"/>
        <w:textAlignment w:val="bottom"/>
        <w:rPr>
          <w:rFonts w:ascii="Times New Roman" w:hAnsi="Times New Roman"/>
          <w:szCs w:val="24"/>
        </w:rPr>
      </w:pPr>
    </w:p>
    <w:p w14:paraId="1C2D05A3">
      <w:pPr>
        <w:spacing w:line="360" w:lineRule="auto"/>
        <w:rPr>
          <w:rFonts w:ascii="宋体" w:hAnsi="宋体"/>
          <w:lang w:eastAsia="zh-CN"/>
        </w:rPr>
      </w:pPr>
      <w:r>
        <w:rPr>
          <w:rFonts w:ascii="宋体" w:hAnsi="宋体" w:hint="eastAsia"/>
          <w:lang w:eastAsia="zh-CN"/>
        </w:rPr>
        <w:t>注：（1）法定代表人不亲自投标而委托代理人投标适用。</w:t>
      </w:r>
    </w:p>
    <w:p w14:paraId="5662F9E5">
      <w:pPr>
        <w:spacing w:line="360" w:lineRule="auto"/>
        <w:ind w:firstLine="425" w:firstLineChars="177"/>
        <w:rPr>
          <w:rFonts w:ascii="宋体" w:hAnsi="宋体"/>
          <w:lang w:eastAsia="zh-CN"/>
        </w:rPr>
      </w:pPr>
      <w:r>
        <w:rPr>
          <w:rFonts w:ascii="宋体" w:hAnsi="宋体" w:hint="eastAsia"/>
          <w:lang w:eastAsia="zh-CN"/>
        </w:rPr>
        <w:t>（2）法定代表人委托他人投标的，委托代理人应是投标人本单位（联合体投标为牵头人）的人员。</w:t>
      </w:r>
    </w:p>
    <w:p w14:paraId="7395AE2A">
      <w:pPr>
        <w:spacing w:line="360" w:lineRule="auto"/>
        <w:ind w:firstLine="425" w:firstLineChars="177"/>
        <w:rPr>
          <w:rFonts w:ascii="宋体" w:hAnsi="宋体"/>
          <w:lang w:eastAsia="zh-CN"/>
        </w:rPr>
      </w:pPr>
      <w:r>
        <w:rPr>
          <w:rFonts w:ascii="宋体" w:hAnsi="宋体" w:hint="eastAsia"/>
          <w:lang w:eastAsia="zh-CN"/>
        </w:rPr>
        <w:t>（3）最近6个月（企业设立不足6个月，从设立时起，下同）连续缴费的社保证明是指从招标文件开始下载时间的上一个月或上上个月起算，往前推6个月的连续、不间断的缴费证明</w:t>
      </w:r>
      <w:r>
        <w:rPr>
          <w:rFonts w:hint="eastAsia"/>
          <w:lang w:eastAsia="zh-CN"/>
        </w:rPr>
        <w:t>，</w:t>
      </w:r>
      <w:r>
        <w:rPr>
          <w:rFonts w:ascii="宋体" w:hAnsi="宋体" w:hint="eastAsia"/>
          <w:lang w:eastAsia="zh-CN"/>
        </w:rPr>
        <w:t>企业设立不足6个月的可少于6个月。</w:t>
      </w:r>
    </w:p>
    <w:p w14:paraId="7C222903">
      <w:pPr>
        <w:pStyle w:val="Heading2"/>
        <w:spacing w:line="408" w:lineRule="auto"/>
        <w:jc w:val="center"/>
        <w:rPr>
          <w:rFonts w:ascii="宋体" w:hAnsi="宋体"/>
          <w:sz w:val="24"/>
        </w:rPr>
      </w:pPr>
      <w:bookmarkStart w:id="1525" w:name="_Toc256000095"/>
      <w:r>
        <w:rPr>
          <w:rFonts w:ascii="宋体" w:hAnsi="宋体" w:hint="eastAsia"/>
          <w:sz w:val="24"/>
        </w:rPr>
        <w:t>三、联合体协议书</w:t>
      </w:r>
      <w:bookmarkEnd w:id="1525"/>
    </w:p>
    <w:p w14:paraId="0EC7614D">
      <w:pPr>
        <w:tabs>
          <w:tab w:val="left" w:pos="684"/>
        </w:tabs>
        <w:spacing w:line="360" w:lineRule="auto"/>
        <w:ind w:right="120" w:firstLine="480" w:firstLineChars="200"/>
        <w:rPr>
          <w:rFonts w:ascii="宋体" w:hAnsi="宋体"/>
          <w:lang w:eastAsia="zh-CN"/>
        </w:rPr>
      </w:pPr>
      <w:r>
        <w:rPr>
          <w:lang w:eastAsia="zh-CN"/>
        </w:rPr>
        <w:t xml:space="preserve">    </w:t>
      </w:r>
      <w:bookmarkStart w:id="1526" w:name="_Toc256000096"/>
      <w:r>
        <w:rPr>
          <w:rFonts w:ascii="宋体" w:hAnsi="宋体" w:cs="宋体" w:hint="eastAsia"/>
          <w:u w:val="single"/>
          <w:lang w:eastAsia="zh-CN"/>
        </w:rPr>
        <w:t xml:space="preserve">             </w:t>
      </w:r>
      <w:r>
        <w:rPr>
          <w:rFonts w:ascii="宋体" w:hAnsi="宋体" w:hint="eastAsia"/>
          <w:lang w:eastAsia="zh-CN"/>
        </w:rPr>
        <w:t>（所有成员单位名称）自愿组成</w:t>
      </w:r>
      <w:r>
        <w:rPr>
          <w:rFonts w:ascii="宋体" w:hAnsi="宋体" w:cs="宋体" w:hint="eastAsia"/>
          <w:u w:val="single"/>
          <w:lang w:eastAsia="zh-CN"/>
        </w:rPr>
        <w:t xml:space="preserve">        </w:t>
      </w:r>
      <w:r>
        <w:rPr>
          <w:rFonts w:ascii="宋体" w:hAnsi="宋体" w:hint="eastAsia"/>
          <w:lang w:eastAsia="zh-CN"/>
        </w:rPr>
        <w:t>（联合体名称）联合体，共同参加</w:t>
      </w:r>
      <w:r>
        <w:rPr>
          <w:rFonts w:ascii="宋体" w:hAnsi="宋体" w:cs="宋体" w:hint="eastAsia"/>
          <w:u w:val="single"/>
          <w:lang w:eastAsia="zh-CN"/>
        </w:rPr>
        <w:t xml:space="preserve">        </w:t>
      </w:r>
      <w:r>
        <w:rPr>
          <w:rFonts w:ascii="宋体" w:hAnsi="宋体" w:hint="eastAsia"/>
          <w:lang w:eastAsia="zh-CN"/>
        </w:rPr>
        <w:t>（项目名称）施工</w:t>
      </w:r>
      <w:r>
        <w:rPr>
          <w:rFonts w:ascii="宋体" w:hAnsi="宋体" w:cs="宋体" w:hint="eastAsia"/>
          <w:u w:val="single"/>
          <w:lang w:eastAsia="zh-CN"/>
        </w:rPr>
        <w:t xml:space="preserve">     </w:t>
      </w:r>
      <w:r>
        <w:rPr>
          <w:rFonts w:ascii="宋体" w:hAnsi="宋体" w:cs="宋体" w:hint="eastAsia"/>
          <w:lang w:eastAsia="zh-CN"/>
        </w:rPr>
        <w:t>标段</w:t>
      </w:r>
      <w:r>
        <w:rPr>
          <w:rFonts w:ascii="宋体" w:hAnsi="宋体" w:hint="eastAsia"/>
          <w:lang w:eastAsia="zh-CN"/>
        </w:rPr>
        <w:t>投标。现就联合体投标事宜订立如下协议。</w:t>
      </w:r>
    </w:p>
    <w:p w14:paraId="27245670">
      <w:pPr>
        <w:tabs>
          <w:tab w:val="left" w:pos="684"/>
        </w:tabs>
        <w:spacing w:line="360" w:lineRule="auto"/>
        <w:ind w:right="120" w:firstLine="398" w:firstLineChars="166"/>
        <w:rPr>
          <w:rFonts w:ascii="宋体" w:hAnsi="宋体"/>
          <w:lang w:eastAsia="zh-CN"/>
        </w:rPr>
      </w:pPr>
      <w:r>
        <w:rPr>
          <w:rFonts w:ascii="宋体" w:hAnsi="宋体" w:hint="eastAsia"/>
          <w:lang w:eastAsia="zh-CN"/>
        </w:rPr>
        <w:t>1.</w:t>
      </w:r>
      <w:r>
        <w:rPr>
          <w:rFonts w:ascii="宋体" w:hAnsi="宋体" w:cs="宋体" w:hint="eastAsia"/>
          <w:u w:val="single"/>
          <w:lang w:eastAsia="zh-CN"/>
        </w:rPr>
        <w:t xml:space="preserve">             </w:t>
      </w:r>
      <w:r>
        <w:rPr>
          <w:rFonts w:ascii="宋体" w:hAnsi="宋体" w:hint="eastAsia"/>
          <w:lang w:eastAsia="zh-CN"/>
        </w:rPr>
        <w:t>（某成员单位名称）为</w:t>
      </w:r>
      <w:r>
        <w:rPr>
          <w:rFonts w:ascii="宋体" w:hAnsi="宋体" w:cs="宋体" w:hint="eastAsia"/>
          <w:u w:val="single"/>
          <w:lang w:eastAsia="zh-CN"/>
        </w:rPr>
        <w:t xml:space="preserve">             </w:t>
      </w:r>
      <w:r>
        <w:rPr>
          <w:rFonts w:ascii="宋体" w:hAnsi="宋体" w:hint="eastAsia"/>
          <w:lang w:eastAsia="zh-CN"/>
        </w:rPr>
        <w:t>（联合体名称）牵头人。</w:t>
      </w:r>
    </w:p>
    <w:p w14:paraId="6757419A">
      <w:pPr>
        <w:tabs>
          <w:tab w:val="left" w:pos="684"/>
        </w:tabs>
        <w:spacing w:line="360" w:lineRule="auto"/>
        <w:ind w:right="120" w:firstLine="398" w:firstLineChars="166"/>
        <w:rPr>
          <w:rFonts w:ascii="宋体" w:hAnsi="宋体"/>
          <w:lang w:eastAsia="zh-CN"/>
        </w:rPr>
      </w:pPr>
      <w:r>
        <w:rPr>
          <w:rFonts w:ascii="宋体" w:hAnsi="宋体" w:hint="eastAsia"/>
          <w:lang w:eastAsia="zh-CN"/>
        </w:rPr>
        <w:t>2.联合体各成员授权牵头人代表联合体参加投标活动，签署文件，提交和接收相关的资料、信息及指示，进行合同谈判活动，负责合同实施阶段的组织和协调工作，以及处理与本招标项目有关的一切事宜。</w:t>
      </w:r>
    </w:p>
    <w:p w14:paraId="7B615F80">
      <w:pPr>
        <w:tabs>
          <w:tab w:val="left" w:pos="684"/>
        </w:tabs>
        <w:spacing w:line="360" w:lineRule="auto"/>
        <w:ind w:firstLine="398" w:firstLineChars="166"/>
        <w:rPr>
          <w:rFonts w:ascii="宋体" w:hAnsi="宋体"/>
          <w:lang w:eastAsia="zh-CN"/>
        </w:rPr>
      </w:pPr>
      <w:r>
        <w:rPr>
          <w:rFonts w:ascii="宋体" w:hAnsi="宋体" w:hint="eastAsia"/>
          <w:lang w:eastAsia="zh-CN"/>
        </w:rPr>
        <w:t>3.联合体牵头人在本项目中签署的一切文件和处理的一切事宜，联合体各成员均予以承认。联合体各成员将严格按照招标文件、投标文件和合同的要求全面履行义务，并向招标人承担连带责任。</w:t>
      </w:r>
    </w:p>
    <w:p w14:paraId="50319AC5">
      <w:pPr>
        <w:tabs>
          <w:tab w:val="left" w:pos="8620"/>
        </w:tabs>
        <w:spacing w:line="360" w:lineRule="auto"/>
        <w:ind w:firstLine="398" w:firstLineChars="166"/>
        <w:rPr>
          <w:rFonts w:ascii="宋体" w:hAnsi="宋体"/>
          <w:lang w:eastAsia="zh-CN"/>
        </w:rPr>
      </w:pPr>
      <w:r>
        <w:rPr>
          <w:rFonts w:ascii="宋体" w:hAnsi="宋体" w:hint="eastAsia"/>
          <w:lang w:eastAsia="zh-CN"/>
        </w:rPr>
        <w:t>4. 联合体各成员单位内部的职责分工如下：</w:t>
      </w:r>
      <w:r>
        <w:rPr>
          <w:rFonts w:ascii="宋体" w:hAnsi="宋体" w:hint="eastAsia"/>
          <w:u w:val="single"/>
          <w:lang w:eastAsia="zh-CN"/>
        </w:rPr>
        <w:t xml:space="preserve">                  </w:t>
      </w:r>
      <w:r>
        <w:rPr>
          <w:rFonts w:ascii="宋体" w:hAnsi="宋体" w:hint="eastAsia"/>
          <w:lang w:eastAsia="zh-CN"/>
        </w:rPr>
        <w:t>。</w:t>
      </w:r>
    </w:p>
    <w:p w14:paraId="2E259ED4">
      <w:pPr>
        <w:tabs>
          <w:tab w:val="left" w:pos="684"/>
        </w:tabs>
        <w:spacing w:line="360" w:lineRule="auto"/>
        <w:ind w:right="220" w:firstLine="398" w:firstLineChars="166"/>
        <w:rPr>
          <w:rFonts w:ascii="宋体" w:hAnsi="宋体"/>
          <w:lang w:eastAsia="zh-CN"/>
        </w:rPr>
      </w:pPr>
      <w:r>
        <w:rPr>
          <w:rFonts w:ascii="宋体" w:hAnsi="宋体" w:hint="eastAsia"/>
          <w:lang w:eastAsia="zh-CN"/>
        </w:rPr>
        <w:t>5.本协议书自所有成员单位法定代表人或其委托代理人签字或盖单位章之日起生效，合同履行完毕后自动失效。</w:t>
      </w:r>
    </w:p>
    <w:p w14:paraId="08D903AF">
      <w:pPr>
        <w:tabs>
          <w:tab w:val="left" w:pos="680"/>
        </w:tabs>
        <w:spacing w:line="360" w:lineRule="auto"/>
        <w:ind w:firstLine="398" w:firstLineChars="166"/>
        <w:rPr>
          <w:rFonts w:ascii="宋体" w:hAnsi="宋体"/>
          <w:lang w:eastAsia="zh-CN"/>
        </w:rPr>
      </w:pPr>
      <w:r>
        <w:rPr>
          <w:rFonts w:ascii="宋体" w:hAnsi="宋体" w:hint="eastAsia"/>
          <w:lang w:eastAsia="zh-CN"/>
        </w:rPr>
        <w:t>6.本协议书一式</w:t>
      </w:r>
      <w:r>
        <w:rPr>
          <w:rFonts w:ascii="宋体" w:hAnsi="宋体" w:hint="eastAsia"/>
          <w:u w:val="single"/>
          <w:lang w:eastAsia="zh-CN"/>
        </w:rPr>
        <w:t xml:space="preserve">     </w:t>
      </w:r>
      <w:r>
        <w:rPr>
          <w:rFonts w:ascii="宋体" w:hAnsi="宋体" w:hint="eastAsia"/>
          <w:lang w:eastAsia="zh-CN"/>
        </w:rPr>
        <w:t>份，联合体成员和招标人各执一份。</w:t>
      </w:r>
    </w:p>
    <w:p w14:paraId="7BCAFA05">
      <w:pPr>
        <w:tabs>
          <w:tab w:val="left" w:pos="680"/>
        </w:tabs>
        <w:spacing w:line="360" w:lineRule="auto"/>
        <w:ind w:firstLine="398" w:firstLineChars="166"/>
        <w:rPr>
          <w:rFonts w:ascii="宋体" w:hAnsi="宋体"/>
          <w:lang w:eastAsia="zh-CN"/>
        </w:rPr>
      </w:pPr>
      <w:r>
        <w:rPr>
          <w:rFonts w:ascii="宋体" w:hAnsi="宋体" w:hint="eastAsia"/>
          <w:lang w:eastAsia="zh-CN"/>
        </w:rPr>
        <w:t>注：本协议书由法定代表人签字的，应附法定代表人身份证明扫描件；由委托代理人签字的，应附授权委托书扫描件。</w:t>
      </w:r>
    </w:p>
    <w:p w14:paraId="0F52BC54">
      <w:pPr>
        <w:tabs>
          <w:tab w:val="left" w:pos="680"/>
        </w:tabs>
        <w:spacing w:line="360" w:lineRule="auto"/>
        <w:ind w:left="680"/>
        <w:rPr>
          <w:rFonts w:ascii="宋体" w:hAnsi="宋体"/>
          <w:lang w:eastAsia="zh-CN"/>
        </w:rPr>
      </w:pPr>
    </w:p>
    <w:p w14:paraId="1D7F8152">
      <w:pPr>
        <w:topLinePunct/>
        <w:spacing w:line="360" w:lineRule="auto"/>
        <w:ind w:right="105"/>
        <w:jc w:val="right"/>
        <w:rPr>
          <w:rFonts w:ascii="宋体" w:hAnsi="宋体"/>
          <w:lang w:eastAsia="zh-CN"/>
        </w:rPr>
      </w:pPr>
      <w:r>
        <w:rPr>
          <w:rFonts w:ascii="宋体" w:hAnsi="宋体" w:hint="eastAsia"/>
          <w:lang w:eastAsia="zh-CN"/>
        </w:rPr>
        <w:t>联合体牵头人名称：</w:t>
      </w:r>
      <w:r>
        <w:rPr>
          <w:rFonts w:ascii="宋体" w:hAnsi="宋体" w:hint="eastAsia"/>
          <w:u w:val="single"/>
          <w:lang w:eastAsia="zh-CN"/>
        </w:rPr>
        <w:t xml:space="preserve">                </w:t>
      </w:r>
      <w:r>
        <w:rPr>
          <w:rFonts w:ascii="宋体" w:hAnsi="宋体" w:hint="eastAsia"/>
          <w:lang w:eastAsia="zh-CN"/>
        </w:rPr>
        <w:t>（盖单位章）</w:t>
      </w:r>
    </w:p>
    <w:p w14:paraId="23FC308E">
      <w:pPr>
        <w:topLinePunct/>
        <w:spacing w:line="360" w:lineRule="auto"/>
        <w:ind w:right="105"/>
        <w:jc w:val="right"/>
        <w:rPr>
          <w:rFonts w:ascii="宋体" w:hAnsi="宋体"/>
          <w:lang w:eastAsia="zh-CN"/>
        </w:rPr>
      </w:pPr>
      <w:r>
        <w:rPr>
          <w:rFonts w:ascii="宋体" w:hAnsi="宋体" w:hint="eastAsia"/>
          <w:lang w:eastAsia="zh-CN"/>
        </w:rPr>
        <w:t>法定代表人或其委托代理人：</w:t>
      </w:r>
      <w:r>
        <w:rPr>
          <w:rFonts w:ascii="宋体" w:hAnsi="宋体" w:hint="eastAsia"/>
          <w:u w:val="single"/>
          <w:lang w:eastAsia="zh-CN"/>
        </w:rPr>
        <w:t xml:space="preserve">        </w:t>
      </w:r>
      <w:r>
        <w:rPr>
          <w:rFonts w:ascii="宋体" w:hAnsi="宋体" w:hint="eastAsia"/>
          <w:lang w:eastAsia="zh-CN"/>
        </w:rPr>
        <w:t>（签    字）</w:t>
      </w:r>
    </w:p>
    <w:p w14:paraId="6D030B1C">
      <w:pPr>
        <w:topLinePunct/>
        <w:spacing w:line="360" w:lineRule="auto"/>
        <w:ind w:right="105"/>
        <w:jc w:val="right"/>
        <w:rPr>
          <w:rFonts w:ascii="宋体" w:hAnsi="宋体"/>
          <w:lang w:eastAsia="zh-CN"/>
        </w:rPr>
      </w:pPr>
      <w:r>
        <w:rPr>
          <w:rFonts w:ascii="宋体" w:hAnsi="宋体" w:hint="eastAsia"/>
          <w:lang w:eastAsia="zh-CN"/>
        </w:rPr>
        <w:t>联合体其他成员名称：</w:t>
      </w:r>
      <w:r>
        <w:rPr>
          <w:rFonts w:ascii="宋体" w:hAnsi="宋体" w:hint="eastAsia"/>
          <w:u w:val="single"/>
          <w:lang w:eastAsia="zh-CN"/>
        </w:rPr>
        <w:t xml:space="preserve">              </w:t>
      </w:r>
      <w:r>
        <w:rPr>
          <w:rFonts w:ascii="宋体" w:hAnsi="宋体" w:hint="eastAsia"/>
          <w:lang w:eastAsia="zh-CN"/>
        </w:rPr>
        <w:t>（盖单位章）</w:t>
      </w:r>
    </w:p>
    <w:p w14:paraId="57D0AD61">
      <w:pPr>
        <w:topLinePunct/>
        <w:spacing w:line="360" w:lineRule="auto"/>
        <w:ind w:right="105"/>
        <w:jc w:val="right"/>
        <w:rPr>
          <w:rFonts w:ascii="宋体" w:hAnsi="宋体"/>
          <w:lang w:eastAsia="zh-CN"/>
        </w:rPr>
      </w:pPr>
      <w:r>
        <w:rPr>
          <w:rFonts w:ascii="宋体" w:hAnsi="宋体" w:hint="eastAsia"/>
          <w:lang w:eastAsia="zh-CN"/>
        </w:rPr>
        <w:t>法定代表人或其委托代理人：</w:t>
      </w:r>
      <w:r>
        <w:rPr>
          <w:rFonts w:ascii="宋体" w:hAnsi="宋体" w:hint="eastAsia"/>
          <w:u w:val="single"/>
          <w:lang w:eastAsia="zh-CN"/>
        </w:rPr>
        <w:t xml:space="preserve">        </w:t>
      </w:r>
      <w:r>
        <w:rPr>
          <w:rFonts w:ascii="宋体" w:hAnsi="宋体" w:hint="eastAsia"/>
          <w:lang w:eastAsia="zh-CN"/>
        </w:rPr>
        <w:t>（签    字）</w:t>
      </w:r>
    </w:p>
    <w:p w14:paraId="353CD385">
      <w:pPr>
        <w:topLinePunct/>
        <w:spacing w:line="360" w:lineRule="auto"/>
        <w:ind w:right="105"/>
        <w:rPr>
          <w:rFonts w:ascii="宋体" w:hAnsi="宋体"/>
          <w:lang w:eastAsia="zh-CN"/>
        </w:rPr>
      </w:pPr>
      <w:r>
        <w:rPr>
          <w:rFonts w:ascii="宋体" w:hAnsi="宋体" w:hint="eastAsia"/>
          <w:lang w:eastAsia="zh-CN"/>
        </w:rPr>
        <w:t xml:space="preserve">                    ……</w:t>
      </w:r>
    </w:p>
    <w:p w14:paraId="4842C089">
      <w:pPr>
        <w:topLinePunct/>
        <w:spacing w:line="360" w:lineRule="auto"/>
        <w:ind w:right="105"/>
        <w:jc w:val="right"/>
        <w:rPr>
          <w:rFonts w:ascii="宋体" w:hAnsi="宋体"/>
          <w:lang w:eastAsia="zh-CN"/>
        </w:rPr>
      </w:pPr>
    </w:p>
    <w:p w14:paraId="56D1C45C">
      <w:pPr>
        <w:spacing w:line="360" w:lineRule="auto"/>
        <w:ind w:left="2879" w:right="105"/>
        <w:jc w:val="center"/>
        <w:rPr>
          <w:rFonts w:ascii="宋体" w:hAnsi="宋体"/>
          <w:lang w:eastAsia="zh-CN"/>
        </w:rPr>
      </w:pPr>
      <w:r>
        <w:rPr>
          <w:rFonts w:ascii="宋体" w:hAnsi="宋体" w:hint="eastAsia"/>
          <w:u w:val="single"/>
          <w:lang w:eastAsia="zh-CN"/>
        </w:rPr>
        <w:t xml:space="preserve">      </w:t>
      </w:r>
      <w:r>
        <w:rPr>
          <w:rFonts w:ascii="宋体" w:hAnsi="宋体" w:hint="eastAsia"/>
          <w:lang w:eastAsia="zh-CN"/>
        </w:rPr>
        <w:t>年</w:t>
      </w:r>
      <w:r>
        <w:rPr>
          <w:rFonts w:ascii="宋体" w:hAnsi="宋体" w:hint="eastAsia"/>
          <w:u w:val="single"/>
          <w:lang w:eastAsia="zh-CN"/>
        </w:rPr>
        <w:t xml:space="preserve">       </w:t>
      </w:r>
      <w:r>
        <w:rPr>
          <w:rFonts w:ascii="宋体" w:hAnsi="宋体" w:hint="eastAsia"/>
          <w:lang w:eastAsia="zh-CN"/>
        </w:rPr>
        <w:t>月</w:t>
      </w:r>
      <w:r>
        <w:rPr>
          <w:rFonts w:ascii="宋体" w:hAnsi="宋体" w:hint="eastAsia"/>
          <w:u w:val="single"/>
          <w:lang w:eastAsia="zh-CN"/>
        </w:rPr>
        <w:t xml:space="preserve">       </w:t>
      </w:r>
      <w:r>
        <w:rPr>
          <w:rFonts w:ascii="宋体" w:hAnsi="宋体" w:hint="eastAsia"/>
          <w:lang w:eastAsia="zh-CN"/>
        </w:rPr>
        <w:t>日</w:t>
      </w:r>
    </w:p>
    <w:p w14:paraId="3163C83D">
      <w:pPr>
        <w:spacing w:line="360" w:lineRule="auto"/>
        <w:rPr>
          <w:rFonts w:ascii="宋体" w:hAnsi="宋体"/>
          <w:lang w:eastAsia="zh-CN"/>
        </w:rPr>
      </w:pPr>
      <w:r>
        <w:rPr>
          <w:rFonts w:ascii="宋体" w:hAnsi="宋体" w:hint="eastAsia"/>
          <w:lang w:eastAsia="zh-CN"/>
        </w:rPr>
        <w:t>注：本协议书为联合体投标时适用，非联合体投标时无需填写。</w:t>
      </w:r>
    </w:p>
    <w:p w14:paraId="3E3FEB4B">
      <w:pPr>
        <w:rPr>
          <w:rFonts w:ascii="宋体" w:hAnsi="宋体"/>
          <w:lang w:eastAsia="zh-CN"/>
        </w:rPr>
      </w:pPr>
      <w:r>
        <w:rPr>
          <w:rFonts w:ascii="宋体" w:hAnsi="宋体" w:hint="eastAsia"/>
          <w:lang w:eastAsia="zh-CN"/>
        </w:rPr>
        <w:br w:type="page"/>
      </w:r>
    </w:p>
    <w:bookmarkEnd w:id="1526"/>
    <w:p w14:paraId="5EDFD35D">
      <w:pPr>
        <w:keepNext/>
        <w:keepLines/>
        <w:numPr>
          <w:ilvl w:val="0"/>
          <w:numId w:val="8"/>
        </w:numPr>
        <w:adjustRightInd w:val="0"/>
        <w:snapToGrid w:val="0"/>
        <w:spacing w:before="340" w:after="330" w:line="360" w:lineRule="auto"/>
        <w:jc w:val="center"/>
        <w:outlineLvl w:val="0"/>
        <w:rPr>
          <w:rFonts w:ascii="宋体" w:hAnsi="宋体" w:cs="Arial"/>
          <w:b/>
          <w:kern w:val="44"/>
          <w:sz w:val="27"/>
          <w:szCs w:val="22"/>
        </w:rPr>
      </w:pPr>
      <w:bookmarkStart w:id="1527" w:name="_Toc3885_WPSOffice_Level1"/>
      <w:r>
        <w:rPr>
          <w:rFonts w:ascii="宋体" w:hAnsi="宋体" w:cs="Arial" w:hint="eastAsia"/>
          <w:b/>
          <w:kern w:val="44"/>
          <w:sz w:val="27"/>
        </w:rPr>
        <w:t>投标保证金</w:t>
      </w:r>
      <w:bookmarkEnd w:id="1527"/>
    </w:p>
    <w:p w14:paraId="3B5187F3">
      <w:pPr>
        <w:widowControl w:val="0"/>
        <w:numPr>
          <w:ilvl w:val="0"/>
          <w:numId w:val="9"/>
        </w:numPr>
        <w:spacing w:line="360" w:lineRule="auto"/>
        <w:jc w:val="both"/>
        <w:rPr>
          <w:rFonts w:ascii="宋体" w:hAnsi="宋体"/>
          <w:color w:val="auto"/>
          <w:lang w:eastAsia="zh-CN"/>
        </w:rPr>
      </w:pPr>
      <w:r>
        <w:rPr>
          <w:rFonts w:ascii="宋体" w:hAnsi="宋体" w:hint="eastAsia"/>
          <w:color w:val="auto"/>
          <w:lang w:eastAsia="zh-CN"/>
        </w:rPr>
        <w:t>若采用</w:t>
      </w:r>
      <w:r>
        <w:rPr>
          <w:rFonts w:ascii="宋体" w:hAnsi="宋体" w:hint="eastAsia"/>
          <w:color w:val="auto"/>
          <w:lang w:val="en-US" w:eastAsia="zh-CN"/>
        </w:rPr>
        <w:t>现金或数字人民币的转账方式</w:t>
      </w:r>
      <w:r>
        <w:rPr>
          <w:rFonts w:ascii="宋体" w:hAnsi="宋体" w:hint="eastAsia"/>
          <w:color w:val="auto"/>
          <w:lang w:eastAsia="zh-CN"/>
        </w:rPr>
        <w:t>，投标人应附银行给投标人的转账回单扫描件、人民银行颁发的基本存款账户开户许可证或基本存款账户信息证明材料扫描件。</w:t>
      </w:r>
    </w:p>
    <w:p w14:paraId="0301924F">
      <w:pPr>
        <w:widowControl w:val="0"/>
        <w:numPr>
          <w:ilvl w:val="0"/>
          <w:numId w:val="9"/>
        </w:numPr>
        <w:tabs>
          <w:tab w:val="left" w:pos="680"/>
        </w:tabs>
        <w:spacing w:line="360" w:lineRule="auto"/>
        <w:jc w:val="both"/>
        <w:rPr>
          <w:rFonts w:ascii="宋体" w:hAnsi="宋体"/>
          <w:color w:val="auto"/>
          <w:lang w:eastAsia="zh-CN"/>
        </w:rPr>
      </w:pPr>
      <w:r>
        <w:rPr>
          <w:rFonts w:ascii="宋体" w:hAnsi="宋体" w:hint="eastAsia"/>
          <w:color w:val="auto"/>
          <w:lang w:eastAsia="zh-CN"/>
        </w:rPr>
        <w:t>若采用银行电子保函或</w:t>
      </w:r>
      <w:r>
        <w:rPr>
          <w:rFonts w:ascii="宋体" w:hAnsi="宋体" w:cs="宋体" w:hint="eastAsia"/>
          <w:color w:val="auto"/>
          <w:lang w:eastAsia="zh-CN"/>
        </w:rPr>
        <w:t>专业担保公司电</w:t>
      </w:r>
      <w:r>
        <w:rPr>
          <w:rFonts w:ascii="宋体" w:hAnsi="宋体" w:hint="eastAsia"/>
          <w:color w:val="auto"/>
          <w:lang w:eastAsia="zh-CN"/>
        </w:rPr>
        <w:t>子保函或电子保险合同方式，投标文件中无需附相应材料。提交电子保函的，参考格式如下：</w:t>
      </w:r>
    </w:p>
    <w:p w14:paraId="2BB21050">
      <w:pPr>
        <w:tabs>
          <w:tab w:val="left" w:pos="680"/>
        </w:tabs>
        <w:spacing w:line="360" w:lineRule="auto"/>
        <w:rPr>
          <w:rFonts w:ascii="宋体" w:hAnsi="宋体"/>
          <w:color w:val="auto"/>
          <w:lang w:eastAsia="zh-CN"/>
        </w:rPr>
      </w:pPr>
      <w:r>
        <w:rPr>
          <w:color w:val="auto"/>
          <w:lang w:eastAsia="zh-CN"/>
        </w:rPr>
        <w:t xml:space="preserve"> </w:t>
      </w:r>
      <w:r>
        <w:rPr>
          <w:rFonts w:ascii="宋体" w:hAnsi="宋体" w:hint="eastAsia"/>
          <w:color w:val="auto"/>
          <w:lang w:eastAsia="zh-CN"/>
        </w:rPr>
        <w:t xml:space="preserve">   </w:t>
      </w:r>
    </w:p>
    <w:p w14:paraId="2DD6AB90">
      <w:pPr>
        <w:rPr>
          <w:rFonts w:ascii="仿宋" w:eastAsia="仿宋" w:hAnsi="仿宋" w:cs="仿宋"/>
          <w:b/>
          <w:bCs/>
          <w:color w:val="auto"/>
          <w:lang w:eastAsia="zh-CN" w:bidi="ar"/>
        </w:rPr>
      </w:pPr>
      <w:r>
        <w:rPr>
          <w:rFonts w:ascii="仿宋" w:eastAsia="仿宋" w:hAnsi="仿宋" w:cs="仿宋" w:hint="eastAsia"/>
          <w:b/>
          <w:bCs/>
          <w:color w:val="auto"/>
          <w:lang w:eastAsia="zh-CN" w:bidi="ar"/>
        </w:rPr>
        <w:t>参考格式如下（由招标人选择下列示范文本之一）：</w:t>
      </w:r>
    </w:p>
    <w:p w14:paraId="725533FD">
      <w:pPr>
        <w:rPr>
          <w:rFonts w:ascii="仿宋" w:eastAsia="仿宋" w:hAnsi="仿宋" w:cs="仿宋"/>
          <w:b/>
          <w:bCs/>
          <w:color w:val="auto"/>
          <w:lang w:eastAsia="zh-CN" w:bidi="ar"/>
        </w:rPr>
      </w:pPr>
      <w:sdt>
        <w:sdtPr>
          <w:rPr>
            <w:rFonts w:ascii="仿宋" w:eastAsia="仿宋" w:hAnsi="仿宋" w:cs="仿宋" w:hint="eastAsia"/>
            <w:b/>
            <w:bCs/>
            <w:color w:val="auto"/>
            <w:lang w:eastAsia="zh-CN" w:bidi="ar"/>
          </w:rPr>
          <w:id w:val="-147052283"/>
          <w14:checkbox>
            <w14:checked w14:val="0"/>
            <w14:checkedState w14:val="2611" w14:font="MS Gothic"/>
            <w14:uncheckedState w14:val="2610" w14:font="MS Gothic"/>
          </w14:checkbox>
        </w:sdtPr>
        <w:sdtEndPr>
          <w:rPr>
            <w:rFonts w:ascii="仿宋" w:eastAsia="仿宋" w:hAnsi="仿宋" w:cs="仿宋" w:hint="eastAsia"/>
            <w:b/>
            <w:bCs/>
            <w:color w:val="auto"/>
            <w:lang w:eastAsia="zh-CN" w:bidi="ar"/>
          </w:rPr>
        </w:sdtEndPr>
        <w:sdtContent>
          <w:r>
            <w:rPr>
              <w:rFonts w:ascii="MS Gothic" w:eastAsia="MS Gothic" w:hAnsi="MS Gothic" w:cs="MS Gothic" w:hint="eastAsia"/>
              <w:b/>
              <w:bCs/>
              <w:color w:val="auto"/>
              <w:lang w:eastAsia="zh-CN" w:bidi="ar"/>
            </w:rPr>
            <w:t>☐</w:t>
          </w:r>
        </w:sdtContent>
      </w:sdt>
      <w:r>
        <w:rPr>
          <w:rFonts w:ascii="仿宋" w:eastAsia="仿宋" w:hAnsi="仿宋" w:cs="仿宋" w:hint="eastAsia"/>
          <w:b/>
          <w:bCs/>
          <w:color w:val="auto"/>
          <w:lang w:eastAsia="zh-CN" w:bidi="ar"/>
        </w:rPr>
        <w:t>独立保函</w:t>
      </w:r>
      <w:r>
        <w:rPr>
          <w:rFonts w:ascii="宋体" w:hAnsi="宋体" w:cs="宋体" w:hint="eastAsia"/>
          <w:b/>
          <w:bCs/>
          <w:color w:val="auto"/>
          <w:lang w:eastAsia="zh-CN" w:bidi="ar"/>
        </w:rPr>
        <w:t>【</w:t>
      </w:r>
      <w:r>
        <w:rPr>
          <w:rFonts w:ascii="仿宋" w:eastAsia="仿宋" w:hAnsi="仿宋" w:cs="仿宋" w:hint="eastAsia"/>
          <w:b/>
          <w:bCs/>
          <w:color w:val="auto"/>
          <w:lang w:eastAsia="zh-CN" w:bidi="ar"/>
        </w:rPr>
        <w:t>住房和城乡建设部关于印发工程保函示范文本的通知（建市〔2021〕11号附件1：投标保函示范文本（独立保函）】</w:t>
      </w:r>
    </w:p>
    <w:p w14:paraId="31B65E83">
      <w:pPr>
        <w:spacing w:line="360" w:lineRule="auto"/>
        <w:rPr>
          <w:rFonts w:ascii="宋体" w:hAnsi="宋体"/>
          <w:color w:val="auto"/>
          <w:lang w:eastAsia="zh-CN"/>
        </w:rPr>
      </w:pPr>
      <w:sdt>
        <w:sdtPr>
          <w:rPr>
            <w:rFonts w:ascii="仿宋" w:eastAsia="仿宋" w:hAnsi="仿宋" w:cs="仿宋" w:hint="eastAsia"/>
            <w:b/>
            <w:bCs/>
            <w:color w:val="auto"/>
            <w:lang w:eastAsia="zh-CN" w:bidi="ar"/>
          </w:rPr>
          <w:id w:val="-1367753479"/>
          <w14:checkbox>
            <w14:checked w14:val="0"/>
            <w14:checkedState w14:val="2611" w14:font="MS Gothic"/>
            <w14:uncheckedState w14:val="2610" w14:font="MS Gothic"/>
          </w14:checkbox>
        </w:sdtPr>
        <w:sdtEndPr>
          <w:rPr>
            <w:rFonts w:ascii="仿宋" w:eastAsia="仿宋" w:hAnsi="仿宋" w:cs="仿宋" w:hint="eastAsia"/>
            <w:b/>
            <w:bCs/>
            <w:color w:val="auto"/>
            <w:lang w:eastAsia="zh-CN" w:bidi="ar"/>
          </w:rPr>
        </w:sdtEndPr>
        <w:sdtContent>
          <w:r>
            <w:rPr>
              <w:rFonts w:ascii="MS Gothic" w:eastAsia="MS Gothic" w:hAnsi="MS Gothic" w:cs="MS Gothic" w:hint="eastAsia"/>
              <w:b/>
              <w:bCs/>
              <w:color w:val="auto"/>
              <w:lang w:eastAsia="zh-CN" w:bidi="ar"/>
            </w:rPr>
            <w:t>☐</w:t>
          </w:r>
        </w:sdtContent>
      </w:sdt>
      <w:r>
        <w:rPr>
          <w:rFonts w:ascii="仿宋" w:eastAsia="仿宋" w:hAnsi="仿宋" w:cs="仿宋" w:hint="eastAsia"/>
          <w:b/>
          <w:bCs/>
          <w:color w:val="auto"/>
          <w:lang w:eastAsia="zh-CN" w:bidi="ar"/>
        </w:rPr>
        <w:t>非独立保函</w:t>
      </w:r>
      <w:r>
        <w:rPr>
          <w:rFonts w:ascii="宋体" w:hAnsi="宋体" w:cs="宋体" w:hint="eastAsia"/>
          <w:b/>
          <w:bCs/>
          <w:color w:val="auto"/>
          <w:lang w:eastAsia="zh-CN" w:bidi="ar"/>
        </w:rPr>
        <w:t>【</w:t>
      </w:r>
      <w:r>
        <w:rPr>
          <w:rFonts w:ascii="仿宋" w:eastAsia="仿宋" w:hAnsi="仿宋" w:cs="仿宋" w:hint="eastAsia"/>
          <w:b/>
          <w:bCs/>
          <w:color w:val="auto"/>
          <w:lang w:eastAsia="zh-CN" w:bidi="ar"/>
        </w:rPr>
        <w:t>住房和城乡建设部关于印发工程保函示范文本的通知（建市〔2021〕11号附件2：投标保函示范文本（非独立保函）】</w:t>
      </w:r>
    </w:p>
    <w:p w14:paraId="2CF6C674">
      <w:pPr>
        <w:spacing w:line="360" w:lineRule="auto"/>
        <w:rPr>
          <w:rFonts w:ascii="宋体" w:hAnsi="宋体" w:cs="Arial"/>
          <w:lang w:eastAsia="zh-CN"/>
        </w:rPr>
      </w:pPr>
    </w:p>
    <w:p w14:paraId="48F120EA">
      <w:pPr>
        <w:tabs>
          <w:tab w:val="left" w:pos="680"/>
        </w:tabs>
        <w:spacing w:line="360" w:lineRule="auto"/>
        <w:ind w:firstLine="332" w:firstLineChars="166"/>
        <w:rPr>
          <w:rFonts w:ascii="宋体" w:hAnsi="宋体" w:cs="Arial"/>
          <w:lang w:eastAsia="zh-CN"/>
        </w:rPr>
      </w:pPr>
      <w:r>
        <w:rPr>
          <w:rFonts w:eastAsia="Calibri" w:cs="Arial"/>
          <w:sz w:val="20"/>
          <w:szCs w:val="20"/>
          <w:lang w:eastAsia="zh-CN"/>
        </w:rPr>
        <w:t xml:space="preserve"> </w:t>
      </w:r>
      <w:r>
        <w:rPr>
          <w:rFonts w:ascii="宋体" w:hAnsi="宋体" w:cs="Arial" w:hint="eastAsia"/>
          <w:lang w:eastAsia="zh-CN"/>
        </w:rPr>
        <w:t xml:space="preserve">   </w:t>
      </w:r>
    </w:p>
    <w:p w14:paraId="77EF0CF0">
      <w:pPr>
        <w:topLinePunct/>
        <w:spacing w:line="360" w:lineRule="auto"/>
        <w:ind w:right="105"/>
        <w:jc w:val="right"/>
        <w:rPr>
          <w:rFonts w:ascii="宋体" w:hAnsi="宋体" w:cs="Arial"/>
          <w:lang w:eastAsia="zh-CN"/>
        </w:rPr>
      </w:pPr>
      <w:r>
        <w:rPr>
          <w:rFonts w:ascii="宋体" w:hAnsi="宋体" w:cs="Arial" w:hint="eastAsia"/>
          <w:u w:val="single"/>
          <w:lang w:eastAsia="zh-CN"/>
        </w:rPr>
        <w:t xml:space="preserve">             </w:t>
      </w:r>
    </w:p>
    <w:p w14:paraId="2124EBE2">
      <w:pPr>
        <w:spacing w:line="360" w:lineRule="auto"/>
        <w:ind w:firstLine="480"/>
        <w:rPr>
          <w:rFonts w:ascii="宋体" w:hAnsi="宋体" w:cs="Arial"/>
          <w:lang w:eastAsia="zh-CN"/>
        </w:rPr>
      </w:pPr>
      <w:r>
        <w:rPr>
          <w:rFonts w:ascii="宋体" w:hAnsi="宋体" w:cs="Arial" w:hint="eastAsia"/>
          <w:lang w:eastAsia="zh-CN"/>
        </w:rPr>
        <w:t>注：（1）电子保函或电子保险合同的担保责任、承担担保责任的方式、有效期等实质性内容应符合上述要求。</w:t>
      </w:r>
    </w:p>
    <w:p w14:paraId="1DCBA3B8">
      <w:pPr>
        <w:spacing w:line="36" w:lineRule="auto"/>
        <w:ind w:firstLine="960" w:firstLineChars="400"/>
        <w:rPr>
          <w:rFonts w:ascii="宋体" w:hAnsi="宋体" w:cs="Arial"/>
          <w:lang w:eastAsia="zh-CN"/>
        </w:rPr>
      </w:pPr>
      <w:r>
        <w:rPr>
          <w:rFonts w:ascii="宋体" w:hAnsi="宋体" w:cs="Arial" w:hint="eastAsia"/>
          <w:lang w:eastAsia="zh-CN"/>
        </w:rPr>
        <w:t>（2）未要求提交投标保证金的，不需填报。</w:t>
      </w:r>
    </w:p>
    <w:p w14:paraId="2EAC3BA2">
      <w:pPr>
        <w:pStyle w:val="Heading2"/>
        <w:spacing w:line="36" w:lineRule="auto"/>
        <w:jc w:val="center"/>
        <w:rPr>
          <w:rFonts w:ascii="宋体" w:hAnsi="宋体" w:hint="eastAsia"/>
          <w:sz w:val="31"/>
        </w:rPr>
      </w:pPr>
      <w:bookmarkStart w:id="1528" w:name="_Toc256000097"/>
      <w:r>
        <w:rPr>
          <w:rFonts w:ascii="宋体" w:hAnsi="宋体" w:hint="eastAsia"/>
          <w:sz w:val="31"/>
        </w:rPr>
        <w:t>五、已标价工程量清单</w:t>
      </w:r>
      <w:bookmarkEnd w:id="1528"/>
    </w:p>
    <w:p w14:paraId="2945AC88">
      <w:pPr>
        <w:rPr>
          <w:rFonts w:hint="eastAsia"/>
        </w:rPr>
      </w:pPr>
      <w:r>
        <w:rPr>
          <w:rFonts w:hint="eastAsia"/>
        </w:rPr>
        <w:t>注:工程量清单编制、投标报价及工程量清单计价表等按照国家标准《建设工程工程量</w:t>
      </w:r>
    </w:p>
    <w:p w14:paraId="5A19E671">
      <w:r>
        <w:rPr>
          <w:rFonts w:hint="eastAsia"/>
        </w:rPr>
        <w:t>清单计价规范》(GB 50500-2013)、《四川省建设工程工程量清单计价定额》及有关配套规定执行，工程量清单说明、投标报价说明、其他说明以及工程量清单计价表不得与此相抵触。同时，请将所有己标价工程量清单扫描成 PDF 文件上传至该节点。</w:t>
      </w:r>
    </w:p>
    <w:p w14:paraId="18B43C7E">
      <w:pPr>
        <w:pStyle w:val="Normal0"/>
      </w:pPr>
    </w:p>
    <w:p w14:paraId="67D2412C">
      <w:pPr>
        <w:pStyle w:val="Heading2"/>
        <w:spacing w:line="36" w:lineRule="auto"/>
        <w:jc w:val="center"/>
        <w:rPr>
          <w:rFonts w:ascii="宋体" w:hAnsi="宋体"/>
          <w:sz w:val="31"/>
        </w:rPr>
      </w:pPr>
      <w:bookmarkStart w:id="1529" w:name="_Toc256000098"/>
      <w:r>
        <w:rPr>
          <w:rFonts w:ascii="宋体" w:hAnsi="宋体" w:hint="eastAsia"/>
          <w:sz w:val="31"/>
        </w:rPr>
        <w:t>六、施工组织设计</w:t>
      </w:r>
      <w:bookmarkEnd w:id="1529"/>
    </w:p>
    <w:p w14:paraId="744A1AF6">
      <w:pPr>
        <w:spacing w:line="36" w:lineRule="auto"/>
        <w:rPr>
          <w:rFonts w:ascii="宋体" w:hAnsi="宋体"/>
          <w:sz w:val="27"/>
          <w:lang w:eastAsia="zh-CN"/>
        </w:rPr>
      </w:pPr>
    </w:p>
    <w:p w14:paraId="468CD9C5">
      <w:pPr>
        <w:spacing w:line="360" w:lineRule="auto"/>
        <w:rPr>
          <w:rFonts w:ascii="宋体" w:hAnsi="宋体"/>
          <w:lang w:eastAsia="zh-CN"/>
        </w:rPr>
      </w:pPr>
      <w:r>
        <w:rPr>
          <w:lang w:eastAsia="zh-CN"/>
        </w:rPr>
        <w:t xml:space="preserve">    </w:t>
      </w:r>
      <w:r>
        <w:rPr>
          <w:rFonts w:ascii="宋体" w:hAnsi="宋体" w:hint="eastAsia"/>
          <w:lang w:eastAsia="zh-CN"/>
        </w:rPr>
        <w:t>1. 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根据投标人需知前附表10.</w:t>
      </w:r>
      <w:r>
        <w:rPr>
          <w:rFonts w:ascii="宋体" w:hAnsi="宋体" w:hint="eastAsia"/>
          <w:lang w:val="en-US" w:eastAsia="zh-CN"/>
        </w:rPr>
        <w:t>16</w:t>
      </w:r>
      <w:r>
        <w:rPr>
          <w:rFonts w:ascii="宋体" w:hAnsi="宋体" w:hint="eastAsia"/>
          <w:lang w:eastAsia="zh-CN"/>
        </w:rPr>
        <w:t>条约定，若本项目采用“暗标”评审方式，投标人须严格按照该条约定进行单独编制。不符合要求的，投标文件作否决投标处理。</w:t>
      </w:r>
    </w:p>
    <w:p w14:paraId="7C24C387">
      <w:pPr>
        <w:spacing w:line="360" w:lineRule="auto"/>
        <w:rPr>
          <w:rFonts w:ascii="宋体" w:hAnsi="宋体"/>
          <w:lang w:eastAsia="zh-CN"/>
        </w:rPr>
      </w:pPr>
      <w:r>
        <w:rPr>
          <w:lang w:eastAsia="zh-CN"/>
        </w:rPr>
        <w:t xml:space="preserve">    </w:t>
      </w:r>
      <w:r>
        <w:rPr>
          <w:rFonts w:ascii="宋体" w:hAnsi="宋体" w:hint="eastAsia"/>
          <w:lang w:eastAsia="zh-CN"/>
        </w:rPr>
        <w:t>2. 施工组织设计除采用文字表述外可附下列图表，图表及格式要求附后。</w:t>
      </w:r>
    </w:p>
    <w:p w14:paraId="352BA41D">
      <w:pPr>
        <w:spacing w:line="360" w:lineRule="auto"/>
        <w:rPr>
          <w:rFonts w:ascii="宋体" w:hAnsi="宋体"/>
          <w:lang w:eastAsia="zh-CN"/>
        </w:rPr>
      </w:pPr>
      <w:r>
        <w:rPr>
          <w:lang w:eastAsia="zh-CN"/>
        </w:rPr>
        <w:t xml:space="preserve">      </w:t>
      </w:r>
      <w:r>
        <w:rPr>
          <w:rFonts w:ascii="宋体" w:hAnsi="宋体" w:hint="eastAsia"/>
          <w:lang w:eastAsia="zh-CN"/>
        </w:rPr>
        <w:t>附表一 拟投入本标段的主要施工设备表</w:t>
      </w:r>
    </w:p>
    <w:p w14:paraId="247DCA32">
      <w:pPr>
        <w:spacing w:line="360" w:lineRule="auto"/>
        <w:rPr>
          <w:rFonts w:ascii="宋体" w:hAnsi="宋体"/>
          <w:lang w:eastAsia="zh-CN"/>
        </w:rPr>
      </w:pPr>
      <w:r>
        <w:rPr>
          <w:lang w:eastAsia="zh-CN"/>
        </w:rPr>
        <w:t xml:space="preserve">      </w:t>
      </w:r>
      <w:r>
        <w:rPr>
          <w:rFonts w:ascii="宋体" w:hAnsi="宋体" w:hint="eastAsia"/>
          <w:lang w:eastAsia="zh-CN"/>
        </w:rPr>
        <w:t>附表二 拟配备本标段的试验和检测仪器设备表</w:t>
      </w:r>
    </w:p>
    <w:p w14:paraId="2F54382B">
      <w:pPr>
        <w:spacing w:line="360" w:lineRule="auto"/>
        <w:rPr>
          <w:rFonts w:ascii="宋体" w:hAnsi="宋体"/>
          <w:lang w:eastAsia="zh-CN"/>
        </w:rPr>
      </w:pPr>
      <w:r>
        <w:rPr>
          <w:lang w:eastAsia="zh-CN"/>
        </w:rPr>
        <w:t xml:space="preserve">      </w:t>
      </w:r>
      <w:r>
        <w:rPr>
          <w:rFonts w:ascii="宋体" w:hAnsi="宋体" w:hint="eastAsia"/>
          <w:lang w:eastAsia="zh-CN"/>
        </w:rPr>
        <w:t>附表三 劳动力计划表</w:t>
      </w:r>
    </w:p>
    <w:p w14:paraId="037BAA68">
      <w:pPr>
        <w:spacing w:line="360" w:lineRule="auto"/>
        <w:rPr>
          <w:rFonts w:ascii="宋体" w:hAnsi="宋体"/>
          <w:lang w:eastAsia="zh-CN"/>
        </w:rPr>
      </w:pPr>
      <w:r>
        <w:rPr>
          <w:lang w:eastAsia="zh-CN"/>
        </w:rPr>
        <w:t xml:space="preserve">      </w:t>
      </w:r>
      <w:r>
        <w:rPr>
          <w:rFonts w:ascii="宋体" w:hAnsi="宋体" w:hint="eastAsia"/>
          <w:lang w:eastAsia="zh-CN"/>
        </w:rPr>
        <w:t>附表四 计划开、竣工日期和施工进度网络图</w:t>
      </w:r>
    </w:p>
    <w:p w14:paraId="209A16E3">
      <w:pPr>
        <w:spacing w:line="360" w:lineRule="auto"/>
        <w:rPr>
          <w:rFonts w:ascii="宋体" w:hAnsi="宋体"/>
          <w:lang w:eastAsia="zh-CN"/>
        </w:rPr>
      </w:pPr>
      <w:r>
        <w:rPr>
          <w:lang w:eastAsia="zh-CN"/>
        </w:rPr>
        <w:t xml:space="preserve">      </w:t>
      </w:r>
      <w:r>
        <w:rPr>
          <w:rFonts w:ascii="宋体" w:hAnsi="宋体" w:hint="eastAsia"/>
          <w:lang w:eastAsia="zh-CN"/>
        </w:rPr>
        <w:t>附表五 施工总平面图</w:t>
      </w:r>
    </w:p>
    <w:p w14:paraId="6F2EADDB">
      <w:pPr>
        <w:spacing w:line="360" w:lineRule="auto"/>
        <w:rPr>
          <w:rFonts w:ascii="宋体" w:hAnsi="宋体"/>
          <w:lang w:eastAsia="zh-CN"/>
        </w:rPr>
      </w:pPr>
      <w:r>
        <w:rPr>
          <w:lang w:eastAsia="zh-CN"/>
        </w:rPr>
        <w:t xml:space="preserve">      </w:t>
      </w:r>
      <w:r>
        <w:rPr>
          <w:rFonts w:ascii="宋体" w:hAnsi="宋体" w:hint="eastAsia"/>
          <w:lang w:eastAsia="zh-CN"/>
        </w:rPr>
        <w:t>附表六 临时用地表</w:t>
      </w:r>
    </w:p>
    <w:p w14:paraId="73A5A047">
      <w:pPr>
        <w:spacing w:line="360" w:lineRule="auto"/>
        <w:rPr>
          <w:rFonts w:ascii="宋体" w:hAnsi="宋体"/>
          <w:lang w:eastAsia="zh-CN"/>
        </w:rPr>
      </w:pPr>
      <w:r>
        <w:rPr>
          <w:rFonts w:ascii="宋体" w:hAnsi="宋体" w:hint="eastAsia"/>
          <w:lang w:eastAsia="zh-CN"/>
        </w:rPr>
        <w:t xml:space="preserve">    </w:t>
      </w:r>
    </w:p>
    <w:p w14:paraId="7FAFF04B">
      <w:pPr>
        <w:spacing w:line="360" w:lineRule="auto"/>
        <w:rPr>
          <w:rFonts w:ascii="宋体" w:hAnsi="宋体"/>
          <w:lang w:eastAsia="zh-CN"/>
        </w:rPr>
      </w:pPr>
    </w:p>
    <w:p w14:paraId="49B0EDC7">
      <w:pPr>
        <w:rPr>
          <w:rFonts w:ascii="宋体" w:hAnsi="宋体"/>
          <w:lang w:eastAsia="zh-CN"/>
        </w:rPr>
      </w:pPr>
      <w:r>
        <w:rPr>
          <w:rFonts w:ascii="宋体" w:hAnsi="宋体" w:hint="eastAsia"/>
          <w:lang w:eastAsia="zh-CN"/>
        </w:rPr>
        <w:br w:type="page"/>
      </w:r>
    </w:p>
    <w:p w14:paraId="724D8696">
      <w:pPr>
        <w:spacing w:line="360" w:lineRule="auto"/>
        <w:rPr>
          <w:rFonts w:ascii="宋体" w:hAnsi="宋体"/>
          <w:lang w:eastAsia="zh-CN"/>
        </w:rPr>
      </w:pPr>
    </w:p>
    <w:p w14:paraId="7E5BC724">
      <w:pPr>
        <w:pStyle w:val="Heading3"/>
        <w:spacing w:line="36" w:lineRule="auto"/>
        <w:rPr>
          <w:rFonts w:ascii="宋体" w:hAnsi="宋体"/>
          <w:sz w:val="27"/>
        </w:rPr>
      </w:pPr>
      <w:bookmarkStart w:id="1530" w:name="_Toc256000099"/>
      <w:r>
        <w:rPr>
          <w:rFonts w:ascii="宋体" w:hAnsi="宋体" w:hint="eastAsia"/>
          <w:sz w:val="27"/>
        </w:rPr>
        <w:t>附表一：拟投入本标段的主要施工设备表</w:t>
      </w:r>
      <w:bookmarkEnd w:id="1530"/>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709"/>
        <w:gridCol w:w="701"/>
        <w:gridCol w:w="1110"/>
        <w:gridCol w:w="740"/>
        <w:gridCol w:w="922"/>
        <w:gridCol w:w="740"/>
        <w:gridCol w:w="1293"/>
        <w:gridCol w:w="793"/>
        <w:gridCol w:w="1049"/>
        <w:gridCol w:w="701"/>
      </w:tblGrid>
      <w:tr w14:paraId="7F653E18">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1026"/>
          <w:jc w:val="center"/>
        </w:trPr>
        <w:tc>
          <w:tcPr>
            <w:tcW w:w="709" w:type="dxa"/>
            <w:tcBorders>
              <w:top w:val="single" w:sz="2" w:space="0" w:color="auto"/>
              <w:left w:val="single" w:sz="2" w:space="0" w:color="auto"/>
              <w:bottom w:val="single" w:sz="2" w:space="0" w:color="auto"/>
              <w:right w:val="single" w:sz="2" w:space="0" w:color="auto"/>
            </w:tcBorders>
            <w:vAlign w:val="center"/>
          </w:tcPr>
          <w:p w14:paraId="34BF2011">
            <w:r>
              <w:rPr>
                <w:rFonts w:hint="eastAsia"/>
              </w:rPr>
              <w:t>序号</w:t>
            </w:r>
          </w:p>
        </w:tc>
        <w:tc>
          <w:tcPr>
            <w:tcW w:w="701" w:type="dxa"/>
            <w:tcBorders>
              <w:top w:val="single" w:sz="2" w:space="0" w:color="auto"/>
              <w:left w:val="single" w:sz="2" w:space="0" w:color="auto"/>
              <w:bottom w:val="single" w:sz="2" w:space="0" w:color="auto"/>
              <w:right w:val="single" w:sz="2" w:space="0" w:color="auto"/>
            </w:tcBorders>
            <w:vAlign w:val="center"/>
          </w:tcPr>
          <w:p w14:paraId="3A55AC10">
            <w:r>
              <w:rPr>
                <w:rFonts w:hint="eastAsia"/>
              </w:rPr>
              <w:t>设备</w:t>
            </w:r>
          </w:p>
          <w:p w14:paraId="586D9B44">
            <w:r>
              <w:rPr>
                <w:rFonts w:hint="eastAsia"/>
              </w:rPr>
              <w:t>名称</w:t>
            </w:r>
          </w:p>
        </w:tc>
        <w:tc>
          <w:tcPr>
            <w:tcW w:w="1110" w:type="dxa"/>
            <w:tcBorders>
              <w:top w:val="single" w:sz="2" w:space="0" w:color="auto"/>
              <w:left w:val="single" w:sz="2" w:space="0" w:color="auto"/>
              <w:bottom w:val="single" w:sz="2" w:space="0" w:color="auto"/>
              <w:right w:val="single" w:sz="2" w:space="0" w:color="auto"/>
            </w:tcBorders>
            <w:vAlign w:val="center"/>
          </w:tcPr>
          <w:p w14:paraId="5A39FD4C">
            <w:r>
              <w:rPr>
                <w:rFonts w:hint="eastAsia"/>
              </w:rPr>
              <w:t>型号</w:t>
            </w:r>
          </w:p>
          <w:p w14:paraId="4D712D8C">
            <w:r>
              <w:rPr>
                <w:rFonts w:hint="eastAsia"/>
              </w:rPr>
              <w:t>规格</w:t>
            </w:r>
          </w:p>
        </w:tc>
        <w:tc>
          <w:tcPr>
            <w:tcW w:w="740" w:type="dxa"/>
            <w:tcBorders>
              <w:top w:val="single" w:sz="2" w:space="0" w:color="auto"/>
              <w:left w:val="single" w:sz="2" w:space="0" w:color="auto"/>
              <w:bottom w:val="single" w:sz="2" w:space="0" w:color="auto"/>
              <w:right w:val="single" w:sz="2" w:space="0" w:color="auto"/>
            </w:tcBorders>
            <w:vAlign w:val="center"/>
          </w:tcPr>
          <w:p w14:paraId="5CBCE09D">
            <w:r>
              <w:rPr>
                <w:rFonts w:hint="eastAsia"/>
              </w:rPr>
              <w:t>数量</w:t>
            </w:r>
          </w:p>
        </w:tc>
        <w:tc>
          <w:tcPr>
            <w:tcW w:w="922" w:type="dxa"/>
            <w:tcBorders>
              <w:top w:val="single" w:sz="2" w:space="0" w:color="auto"/>
              <w:left w:val="single" w:sz="2" w:space="0" w:color="auto"/>
              <w:bottom w:val="single" w:sz="2" w:space="0" w:color="auto"/>
              <w:right w:val="single" w:sz="2" w:space="0" w:color="auto"/>
            </w:tcBorders>
            <w:vAlign w:val="center"/>
          </w:tcPr>
          <w:p w14:paraId="6A45F374">
            <w:r>
              <w:rPr>
                <w:rFonts w:hint="eastAsia"/>
              </w:rPr>
              <w:t>国别</w:t>
            </w:r>
          </w:p>
          <w:p w14:paraId="6F959D82">
            <w:r>
              <w:rPr>
                <w:rFonts w:hint="eastAsia"/>
              </w:rPr>
              <w:t>产地</w:t>
            </w:r>
          </w:p>
        </w:tc>
        <w:tc>
          <w:tcPr>
            <w:tcW w:w="740" w:type="dxa"/>
            <w:tcBorders>
              <w:top w:val="single" w:sz="2" w:space="0" w:color="auto"/>
              <w:left w:val="single" w:sz="2" w:space="0" w:color="auto"/>
              <w:bottom w:val="single" w:sz="2" w:space="0" w:color="auto"/>
              <w:right w:val="single" w:sz="2" w:space="0" w:color="auto"/>
            </w:tcBorders>
            <w:vAlign w:val="center"/>
          </w:tcPr>
          <w:p w14:paraId="360378E9">
            <w:r>
              <w:rPr>
                <w:rFonts w:hint="eastAsia"/>
              </w:rPr>
              <w:t>制造</w:t>
            </w:r>
          </w:p>
          <w:p w14:paraId="483C7DB7">
            <w:r>
              <w:rPr>
                <w:rFonts w:hint="eastAsia"/>
              </w:rPr>
              <w:t>年份</w:t>
            </w:r>
          </w:p>
        </w:tc>
        <w:tc>
          <w:tcPr>
            <w:tcW w:w="1293" w:type="dxa"/>
            <w:tcBorders>
              <w:top w:val="single" w:sz="2" w:space="0" w:color="auto"/>
              <w:left w:val="single" w:sz="2" w:space="0" w:color="auto"/>
              <w:bottom w:val="single" w:sz="2" w:space="0" w:color="auto"/>
              <w:right w:val="single" w:sz="2" w:space="0" w:color="auto"/>
            </w:tcBorders>
            <w:vAlign w:val="center"/>
          </w:tcPr>
          <w:p w14:paraId="142F0779">
            <w:r>
              <w:rPr>
                <w:rFonts w:hint="eastAsia"/>
              </w:rPr>
              <w:t>额定功率</w:t>
            </w:r>
          </w:p>
          <w:p w14:paraId="4D2B9F59">
            <w:r>
              <w:rPr>
                <w:rFonts w:hint="eastAsia"/>
              </w:rPr>
              <w:t>（KW）</w:t>
            </w:r>
          </w:p>
        </w:tc>
        <w:tc>
          <w:tcPr>
            <w:tcW w:w="793" w:type="dxa"/>
            <w:tcBorders>
              <w:top w:val="single" w:sz="2" w:space="0" w:color="auto"/>
              <w:left w:val="single" w:sz="2" w:space="0" w:color="auto"/>
              <w:bottom w:val="single" w:sz="2" w:space="0" w:color="auto"/>
              <w:right w:val="single" w:sz="2" w:space="0" w:color="auto"/>
            </w:tcBorders>
            <w:vAlign w:val="center"/>
          </w:tcPr>
          <w:p w14:paraId="23B662FF">
            <w:r>
              <w:rPr>
                <w:rFonts w:hint="eastAsia"/>
              </w:rPr>
              <w:t>生产</w:t>
            </w:r>
          </w:p>
          <w:p w14:paraId="1762173C">
            <w:r>
              <w:rPr>
                <w:rFonts w:hint="eastAsia"/>
              </w:rPr>
              <w:t>能力</w:t>
            </w:r>
          </w:p>
        </w:tc>
        <w:tc>
          <w:tcPr>
            <w:tcW w:w="1049" w:type="dxa"/>
            <w:tcBorders>
              <w:top w:val="single" w:sz="2" w:space="0" w:color="auto"/>
              <w:left w:val="single" w:sz="2" w:space="0" w:color="auto"/>
              <w:bottom w:val="single" w:sz="2" w:space="0" w:color="auto"/>
              <w:right w:val="single" w:sz="2" w:space="0" w:color="auto"/>
            </w:tcBorders>
            <w:vAlign w:val="center"/>
          </w:tcPr>
          <w:p w14:paraId="7D2844C7">
            <w:r>
              <w:rPr>
                <w:rFonts w:hint="eastAsia"/>
              </w:rPr>
              <w:t>用于施工部位</w:t>
            </w:r>
          </w:p>
        </w:tc>
        <w:tc>
          <w:tcPr>
            <w:tcW w:w="701" w:type="dxa"/>
            <w:tcBorders>
              <w:top w:val="single" w:sz="2" w:space="0" w:color="auto"/>
              <w:left w:val="single" w:sz="2" w:space="0" w:color="auto"/>
              <w:bottom w:val="single" w:sz="2" w:space="0" w:color="auto"/>
              <w:right w:val="single" w:sz="2" w:space="0" w:color="auto"/>
            </w:tcBorders>
            <w:vAlign w:val="center"/>
          </w:tcPr>
          <w:p w14:paraId="07D3DA6E">
            <w:r>
              <w:rPr>
                <w:rFonts w:hint="eastAsia"/>
              </w:rPr>
              <w:t>备注</w:t>
            </w:r>
          </w:p>
        </w:tc>
      </w:tr>
      <w:tr w14:paraId="26C51BDE">
        <w:tblPrEx>
          <w:tblW w:w="0" w:type="auto"/>
          <w:jc w:val="center"/>
          <w:tblLayout w:type="fixed"/>
          <w:tblCellMar>
            <w:top w:w="0" w:type="dxa"/>
            <w:left w:w="108" w:type="dxa"/>
            <w:bottom w:w="0" w:type="dxa"/>
            <w:right w:w="108" w:type="dxa"/>
          </w:tblCellMar>
        </w:tblPrEx>
        <w:trPr>
          <w:trHeight w:val="631"/>
          <w:jc w:val="center"/>
        </w:trPr>
        <w:tc>
          <w:tcPr>
            <w:tcW w:w="709" w:type="dxa"/>
            <w:tcBorders>
              <w:top w:val="single" w:sz="2" w:space="0" w:color="auto"/>
              <w:left w:val="single" w:sz="2" w:space="0" w:color="auto"/>
              <w:bottom w:val="single" w:sz="2" w:space="0" w:color="auto"/>
              <w:right w:val="single" w:sz="2" w:space="0" w:color="auto"/>
            </w:tcBorders>
            <w:vAlign w:val="center"/>
          </w:tcPr>
          <w:p w14:paraId="43561ABE">
            <w:pPr>
              <w:rPr>
                <w:sz w:val="27"/>
                <w:szCs w:val="22"/>
              </w:rPr>
            </w:pPr>
          </w:p>
        </w:tc>
        <w:tc>
          <w:tcPr>
            <w:tcW w:w="701" w:type="dxa"/>
            <w:tcBorders>
              <w:top w:val="single" w:sz="2" w:space="0" w:color="auto"/>
              <w:left w:val="single" w:sz="2" w:space="0" w:color="auto"/>
              <w:bottom w:val="single" w:sz="2" w:space="0" w:color="auto"/>
              <w:right w:val="single" w:sz="2" w:space="0" w:color="auto"/>
            </w:tcBorders>
            <w:vAlign w:val="center"/>
          </w:tcPr>
          <w:p w14:paraId="4D259FA5">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6BC4EEE3">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6FFD9FDF">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369279A6">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62D914F5">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728E48EF">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5196F60C">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3F55F313">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5FC981C4">
            <w:pPr>
              <w:rPr>
                <w:sz w:val="27"/>
              </w:rPr>
            </w:pPr>
          </w:p>
        </w:tc>
      </w:tr>
      <w:tr w14:paraId="3DF0D561">
        <w:tblPrEx>
          <w:tblW w:w="0" w:type="auto"/>
          <w:jc w:val="center"/>
          <w:tblLayout w:type="fixed"/>
          <w:tblCellMar>
            <w:top w:w="0" w:type="dxa"/>
            <w:left w:w="108" w:type="dxa"/>
            <w:bottom w:w="0" w:type="dxa"/>
            <w:right w:w="108" w:type="dxa"/>
          </w:tblCellMar>
        </w:tblPrEx>
        <w:trPr>
          <w:trHeight w:val="616"/>
          <w:jc w:val="center"/>
        </w:trPr>
        <w:tc>
          <w:tcPr>
            <w:tcW w:w="709" w:type="dxa"/>
            <w:tcBorders>
              <w:top w:val="single" w:sz="2" w:space="0" w:color="auto"/>
              <w:left w:val="single" w:sz="2" w:space="0" w:color="auto"/>
              <w:bottom w:val="single" w:sz="2" w:space="0" w:color="auto"/>
              <w:right w:val="single" w:sz="2" w:space="0" w:color="auto"/>
            </w:tcBorders>
            <w:vAlign w:val="center"/>
          </w:tcPr>
          <w:p w14:paraId="6744C5CA">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390E86A4">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2CCB098D">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051B7C25">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756DC21C">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32B832DF">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1A32AAF5">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689FA1AF">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6DF5BE16">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20C20176">
            <w:pPr>
              <w:rPr>
                <w:sz w:val="27"/>
              </w:rPr>
            </w:pPr>
          </w:p>
        </w:tc>
      </w:tr>
      <w:tr w14:paraId="5906EEF4">
        <w:tblPrEx>
          <w:tblW w:w="0" w:type="auto"/>
          <w:jc w:val="center"/>
          <w:tblLayout w:type="fixed"/>
          <w:tblCellMar>
            <w:top w:w="0" w:type="dxa"/>
            <w:left w:w="108" w:type="dxa"/>
            <w:bottom w:w="0" w:type="dxa"/>
            <w:right w:w="108" w:type="dxa"/>
          </w:tblCellMar>
        </w:tblPrEx>
        <w:trPr>
          <w:trHeight w:val="631"/>
          <w:jc w:val="center"/>
        </w:trPr>
        <w:tc>
          <w:tcPr>
            <w:tcW w:w="709" w:type="dxa"/>
            <w:tcBorders>
              <w:top w:val="single" w:sz="2" w:space="0" w:color="auto"/>
              <w:left w:val="single" w:sz="2" w:space="0" w:color="auto"/>
              <w:bottom w:val="single" w:sz="2" w:space="0" w:color="auto"/>
              <w:right w:val="single" w:sz="2" w:space="0" w:color="auto"/>
            </w:tcBorders>
            <w:vAlign w:val="center"/>
          </w:tcPr>
          <w:p w14:paraId="7BBD45D4">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11FA19D3">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120186BE">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6CE2995F">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0CDCBCDE">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1FE81D77">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7B0BC8D3">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7C8FE683">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46473555">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1E5AA1E6">
            <w:pPr>
              <w:rPr>
                <w:sz w:val="27"/>
              </w:rPr>
            </w:pPr>
          </w:p>
        </w:tc>
      </w:tr>
      <w:tr w14:paraId="1EFB5223">
        <w:tblPrEx>
          <w:tblW w:w="0" w:type="auto"/>
          <w:jc w:val="center"/>
          <w:tblLayout w:type="fixed"/>
          <w:tblCellMar>
            <w:top w:w="0" w:type="dxa"/>
            <w:left w:w="108" w:type="dxa"/>
            <w:bottom w:w="0" w:type="dxa"/>
            <w:right w:w="108" w:type="dxa"/>
          </w:tblCellMar>
        </w:tblPrEx>
        <w:trPr>
          <w:trHeight w:val="631"/>
          <w:jc w:val="center"/>
        </w:trPr>
        <w:tc>
          <w:tcPr>
            <w:tcW w:w="709" w:type="dxa"/>
            <w:tcBorders>
              <w:top w:val="single" w:sz="2" w:space="0" w:color="auto"/>
              <w:left w:val="single" w:sz="2" w:space="0" w:color="auto"/>
              <w:bottom w:val="single" w:sz="2" w:space="0" w:color="auto"/>
              <w:right w:val="single" w:sz="2" w:space="0" w:color="auto"/>
            </w:tcBorders>
            <w:vAlign w:val="center"/>
          </w:tcPr>
          <w:p w14:paraId="4AF9358D">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7800F469">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169889DA">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2F7ED8BE">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2FE74707">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34EA73B4">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68077C58">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0B016013">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3FD64859">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7E976F8E">
            <w:pPr>
              <w:rPr>
                <w:sz w:val="27"/>
              </w:rPr>
            </w:pPr>
          </w:p>
        </w:tc>
      </w:tr>
      <w:tr w14:paraId="79A583BD">
        <w:tblPrEx>
          <w:tblW w:w="0" w:type="auto"/>
          <w:jc w:val="center"/>
          <w:tblLayout w:type="fixed"/>
          <w:tblCellMar>
            <w:top w:w="0" w:type="dxa"/>
            <w:left w:w="108" w:type="dxa"/>
            <w:bottom w:w="0" w:type="dxa"/>
            <w:right w:w="108" w:type="dxa"/>
          </w:tblCellMar>
        </w:tblPrEx>
        <w:trPr>
          <w:trHeight w:val="616"/>
          <w:jc w:val="center"/>
        </w:trPr>
        <w:tc>
          <w:tcPr>
            <w:tcW w:w="709" w:type="dxa"/>
            <w:tcBorders>
              <w:top w:val="single" w:sz="2" w:space="0" w:color="auto"/>
              <w:left w:val="single" w:sz="2" w:space="0" w:color="auto"/>
              <w:bottom w:val="single" w:sz="2" w:space="0" w:color="auto"/>
              <w:right w:val="single" w:sz="2" w:space="0" w:color="auto"/>
            </w:tcBorders>
            <w:vAlign w:val="center"/>
          </w:tcPr>
          <w:p w14:paraId="17A8199F">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7367A5BF">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5B7874C0">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1247CE86">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590F166F">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61705C93">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5537E91D">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67E858D6">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4F38C3AD">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5E2F9EB8">
            <w:pPr>
              <w:rPr>
                <w:sz w:val="27"/>
              </w:rPr>
            </w:pPr>
          </w:p>
        </w:tc>
      </w:tr>
      <w:tr w14:paraId="33698E0F">
        <w:tblPrEx>
          <w:tblW w:w="0" w:type="auto"/>
          <w:jc w:val="center"/>
          <w:tblLayout w:type="fixed"/>
          <w:tblCellMar>
            <w:top w:w="0" w:type="dxa"/>
            <w:left w:w="108" w:type="dxa"/>
            <w:bottom w:w="0" w:type="dxa"/>
            <w:right w:w="108" w:type="dxa"/>
          </w:tblCellMar>
        </w:tblPrEx>
        <w:trPr>
          <w:trHeight w:val="631"/>
          <w:jc w:val="center"/>
        </w:trPr>
        <w:tc>
          <w:tcPr>
            <w:tcW w:w="709" w:type="dxa"/>
            <w:tcBorders>
              <w:top w:val="single" w:sz="2" w:space="0" w:color="auto"/>
              <w:left w:val="single" w:sz="2" w:space="0" w:color="auto"/>
              <w:bottom w:val="single" w:sz="2" w:space="0" w:color="auto"/>
              <w:right w:val="single" w:sz="2" w:space="0" w:color="auto"/>
            </w:tcBorders>
            <w:vAlign w:val="center"/>
          </w:tcPr>
          <w:p w14:paraId="1044021B">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1D2FEB4D">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61AAA9B8">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350C9619">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5535545C">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514E098E">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2C89B19A">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37D42C87">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0B54309A">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045FA1F6">
            <w:pPr>
              <w:rPr>
                <w:sz w:val="27"/>
              </w:rPr>
            </w:pPr>
          </w:p>
        </w:tc>
      </w:tr>
      <w:tr w14:paraId="7B926700">
        <w:tblPrEx>
          <w:tblW w:w="0" w:type="auto"/>
          <w:jc w:val="center"/>
          <w:tblLayout w:type="fixed"/>
          <w:tblCellMar>
            <w:top w:w="0" w:type="dxa"/>
            <w:left w:w="108" w:type="dxa"/>
            <w:bottom w:w="0" w:type="dxa"/>
            <w:right w:w="108" w:type="dxa"/>
          </w:tblCellMar>
        </w:tblPrEx>
        <w:trPr>
          <w:trHeight w:val="616"/>
          <w:jc w:val="center"/>
        </w:trPr>
        <w:tc>
          <w:tcPr>
            <w:tcW w:w="709" w:type="dxa"/>
            <w:tcBorders>
              <w:top w:val="single" w:sz="2" w:space="0" w:color="auto"/>
              <w:left w:val="single" w:sz="2" w:space="0" w:color="auto"/>
              <w:bottom w:val="single" w:sz="2" w:space="0" w:color="auto"/>
              <w:right w:val="single" w:sz="2" w:space="0" w:color="auto"/>
            </w:tcBorders>
            <w:vAlign w:val="center"/>
          </w:tcPr>
          <w:p w14:paraId="222C1178">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2A8B1171">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398B1C86">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0D28BA5B">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21446796">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4F583CDF">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3A094BF3">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7CA71B0D">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67DB9C28">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5F43E93B">
            <w:pPr>
              <w:rPr>
                <w:sz w:val="27"/>
              </w:rPr>
            </w:pPr>
          </w:p>
        </w:tc>
      </w:tr>
      <w:tr w14:paraId="03529205">
        <w:tblPrEx>
          <w:tblW w:w="0" w:type="auto"/>
          <w:jc w:val="center"/>
          <w:tblLayout w:type="fixed"/>
          <w:tblCellMar>
            <w:top w:w="0" w:type="dxa"/>
            <w:left w:w="108" w:type="dxa"/>
            <w:bottom w:w="0" w:type="dxa"/>
            <w:right w:w="108" w:type="dxa"/>
          </w:tblCellMar>
        </w:tblPrEx>
        <w:trPr>
          <w:trHeight w:val="631"/>
          <w:jc w:val="center"/>
        </w:trPr>
        <w:tc>
          <w:tcPr>
            <w:tcW w:w="709" w:type="dxa"/>
            <w:tcBorders>
              <w:top w:val="single" w:sz="2" w:space="0" w:color="auto"/>
              <w:left w:val="single" w:sz="2" w:space="0" w:color="auto"/>
              <w:bottom w:val="single" w:sz="2" w:space="0" w:color="auto"/>
              <w:right w:val="single" w:sz="2" w:space="0" w:color="auto"/>
            </w:tcBorders>
            <w:vAlign w:val="center"/>
          </w:tcPr>
          <w:p w14:paraId="3AEB7357">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3CC99382">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6715F608">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376E8D47">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43FAE76C">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454C672B">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5BC5805F">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0E269026">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45019C5A">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61F1B14B">
            <w:pPr>
              <w:rPr>
                <w:sz w:val="27"/>
              </w:rPr>
            </w:pPr>
          </w:p>
        </w:tc>
      </w:tr>
      <w:tr w14:paraId="5A7A0BFC">
        <w:tblPrEx>
          <w:tblW w:w="0" w:type="auto"/>
          <w:jc w:val="center"/>
          <w:tblLayout w:type="fixed"/>
          <w:tblCellMar>
            <w:top w:w="0" w:type="dxa"/>
            <w:left w:w="108" w:type="dxa"/>
            <w:bottom w:w="0" w:type="dxa"/>
            <w:right w:w="108" w:type="dxa"/>
          </w:tblCellMar>
        </w:tblPrEx>
        <w:trPr>
          <w:trHeight w:val="631"/>
          <w:jc w:val="center"/>
        </w:trPr>
        <w:tc>
          <w:tcPr>
            <w:tcW w:w="709" w:type="dxa"/>
            <w:tcBorders>
              <w:top w:val="single" w:sz="2" w:space="0" w:color="auto"/>
              <w:left w:val="single" w:sz="2" w:space="0" w:color="auto"/>
              <w:bottom w:val="single" w:sz="2" w:space="0" w:color="auto"/>
              <w:right w:val="single" w:sz="2" w:space="0" w:color="auto"/>
            </w:tcBorders>
            <w:vAlign w:val="center"/>
          </w:tcPr>
          <w:p w14:paraId="141C52BE">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4565D499">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4A8C0D23">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7616CDA6">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284DB80E">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26DEB1D9">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1C71A5AC">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3C3242B7">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30412B58">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0D5C5593">
            <w:pPr>
              <w:rPr>
                <w:sz w:val="27"/>
              </w:rPr>
            </w:pPr>
          </w:p>
        </w:tc>
      </w:tr>
      <w:tr w14:paraId="44172489">
        <w:tblPrEx>
          <w:tblW w:w="0" w:type="auto"/>
          <w:jc w:val="center"/>
          <w:tblLayout w:type="fixed"/>
          <w:tblCellMar>
            <w:top w:w="0" w:type="dxa"/>
            <w:left w:w="108" w:type="dxa"/>
            <w:bottom w:w="0" w:type="dxa"/>
            <w:right w:w="108" w:type="dxa"/>
          </w:tblCellMar>
        </w:tblPrEx>
        <w:trPr>
          <w:trHeight w:val="616"/>
          <w:jc w:val="center"/>
        </w:trPr>
        <w:tc>
          <w:tcPr>
            <w:tcW w:w="709" w:type="dxa"/>
            <w:tcBorders>
              <w:top w:val="single" w:sz="2" w:space="0" w:color="auto"/>
              <w:left w:val="single" w:sz="2" w:space="0" w:color="auto"/>
              <w:bottom w:val="single" w:sz="2" w:space="0" w:color="auto"/>
              <w:right w:val="single" w:sz="2" w:space="0" w:color="auto"/>
            </w:tcBorders>
            <w:vAlign w:val="center"/>
          </w:tcPr>
          <w:p w14:paraId="0B4D6A7A">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0B1A1FA8">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27DB5A02">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2F632FB2">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5C981FA9">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07C7A94C">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7B7BD791">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71B347E6">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4A0997ED">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5CEDC94E">
            <w:pPr>
              <w:rPr>
                <w:sz w:val="27"/>
              </w:rPr>
            </w:pPr>
          </w:p>
        </w:tc>
      </w:tr>
      <w:tr w14:paraId="05FC98C9">
        <w:tblPrEx>
          <w:tblW w:w="0" w:type="auto"/>
          <w:jc w:val="center"/>
          <w:tblLayout w:type="fixed"/>
          <w:tblCellMar>
            <w:top w:w="0" w:type="dxa"/>
            <w:left w:w="108" w:type="dxa"/>
            <w:bottom w:w="0" w:type="dxa"/>
            <w:right w:w="108" w:type="dxa"/>
          </w:tblCellMar>
        </w:tblPrEx>
        <w:trPr>
          <w:trHeight w:val="631"/>
          <w:jc w:val="center"/>
        </w:trPr>
        <w:tc>
          <w:tcPr>
            <w:tcW w:w="709" w:type="dxa"/>
            <w:tcBorders>
              <w:top w:val="single" w:sz="2" w:space="0" w:color="auto"/>
              <w:left w:val="single" w:sz="2" w:space="0" w:color="auto"/>
              <w:bottom w:val="single" w:sz="2" w:space="0" w:color="auto"/>
              <w:right w:val="single" w:sz="2" w:space="0" w:color="auto"/>
            </w:tcBorders>
            <w:vAlign w:val="center"/>
          </w:tcPr>
          <w:p w14:paraId="7FAAF8AB">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6559A9E8">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1AC7E2AC">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5EB95A44">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2C6CBC88">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42932638">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142341B7">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6805241F">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2E5ECF94">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67D1555E">
            <w:pPr>
              <w:rPr>
                <w:sz w:val="27"/>
              </w:rPr>
            </w:pPr>
          </w:p>
        </w:tc>
      </w:tr>
      <w:tr w14:paraId="59817322">
        <w:tblPrEx>
          <w:tblW w:w="0" w:type="auto"/>
          <w:jc w:val="center"/>
          <w:tblLayout w:type="fixed"/>
          <w:tblCellMar>
            <w:top w:w="0" w:type="dxa"/>
            <w:left w:w="108" w:type="dxa"/>
            <w:bottom w:w="0" w:type="dxa"/>
            <w:right w:w="108" w:type="dxa"/>
          </w:tblCellMar>
        </w:tblPrEx>
        <w:trPr>
          <w:trHeight w:val="616"/>
          <w:jc w:val="center"/>
        </w:trPr>
        <w:tc>
          <w:tcPr>
            <w:tcW w:w="709" w:type="dxa"/>
            <w:tcBorders>
              <w:top w:val="single" w:sz="2" w:space="0" w:color="auto"/>
              <w:left w:val="single" w:sz="2" w:space="0" w:color="auto"/>
              <w:bottom w:val="single" w:sz="2" w:space="0" w:color="auto"/>
              <w:right w:val="single" w:sz="2" w:space="0" w:color="auto"/>
            </w:tcBorders>
            <w:vAlign w:val="center"/>
          </w:tcPr>
          <w:p w14:paraId="6BE430C8">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240F1D1B">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3F94E49C">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6B0013FC">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3E1D954C">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0A5B197D">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0E718727">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4466F051">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6A9081F0">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240AF218">
            <w:pPr>
              <w:rPr>
                <w:sz w:val="27"/>
              </w:rPr>
            </w:pPr>
          </w:p>
        </w:tc>
      </w:tr>
      <w:tr w14:paraId="5A1E1E92">
        <w:tblPrEx>
          <w:tblW w:w="0" w:type="auto"/>
          <w:jc w:val="center"/>
          <w:tblLayout w:type="fixed"/>
          <w:tblCellMar>
            <w:top w:w="0" w:type="dxa"/>
            <w:left w:w="108" w:type="dxa"/>
            <w:bottom w:w="0" w:type="dxa"/>
            <w:right w:w="108" w:type="dxa"/>
          </w:tblCellMar>
        </w:tblPrEx>
        <w:trPr>
          <w:trHeight w:val="631"/>
          <w:jc w:val="center"/>
        </w:trPr>
        <w:tc>
          <w:tcPr>
            <w:tcW w:w="709" w:type="dxa"/>
            <w:tcBorders>
              <w:top w:val="single" w:sz="2" w:space="0" w:color="auto"/>
              <w:left w:val="single" w:sz="2" w:space="0" w:color="auto"/>
              <w:bottom w:val="single" w:sz="2" w:space="0" w:color="auto"/>
              <w:right w:val="single" w:sz="2" w:space="0" w:color="auto"/>
            </w:tcBorders>
            <w:vAlign w:val="center"/>
          </w:tcPr>
          <w:p w14:paraId="2D0B3C14">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79FC2A27">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493CF522">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24520FF8">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620DC377">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4BB9B3B7">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6F120211">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5E621B96">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41AC2555">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71BC8C64">
            <w:pPr>
              <w:rPr>
                <w:sz w:val="27"/>
              </w:rPr>
            </w:pPr>
          </w:p>
        </w:tc>
      </w:tr>
      <w:tr w14:paraId="64DF78DC">
        <w:tblPrEx>
          <w:tblW w:w="0" w:type="auto"/>
          <w:jc w:val="center"/>
          <w:tblLayout w:type="fixed"/>
          <w:tblCellMar>
            <w:top w:w="0" w:type="dxa"/>
            <w:left w:w="108" w:type="dxa"/>
            <w:bottom w:w="0" w:type="dxa"/>
            <w:right w:w="108" w:type="dxa"/>
          </w:tblCellMar>
        </w:tblPrEx>
        <w:trPr>
          <w:trHeight w:val="631"/>
          <w:jc w:val="center"/>
        </w:trPr>
        <w:tc>
          <w:tcPr>
            <w:tcW w:w="709" w:type="dxa"/>
            <w:tcBorders>
              <w:top w:val="single" w:sz="2" w:space="0" w:color="auto"/>
              <w:left w:val="single" w:sz="2" w:space="0" w:color="auto"/>
              <w:bottom w:val="single" w:sz="2" w:space="0" w:color="auto"/>
              <w:right w:val="single" w:sz="2" w:space="0" w:color="auto"/>
            </w:tcBorders>
            <w:vAlign w:val="center"/>
          </w:tcPr>
          <w:p w14:paraId="66F8A274">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588212C0">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4989AFC2">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51F7074E">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6F045F23">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1D8E5D54">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36492AFF">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3C4BA22A">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1C1FBCBE">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4569BA9B">
            <w:pPr>
              <w:rPr>
                <w:sz w:val="27"/>
              </w:rPr>
            </w:pPr>
          </w:p>
        </w:tc>
      </w:tr>
      <w:tr w14:paraId="01D77F01">
        <w:tblPrEx>
          <w:tblW w:w="0" w:type="auto"/>
          <w:jc w:val="center"/>
          <w:tblLayout w:type="fixed"/>
          <w:tblCellMar>
            <w:top w:w="0" w:type="dxa"/>
            <w:left w:w="108" w:type="dxa"/>
            <w:bottom w:w="0" w:type="dxa"/>
            <w:right w:w="108" w:type="dxa"/>
          </w:tblCellMar>
        </w:tblPrEx>
        <w:trPr>
          <w:trHeight w:val="616"/>
          <w:jc w:val="center"/>
        </w:trPr>
        <w:tc>
          <w:tcPr>
            <w:tcW w:w="709" w:type="dxa"/>
            <w:tcBorders>
              <w:top w:val="single" w:sz="2" w:space="0" w:color="auto"/>
              <w:left w:val="single" w:sz="2" w:space="0" w:color="auto"/>
              <w:bottom w:val="single" w:sz="2" w:space="0" w:color="auto"/>
              <w:right w:val="single" w:sz="2" w:space="0" w:color="auto"/>
            </w:tcBorders>
            <w:vAlign w:val="center"/>
          </w:tcPr>
          <w:p w14:paraId="6EAF74DF">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25703A70">
            <w:pPr>
              <w:rPr>
                <w:sz w:val="27"/>
              </w:rPr>
            </w:pPr>
          </w:p>
        </w:tc>
        <w:tc>
          <w:tcPr>
            <w:tcW w:w="1110" w:type="dxa"/>
            <w:tcBorders>
              <w:top w:val="single" w:sz="2" w:space="0" w:color="auto"/>
              <w:left w:val="single" w:sz="2" w:space="0" w:color="auto"/>
              <w:bottom w:val="single" w:sz="2" w:space="0" w:color="auto"/>
              <w:right w:val="single" w:sz="2" w:space="0" w:color="auto"/>
            </w:tcBorders>
            <w:vAlign w:val="center"/>
          </w:tcPr>
          <w:p w14:paraId="75CAA63E">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504732CF">
            <w:pPr>
              <w:rPr>
                <w:sz w:val="27"/>
              </w:rPr>
            </w:pPr>
          </w:p>
        </w:tc>
        <w:tc>
          <w:tcPr>
            <w:tcW w:w="922" w:type="dxa"/>
            <w:tcBorders>
              <w:top w:val="single" w:sz="2" w:space="0" w:color="auto"/>
              <w:left w:val="single" w:sz="2" w:space="0" w:color="auto"/>
              <w:bottom w:val="single" w:sz="2" w:space="0" w:color="auto"/>
              <w:right w:val="single" w:sz="2" w:space="0" w:color="auto"/>
            </w:tcBorders>
            <w:vAlign w:val="center"/>
          </w:tcPr>
          <w:p w14:paraId="150FDD5D">
            <w:pPr>
              <w:rPr>
                <w:sz w:val="27"/>
              </w:rPr>
            </w:pPr>
          </w:p>
        </w:tc>
        <w:tc>
          <w:tcPr>
            <w:tcW w:w="740" w:type="dxa"/>
            <w:tcBorders>
              <w:top w:val="single" w:sz="2" w:space="0" w:color="auto"/>
              <w:left w:val="single" w:sz="2" w:space="0" w:color="auto"/>
              <w:bottom w:val="single" w:sz="2" w:space="0" w:color="auto"/>
              <w:right w:val="single" w:sz="2" w:space="0" w:color="auto"/>
            </w:tcBorders>
            <w:vAlign w:val="center"/>
          </w:tcPr>
          <w:p w14:paraId="3081110F">
            <w:pPr>
              <w:rPr>
                <w:sz w:val="27"/>
              </w:rPr>
            </w:pPr>
          </w:p>
        </w:tc>
        <w:tc>
          <w:tcPr>
            <w:tcW w:w="1293" w:type="dxa"/>
            <w:tcBorders>
              <w:top w:val="single" w:sz="2" w:space="0" w:color="auto"/>
              <w:left w:val="single" w:sz="2" w:space="0" w:color="auto"/>
              <w:bottom w:val="single" w:sz="2" w:space="0" w:color="auto"/>
              <w:right w:val="single" w:sz="2" w:space="0" w:color="auto"/>
            </w:tcBorders>
            <w:vAlign w:val="center"/>
          </w:tcPr>
          <w:p w14:paraId="34818051">
            <w:pPr>
              <w:rPr>
                <w:sz w:val="27"/>
              </w:rPr>
            </w:pPr>
          </w:p>
        </w:tc>
        <w:tc>
          <w:tcPr>
            <w:tcW w:w="793" w:type="dxa"/>
            <w:tcBorders>
              <w:top w:val="single" w:sz="2" w:space="0" w:color="auto"/>
              <w:left w:val="single" w:sz="2" w:space="0" w:color="auto"/>
              <w:bottom w:val="single" w:sz="2" w:space="0" w:color="auto"/>
              <w:right w:val="single" w:sz="2" w:space="0" w:color="auto"/>
            </w:tcBorders>
            <w:vAlign w:val="center"/>
          </w:tcPr>
          <w:p w14:paraId="4E420035">
            <w:pPr>
              <w:rPr>
                <w:sz w:val="27"/>
              </w:rPr>
            </w:pPr>
          </w:p>
        </w:tc>
        <w:tc>
          <w:tcPr>
            <w:tcW w:w="1049" w:type="dxa"/>
            <w:tcBorders>
              <w:top w:val="single" w:sz="2" w:space="0" w:color="auto"/>
              <w:left w:val="single" w:sz="2" w:space="0" w:color="auto"/>
              <w:bottom w:val="single" w:sz="2" w:space="0" w:color="auto"/>
              <w:right w:val="single" w:sz="2" w:space="0" w:color="auto"/>
            </w:tcBorders>
            <w:vAlign w:val="center"/>
          </w:tcPr>
          <w:p w14:paraId="63D23C4A">
            <w:pPr>
              <w:rPr>
                <w:sz w:val="27"/>
              </w:rPr>
            </w:pPr>
          </w:p>
        </w:tc>
        <w:tc>
          <w:tcPr>
            <w:tcW w:w="701" w:type="dxa"/>
            <w:tcBorders>
              <w:top w:val="single" w:sz="2" w:space="0" w:color="auto"/>
              <w:left w:val="single" w:sz="2" w:space="0" w:color="auto"/>
              <w:bottom w:val="single" w:sz="2" w:space="0" w:color="auto"/>
              <w:right w:val="single" w:sz="2" w:space="0" w:color="auto"/>
            </w:tcBorders>
            <w:vAlign w:val="center"/>
          </w:tcPr>
          <w:p w14:paraId="064ADA73">
            <w:pPr>
              <w:rPr>
                <w:sz w:val="27"/>
              </w:rPr>
            </w:pPr>
          </w:p>
        </w:tc>
      </w:tr>
    </w:tbl>
    <w:p w14:paraId="7AB6CFCF">
      <w:pPr>
        <w:spacing w:line="36" w:lineRule="auto"/>
        <w:rPr>
          <w:rFonts w:ascii="宋体" w:hAnsi="宋体"/>
          <w:kern w:val="2"/>
          <w:sz w:val="27"/>
          <w:szCs w:val="22"/>
        </w:rPr>
      </w:pPr>
    </w:p>
    <w:p w14:paraId="179C71E5">
      <w:pPr>
        <w:rPr>
          <w:rFonts w:ascii="宋体" w:hAnsi="宋体"/>
          <w:sz w:val="27"/>
        </w:rPr>
      </w:pPr>
      <w:r>
        <w:rPr>
          <w:rFonts w:ascii="宋体" w:hAnsi="宋体" w:hint="eastAsia"/>
          <w:sz w:val="27"/>
        </w:rPr>
        <w:br w:type="page"/>
      </w:r>
    </w:p>
    <w:p w14:paraId="693315A6">
      <w:pPr>
        <w:pStyle w:val="Heading3"/>
        <w:spacing w:line="36" w:lineRule="auto"/>
        <w:rPr>
          <w:rFonts w:ascii="宋体" w:hAnsi="宋体"/>
          <w:sz w:val="27"/>
        </w:rPr>
      </w:pPr>
      <w:bookmarkStart w:id="1531" w:name="_Toc256000100"/>
      <w:r>
        <w:rPr>
          <w:rFonts w:ascii="宋体" w:hAnsi="宋体" w:hint="eastAsia"/>
          <w:sz w:val="27"/>
        </w:rPr>
        <w:t>附表二：拟配备本标段的试验和检测仪器设备表</w:t>
      </w:r>
      <w:bookmarkEnd w:id="1531"/>
    </w:p>
    <w:p w14:paraId="518954A8">
      <w:pPr>
        <w:spacing w:line="36" w:lineRule="auto"/>
        <w:rPr>
          <w:rFonts w:ascii="宋体" w:hAnsi="宋体"/>
          <w:sz w:val="27"/>
          <w:lang w:eastAsia="zh-CN"/>
        </w:rPr>
      </w:pP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829"/>
        <w:gridCol w:w="1066"/>
        <w:gridCol w:w="733"/>
        <w:gridCol w:w="720"/>
        <w:gridCol w:w="1080"/>
        <w:gridCol w:w="898"/>
        <w:gridCol w:w="1084"/>
        <w:gridCol w:w="1429"/>
        <w:gridCol w:w="808"/>
      </w:tblGrid>
      <w:tr w14:paraId="27AC81E6">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1184"/>
          <w:jc w:val="center"/>
        </w:trPr>
        <w:tc>
          <w:tcPr>
            <w:tcW w:w="829" w:type="dxa"/>
            <w:tcBorders>
              <w:top w:val="single" w:sz="2" w:space="0" w:color="auto"/>
              <w:left w:val="single" w:sz="2" w:space="0" w:color="auto"/>
              <w:bottom w:val="single" w:sz="2" w:space="0" w:color="auto"/>
              <w:right w:val="single" w:sz="2" w:space="0" w:color="auto"/>
            </w:tcBorders>
            <w:vAlign w:val="center"/>
          </w:tcPr>
          <w:p w14:paraId="543D0E58">
            <w:r>
              <w:rPr>
                <w:rFonts w:hint="eastAsia"/>
              </w:rPr>
              <w:t>序号</w:t>
            </w:r>
          </w:p>
        </w:tc>
        <w:tc>
          <w:tcPr>
            <w:tcW w:w="1066" w:type="dxa"/>
            <w:tcBorders>
              <w:top w:val="single" w:sz="2" w:space="0" w:color="auto"/>
              <w:left w:val="single" w:sz="2" w:space="0" w:color="auto"/>
              <w:bottom w:val="single" w:sz="2" w:space="0" w:color="auto"/>
              <w:right w:val="single" w:sz="2" w:space="0" w:color="auto"/>
            </w:tcBorders>
            <w:vAlign w:val="center"/>
          </w:tcPr>
          <w:p w14:paraId="12E35128">
            <w:r>
              <w:rPr>
                <w:rFonts w:hint="eastAsia"/>
              </w:rPr>
              <w:t>仪器设</w:t>
            </w:r>
          </w:p>
          <w:p w14:paraId="62A8B524">
            <w:r>
              <w:rPr>
                <w:rFonts w:hint="eastAsia"/>
              </w:rPr>
              <w:t>备名称</w:t>
            </w:r>
          </w:p>
        </w:tc>
        <w:tc>
          <w:tcPr>
            <w:tcW w:w="733" w:type="dxa"/>
            <w:tcBorders>
              <w:top w:val="single" w:sz="2" w:space="0" w:color="auto"/>
              <w:left w:val="single" w:sz="2" w:space="0" w:color="auto"/>
              <w:bottom w:val="single" w:sz="2" w:space="0" w:color="auto"/>
              <w:right w:val="single" w:sz="2" w:space="0" w:color="auto"/>
            </w:tcBorders>
            <w:vAlign w:val="center"/>
          </w:tcPr>
          <w:p w14:paraId="4B27D140">
            <w:r>
              <w:rPr>
                <w:rFonts w:hint="eastAsia"/>
              </w:rPr>
              <w:t>型号</w:t>
            </w:r>
          </w:p>
          <w:p w14:paraId="7DF5A839">
            <w:r>
              <w:rPr>
                <w:rFonts w:hint="eastAsia"/>
              </w:rPr>
              <w:t>规格</w:t>
            </w:r>
          </w:p>
        </w:tc>
        <w:tc>
          <w:tcPr>
            <w:tcW w:w="720" w:type="dxa"/>
            <w:tcBorders>
              <w:top w:val="single" w:sz="2" w:space="0" w:color="auto"/>
              <w:left w:val="single" w:sz="2" w:space="0" w:color="auto"/>
              <w:bottom w:val="single" w:sz="2" w:space="0" w:color="auto"/>
              <w:right w:val="single" w:sz="2" w:space="0" w:color="auto"/>
            </w:tcBorders>
            <w:vAlign w:val="center"/>
          </w:tcPr>
          <w:p w14:paraId="5FB102F3">
            <w:r>
              <w:rPr>
                <w:rFonts w:hint="eastAsia"/>
              </w:rPr>
              <w:t>数量</w:t>
            </w:r>
          </w:p>
        </w:tc>
        <w:tc>
          <w:tcPr>
            <w:tcW w:w="1080" w:type="dxa"/>
            <w:tcBorders>
              <w:top w:val="single" w:sz="2" w:space="0" w:color="auto"/>
              <w:left w:val="single" w:sz="2" w:space="0" w:color="auto"/>
              <w:bottom w:val="single" w:sz="2" w:space="0" w:color="auto"/>
              <w:right w:val="single" w:sz="2" w:space="0" w:color="auto"/>
            </w:tcBorders>
            <w:vAlign w:val="center"/>
          </w:tcPr>
          <w:p w14:paraId="6BFEFAB6">
            <w:r>
              <w:rPr>
                <w:rFonts w:hint="eastAsia"/>
              </w:rPr>
              <w:t>国别</w:t>
            </w:r>
          </w:p>
          <w:p w14:paraId="2731347C">
            <w:r>
              <w:rPr>
                <w:rFonts w:hint="eastAsia"/>
              </w:rPr>
              <w:t>产地</w:t>
            </w:r>
          </w:p>
        </w:tc>
        <w:tc>
          <w:tcPr>
            <w:tcW w:w="898" w:type="dxa"/>
            <w:tcBorders>
              <w:top w:val="single" w:sz="2" w:space="0" w:color="auto"/>
              <w:left w:val="single" w:sz="2" w:space="0" w:color="auto"/>
              <w:bottom w:val="single" w:sz="2" w:space="0" w:color="auto"/>
              <w:right w:val="single" w:sz="2" w:space="0" w:color="auto"/>
            </w:tcBorders>
            <w:vAlign w:val="center"/>
          </w:tcPr>
          <w:p w14:paraId="1F13948B">
            <w:r>
              <w:rPr>
                <w:rFonts w:hint="eastAsia"/>
              </w:rPr>
              <w:t>制造</w:t>
            </w:r>
          </w:p>
          <w:p w14:paraId="00C12512">
            <w:r>
              <w:rPr>
                <w:rFonts w:hint="eastAsia"/>
              </w:rPr>
              <w:t>年份</w:t>
            </w:r>
          </w:p>
        </w:tc>
        <w:tc>
          <w:tcPr>
            <w:tcW w:w="1084" w:type="dxa"/>
            <w:tcBorders>
              <w:top w:val="single" w:sz="2" w:space="0" w:color="auto"/>
              <w:left w:val="single" w:sz="2" w:space="0" w:color="auto"/>
              <w:bottom w:val="single" w:sz="2" w:space="0" w:color="auto"/>
              <w:right w:val="single" w:sz="2" w:space="0" w:color="auto"/>
            </w:tcBorders>
            <w:vAlign w:val="center"/>
          </w:tcPr>
          <w:p w14:paraId="65AC51A4">
            <w:r>
              <w:rPr>
                <w:rFonts w:hint="eastAsia"/>
              </w:rPr>
              <w:t>已使用</w:t>
            </w:r>
          </w:p>
          <w:p w14:paraId="343AD9E3">
            <w:r>
              <w:rPr>
                <w:rFonts w:hint="eastAsia"/>
              </w:rPr>
              <w:t>台时数</w:t>
            </w:r>
          </w:p>
        </w:tc>
        <w:tc>
          <w:tcPr>
            <w:tcW w:w="1429" w:type="dxa"/>
            <w:tcBorders>
              <w:top w:val="single" w:sz="2" w:space="0" w:color="auto"/>
              <w:left w:val="single" w:sz="2" w:space="0" w:color="auto"/>
              <w:bottom w:val="single" w:sz="2" w:space="0" w:color="auto"/>
              <w:right w:val="single" w:sz="2" w:space="0" w:color="auto"/>
            </w:tcBorders>
            <w:vAlign w:val="center"/>
          </w:tcPr>
          <w:p w14:paraId="4BE4657D">
            <w:r>
              <w:rPr>
                <w:rFonts w:hint="eastAsia"/>
              </w:rPr>
              <w:t>用途</w:t>
            </w:r>
          </w:p>
        </w:tc>
        <w:tc>
          <w:tcPr>
            <w:tcW w:w="808" w:type="dxa"/>
            <w:tcBorders>
              <w:top w:val="single" w:sz="2" w:space="0" w:color="auto"/>
              <w:left w:val="single" w:sz="2" w:space="0" w:color="auto"/>
              <w:bottom w:val="single" w:sz="2" w:space="0" w:color="auto"/>
              <w:right w:val="single" w:sz="2" w:space="0" w:color="auto"/>
            </w:tcBorders>
            <w:vAlign w:val="center"/>
          </w:tcPr>
          <w:p w14:paraId="3AF52A76">
            <w:r>
              <w:rPr>
                <w:rFonts w:hint="eastAsia"/>
              </w:rPr>
              <w:t>备注</w:t>
            </w:r>
          </w:p>
        </w:tc>
      </w:tr>
      <w:tr w14:paraId="3FCAA760">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4653BFF9">
            <w:pPr>
              <w:rPr>
                <w:sz w:val="27"/>
                <w:szCs w:val="22"/>
              </w:rPr>
            </w:pPr>
          </w:p>
        </w:tc>
        <w:tc>
          <w:tcPr>
            <w:tcW w:w="1066" w:type="dxa"/>
            <w:tcBorders>
              <w:top w:val="single" w:sz="2" w:space="0" w:color="auto"/>
              <w:left w:val="single" w:sz="2" w:space="0" w:color="auto"/>
              <w:bottom w:val="single" w:sz="2" w:space="0" w:color="auto"/>
              <w:right w:val="single" w:sz="2" w:space="0" w:color="auto"/>
            </w:tcBorders>
            <w:vAlign w:val="center"/>
          </w:tcPr>
          <w:p w14:paraId="4FD6C996">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638EC663">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7C01B571">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4F926C3A">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7938B104">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532AEC86">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68F62982">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560CFA88">
            <w:pPr>
              <w:rPr>
                <w:sz w:val="27"/>
              </w:rPr>
            </w:pPr>
          </w:p>
        </w:tc>
      </w:tr>
      <w:tr w14:paraId="32D2DA04">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3811EC18">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56319028">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40698AC6">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6D0B4442">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346D89A1">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028AAB6C">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6FA22002">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30A17863">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5684A20E">
            <w:pPr>
              <w:rPr>
                <w:sz w:val="27"/>
              </w:rPr>
            </w:pPr>
          </w:p>
        </w:tc>
      </w:tr>
      <w:tr w14:paraId="04EC7F92">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7EBE08A1">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708A4452">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35B07252">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09727826">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24F7F768">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6E8D8875">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371D6401">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63D95C3D">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18F9734B">
            <w:pPr>
              <w:rPr>
                <w:sz w:val="27"/>
              </w:rPr>
            </w:pPr>
          </w:p>
        </w:tc>
      </w:tr>
      <w:tr w14:paraId="0A25F51E">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5E298528">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63FA9715">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00E1043F">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4FDE18E0">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084480A0">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59A2E536">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797F9974">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3C821298">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0CBF7089">
            <w:pPr>
              <w:rPr>
                <w:sz w:val="27"/>
              </w:rPr>
            </w:pPr>
          </w:p>
        </w:tc>
      </w:tr>
      <w:tr w14:paraId="530C9CA2">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7E4659B3">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3268F3D2">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4BD3EB84">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1A7FD3C2">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22329340">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04CEE2BA">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66EEDF2F">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21D4BC3F">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65E515F6">
            <w:pPr>
              <w:rPr>
                <w:sz w:val="27"/>
              </w:rPr>
            </w:pPr>
          </w:p>
        </w:tc>
      </w:tr>
      <w:tr w14:paraId="17A501A6">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6912D61F">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5BA4B32C">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64B89FA8">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3E67D0C3">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0945F5A4">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725FAEB5">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28F3585A">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32A04980">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0145C339">
            <w:pPr>
              <w:rPr>
                <w:sz w:val="27"/>
              </w:rPr>
            </w:pPr>
          </w:p>
        </w:tc>
      </w:tr>
      <w:tr w14:paraId="463B340E">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400109AF">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523DE73D">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706941C6">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37CB62B3">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70258A4E">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528A0F4F">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4C276ADA">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3FC30E10">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1F858C18">
            <w:pPr>
              <w:rPr>
                <w:sz w:val="27"/>
              </w:rPr>
            </w:pPr>
          </w:p>
        </w:tc>
      </w:tr>
      <w:tr w14:paraId="37443D58">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251F82C8">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1D3714D6">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12561786">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1A6BDA9E">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68A87E5B">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0C6C355B">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7C4BAC6E">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0F162A07">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5884A2E6">
            <w:pPr>
              <w:rPr>
                <w:sz w:val="27"/>
              </w:rPr>
            </w:pPr>
          </w:p>
        </w:tc>
      </w:tr>
      <w:tr w14:paraId="15E81EDE">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362FC0A4">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07E46C4B">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6515B8B6">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4CDE7B9C">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64B81D13">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42C43E91">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7699261E">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4501E695">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72BAD7AB">
            <w:pPr>
              <w:rPr>
                <w:sz w:val="27"/>
              </w:rPr>
            </w:pPr>
          </w:p>
        </w:tc>
      </w:tr>
      <w:tr w14:paraId="2464F749">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7D5786BF">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61FA0B05">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5C0B7393">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77679DF5">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42B5CA30">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002780AF">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5B8AE961">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460F9326">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2A8D5266">
            <w:pPr>
              <w:rPr>
                <w:sz w:val="27"/>
              </w:rPr>
            </w:pPr>
          </w:p>
        </w:tc>
      </w:tr>
      <w:tr w14:paraId="407D1825">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7831B310">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1347FBFE">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0E0F4B7B">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3D423316">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2E17CC2D">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05BEE886">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258AE0E9">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4DEF29B4">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5C3C362A">
            <w:pPr>
              <w:rPr>
                <w:sz w:val="27"/>
              </w:rPr>
            </w:pPr>
          </w:p>
        </w:tc>
      </w:tr>
      <w:tr w14:paraId="0EDCDD03">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0AA8ECB6">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3548761F">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5DF397F6">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7800A32C">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1DD09E78">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192FC0C2">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1C6EAF29">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6EABCB9B">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2500DD6F">
            <w:pPr>
              <w:rPr>
                <w:sz w:val="27"/>
              </w:rPr>
            </w:pPr>
          </w:p>
        </w:tc>
      </w:tr>
      <w:tr w14:paraId="21607483">
        <w:tblPrEx>
          <w:tblW w:w="0" w:type="auto"/>
          <w:jc w:val="center"/>
          <w:tblLayout w:type="fixed"/>
          <w:tblCellMar>
            <w:top w:w="0" w:type="dxa"/>
            <w:left w:w="108" w:type="dxa"/>
            <w:bottom w:w="0" w:type="dxa"/>
            <w:right w:w="108" w:type="dxa"/>
          </w:tblCellMar>
        </w:tblPrEx>
        <w:trPr>
          <w:jc w:val="center"/>
        </w:trPr>
        <w:tc>
          <w:tcPr>
            <w:tcW w:w="829" w:type="dxa"/>
            <w:tcBorders>
              <w:top w:val="single" w:sz="2" w:space="0" w:color="auto"/>
              <w:left w:val="single" w:sz="2" w:space="0" w:color="auto"/>
              <w:bottom w:val="single" w:sz="2" w:space="0" w:color="auto"/>
              <w:right w:val="single" w:sz="2" w:space="0" w:color="auto"/>
            </w:tcBorders>
            <w:vAlign w:val="center"/>
          </w:tcPr>
          <w:p w14:paraId="79F0CB43">
            <w:pPr>
              <w:rPr>
                <w:sz w:val="27"/>
              </w:rPr>
            </w:pPr>
          </w:p>
        </w:tc>
        <w:tc>
          <w:tcPr>
            <w:tcW w:w="1066" w:type="dxa"/>
            <w:tcBorders>
              <w:top w:val="single" w:sz="2" w:space="0" w:color="auto"/>
              <w:left w:val="single" w:sz="2" w:space="0" w:color="auto"/>
              <w:bottom w:val="single" w:sz="2" w:space="0" w:color="auto"/>
              <w:right w:val="single" w:sz="2" w:space="0" w:color="auto"/>
            </w:tcBorders>
            <w:vAlign w:val="center"/>
          </w:tcPr>
          <w:p w14:paraId="0C9CBEE1">
            <w:pPr>
              <w:rPr>
                <w:sz w:val="27"/>
              </w:rPr>
            </w:pPr>
          </w:p>
        </w:tc>
        <w:tc>
          <w:tcPr>
            <w:tcW w:w="733" w:type="dxa"/>
            <w:tcBorders>
              <w:top w:val="single" w:sz="2" w:space="0" w:color="auto"/>
              <w:left w:val="single" w:sz="2" w:space="0" w:color="auto"/>
              <w:bottom w:val="single" w:sz="2" w:space="0" w:color="auto"/>
              <w:right w:val="single" w:sz="2" w:space="0" w:color="auto"/>
            </w:tcBorders>
            <w:vAlign w:val="center"/>
          </w:tcPr>
          <w:p w14:paraId="41709908">
            <w:pPr>
              <w:rPr>
                <w:sz w:val="27"/>
              </w:rPr>
            </w:pPr>
          </w:p>
        </w:tc>
        <w:tc>
          <w:tcPr>
            <w:tcW w:w="720" w:type="dxa"/>
            <w:tcBorders>
              <w:top w:val="single" w:sz="2" w:space="0" w:color="auto"/>
              <w:left w:val="single" w:sz="2" w:space="0" w:color="auto"/>
              <w:bottom w:val="single" w:sz="2" w:space="0" w:color="auto"/>
              <w:right w:val="single" w:sz="2" w:space="0" w:color="auto"/>
            </w:tcBorders>
            <w:vAlign w:val="center"/>
          </w:tcPr>
          <w:p w14:paraId="70B76843">
            <w:pPr>
              <w:rPr>
                <w:sz w:val="27"/>
              </w:rPr>
            </w:pPr>
          </w:p>
        </w:tc>
        <w:tc>
          <w:tcPr>
            <w:tcW w:w="1080" w:type="dxa"/>
            <w:tcBorders>
              <w:top w:val="single" w:sz="2" w:space="0" w:color="auto"/>
              <w:left w:val="single" w:sz="2" w:space="0" w:color="auto"/>
              <w:bottom w:val="single" w:sz="2" w:space="0" w:color="auto"/>
              <w:right w:val="single" w:sz="2" w:space="0" w:color="auto"/>
            </w:tcBorders>
            <w:vAlign w:val="center"/>
          </w:tcPr>
          <w:p w14:paraId="151D245A">
            <w:pPr>
              <w:rPr>
                <w:sz w:val="27"/>
              </w:rPr>
            </w:pPr>
          </w:p>
        </w:tc>
        <w:tc>
          <w:tcPr>
            <w:tcW w:w="898" w:type="dxa"/>
            <w:tcBorders>
              <w:top w:val="single" w:sz="2" w:space="0" w:color="auto"/>
              <w:left w:val="single" w:sz="2" w:space="0" w:color="auto"/>
              <w:bottom w:val="single" w:sz="2" w:space="0" w:color="auto"/>
              <w:right w:val="single" w:sz="2" w:space="0" w:color="auto"/>
            </w:tcBorders>
            <w:vAlign w:val="center"/>
          </w:tcPr>
          <w:p w14:paraId="77DAAEA1">
            <w:pPr>
              <w:rPr>
                <w:sz w:val="27"/>
              </w:rPr>
            </w:pPr>
          </w:p>
        </w:tc>
        <w:tc>
          <w:tcPr>
            <w:tcW w:w="1084" w:type="dxa"/>
            <w:tcBorders>
              <w:top w:val="single" w:sz="2" w:space="0" w:color="auto"/>
              <w:left w:val="single" w:sz="2" w:space="0" w:color="auto"/>
              <w:bottom w:val="single" w:sz="2" w:space="0" w:color="auto"/>
              <w:right w:val="single" w:sz="2" w:space="0" w:color="auto"/>
            </w:tcBorders>
            <w:vAlign w:val="center"/>
          </w:tcPr>
          <w:p w14:paraId="3939E24B">
            <w:pPr>
              <w:rPr>
                <w:sz w:val="27"/>
              </w:rPr>
            </w:pPr>
          </w:p>
        </w:tc>
        <w:tc>
          <w:tcPr>
            <w:tcW w:w="1429" w:type="dxa"/>
            <w:tcBorders>
              <w:top w:val="single" w:sz="2" w:space="0" w:color="auto"/>
              <w:left w:val="single" w:sz="2" w:space="0" w:color="auto"/>
              <w:bottom w:val="single" w:sz="2" w:space="0" w:color="auto"/>
              <w:right w:val="single" w:sz="2" w:space="0" w:color="auto"/>
            </w:tcBorders>
            <w:vAlign w:val="center"/>
          </w:tcPr>
          <w:p w14:paraId="6AC16DC3">
            <w:pPr>
              <w:rPr>
                <w:sz w:val="27"/>
              </w:rPr>
            </w:pPr>
          </w:p>
        </w:tc>
        <w:tc>
          <w:tcPr>
            <w:tcW w:w="808" w:type="dxa"/>
            <w:tcBorders>
              <w:top w:val="single" w:sz="2" w:space="0" w:color="auto"/>
              <w:left w:val="single" w:sz="2" w:space="0" w:color="auto"/>
              <w:bottom w:val="single" w:sz="2" w:space="0" w:color="auto"/>
              <w:right w:val="single" w:sz="2" w:space="0" w:color="auto"/>
            </w:tcBorders>
            <w:vAlign w:val="center"/>
          </w:tcPr>
          <w:p w14:paraId="777EF270">
            <w:pPr>
              <w:rPr>
                <w:sz w:val="27"/>
              </w:rPr>
            </w:pPr>
          </w:p>
        </w:tc>
      </w:tr>
    </w:tbl>
    <w:p w14:paraId="676D24FC">
      <w:pPr>
        <w:rPr>
          <w:kern w:val="2"/>
          <w:sz w:val="27"/>
          <w:szCs w:val="22"/>
        </w:rPr>
      </w:pPr>
    </w:p>
    <w:p w14:paraId="250D8570">
      <w:pPr>
        <w:rPr>
          <w:rFonts w:ascii="宋体" w:hAnsi="宋体"/>
          <w:sz w:val="27"/>
        </w:rPr>
      </w:pPr>
      <w:r>
        <w:rPr>
          <w:rFonts w:ascii="宋体" w:hAnsi="宋体" w:hint="eastAsia"/>
          <w:sz w:val="27"/>
        </w:rPr>
        <w:br w:type="page"/>
      </w:r>
    </w:p>
    <w:p w14:paraId="73423B9A">
      <w:pPr>
        <w:spacing w:line="36" w:lineRule="auto"/>
        <w:rPr>
          <w:rFonts w:ascii="宋体" w:hAnsi="宋体"/>
          <w:sz w:val="27"/>
        </w:rPr>
      </w:pPr>
    </w:p>
    <w:p w14:paraId="5ECCE0C7">
      <w:pPr>
        <w:pStyle w:val="Heading3"/>
        <w:spacing w:line="36" w:lineRule="auto"/>
        <w:rPr>
          <w:rFonts w:ascii="宋体" w:hAnsi="宋体"/>
          <w:sz w:val="27"/>
        </w:rPr>
      </w:pPr>
      <w:bookmarkStart w:id="1532" w:name="_Toc256000101"/>
      <w:r>
        <w:rPr>
          <w:rFonts w:ascii="宋体" w:hAnsi="宋体" w:hint="eastAsia"/>
          <w:sz w:val="27"/>
        </w:rPr>
        <w:t>附表三：劳动力计划表</w:t>
      </w:r>
      <w:bookmarkEnd w:id="1532"/>
    </w:p>
    <w:p w14:paraId="6F7EF731">
      <w:pPr>
        <w:spacing w:line="36" w:lineRule="auto"/>
        <w:jc w:val="center"/>
        <w:rPr>
          <w:rFonts w:ascii="宋体" w:hAnsi="宋体"/>
          <w:b/>
          <w:sz w:val="27"/>
        </w:rPr>
      </w:pPr>
      <w:r>
        <w:rPr>
          <w:rFonts w:ascii="宋体" w:hAnsi="宋体" w:hint="eastAsia"/>
          <w:b/>
          <w:sz w:val="27"/>
        </w:rPr>
        <w:t xml:space="preserve">                                             单位：人</w:t>
      </w:r>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1069"/>
        <w:gridCol w:w="1066"/>
        <w:gridCol w:w="1065"/>
        <w:gridCol w:w="1060"/>
        <w:gridCol w:w="1066"/>
        <w:gridCol w:w="1065"/>
        <w:gridCol w:w="1066"/>
        <w:gridCol w:w="1066"/>
      </w:tblGrid>
      <w:tr w14:paraId="6882EF8C">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728"/>
        </w:trPr>
        <w:tc>
          <w:tcPr>
            <w:tcW w:w="1069" w:type="dxa"/>
            <w:tcBorders>
              <w:top w:val="single" w:sz="2" w:space="0" w:color="auto"/>
              <w:left w:val="single" w:sz="2" w:space="0" w:color="auto"/>
              <w:bottom w:val="single" w:sz="2" w:space="0" w:color="auto"/>
              <w:right w:val="single" w:sz="2" w:space="0" w:color="auto"/>
            </w:tcBorders>
            <w:vAlign w:val="center"/>
          </w:tcPr>
          <w:p w14:paraId="411AA8F5">
            <w:r>
              <w:rPr>
                <w:rFonts w:hint="eastAsia"/>
              </w:rPr>
              <w:t>工种</w:t>
            </w:r>
          </w:p>
        </w:tc>
        <w:tc>
          <w:tcPr>
            <w:tcW w:w="7454" w:type="dxa"/>
            <w:gridSpan w:val="7"/>
            <w:tcBorders>
              <w:top w:val="single" w:sz="2" w:space="0" w:color="auto"/>
              <w:left w:val="single" w:sz="2" w:space="0" w:color="auto"/>
              <w:bottom w:val="single" w:sz="2" w:space="0" w:color="auto"/>
              <w:right w:val="single" w:sz="2" w:space="0" w:color="auto"/>
            </w:tcBorders>
            <w:vAlign w:val="center"/>
          </w:tcPr>
          <w:p w14:paraId="390100D8">
            <w:pPr>
              <w:rPr>
                <w:lang w:eastAsia="zh-CN"/>
              </w:rPr>
            </w:pPr>
            <w:r>
              <w:rPr>
                <w:rFonts w:hint="eastAsia"/>
                <w:lang w:eastAsia="zh-CN"/>
              </w:rPr>
              <w:t>按工程施工阶段投入劳动力情况</w:t>
            </w:r>
          </w:p>
        </w:tc>
      </w:tr>
      <w:tr w14:paraId="14CDC6B2">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2EC5BE08">
            <w:pPr>
              <w:rPr>
                <w:sz w:val="27"/>
                <w:szCs w:val="22"/>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00AC0FD4">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668ECBC3">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6741811D">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2903FDE1">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038A48ED">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2F498F20">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0844BCE7">
            <w:pPr>
              <w:rPr>
                <w:sz w:val="27"/>
                <w:lang w:eastAsia="zh-CN"/>
              </w:rPr>
            </w:pPr>
          </w:p>
        </w:tc>
      </w:tr>
      <w:tr w14:paraId="5E8C0F26">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43B90E36">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38D5538F">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789A174D">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091C015B">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6D8964D7">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4395C68C">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6FAFFAB4">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66013113">
            <w:pPr>
              <w:rPr>
                <w:sz w:val="27"/>
                <w:lang w:eastAsia="zh-CN"/>
              </w:rPr>
            </w:pPr>
          </w:p>
        </w:tc>
      </w:tr>
      <w:tr w14:paraId="47427C0C">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42AE2511">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766AF9F4">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01FCE42F">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786C3237">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6F218883">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27E41A5D">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4F7FEAA9">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6DED6597">
            <w:pPr>
              <w:rPr>
                <w:sz w:val="27"/>
                <w:lang w:eastAsia="zh-CN"/>
              </w:rPr>
            </w:pPr>
          </w:p>
        </w:tc>
      </w:tr>
      <w:tr w14:paraId="51674552">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64190FC9">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376A6BF5">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538F53C2">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6E9B1B68">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318D5CB8">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5D6486BC">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50F1EA75">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15D9C937">
            <w:pPr>
              <w:rPr>
                <w:sz w:val="27"/>
                <w:lang w:eastAsia="zh-CN"/>
              </w:rPr>
            </w:pPr>
          </w:p>
        </w:tc>
      </w:tr>
      <w:tr w14:paraId="465AAD83">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657A79CE">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6A8E2DC7">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0565F577">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648E10DF">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1EA4CD7A">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4E1912CC">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6F51C074">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4877D94B">
            <w:pPr>
              <w:rPr>
                <w:sz w:val="27"/>
                <w:lang w:eastAsia="zh-CN"/>
              </w:rPr>
            </w:pPr>
          </w:p>
        </w:tc>
      </w:tr>
      <w:tr w14:paraId="4C5B9F27">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44E3D4B4">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75137D1C">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5677B5F5">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6D79DEC7">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6FBD5B15">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207DD1EA">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10A59F78">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0906E729">
            <w:pPr>
              <w:rPr>
                <w:sz w:val="27"/>
                <w:lang w:eastAsia="zh-CN"/>
              </w:rPr>
            </w:pPr>
          </w:p>
        </w:tc>
      </w:tr>
      <w:tr w14:paraId="4AD37953">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0F61E1A9">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6391157F">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4ABB1267">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5A163073">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48671B7B">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6E6E1A48">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04F2E659">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317F68BB">
            <w:pPr>
              <w:rPr>
                <w:sz w:val="27"/>
                <w:lang w:eastAsia="zh-CN"/>
              </w:rPr>
            </w:pPr>
          </w:p>
        </w:tc>
      </w:tr>
      <w:tr w14:paraId="609EA435">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492B6E1D">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3E47C415">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79559BF6">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682391E0">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10957924">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235358F8">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2337122D">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5B89BBDB">
            <w:pPr>
              <w:rPr>
                <w:sz w:val="27"/>
                <w:lang w:eastAsia="zh-CN"/>
              </w:rPr>
            </w:pPr>
          </w:p>
        </w:tc>
      </w:tr>
      <w:tr w14:paraId="39E80D2D">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73BED7A8">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285D5F8F">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178DD7E9">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02D115A0">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1D7AB283">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3FFFF1C9">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0FE1B437">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4A84664C">
            <w:pPr>
              <w:rPr>
                <w:sz w:val="27"/>
                <w:lang w:eastAsia="zh-CN"/>
              </w:rPr>
            </w:pPr>
          </w:p>
        </w:tc>
      </w:tr>
      <w:tr w14:paraId="1EBAF823">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05049EBE">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0A231829">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0030E5BA">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4A7FE8EB">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0D4B28E2">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4C7E8F6B">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040B2255">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09970B25">
            <w:pPr>
              <w:rPr>
                <w:sz w:val="27"/>
                <w:lang w:eastAsia="zh-CN"/>
              </w:rPr>
            </w:pPr>
          </w:p>
        </w:tc>
      </w:tr>
      <w:tr w14:paraId="1E1FEE27">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5258834D">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4D433EC1">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7F3C26C6">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25D41FF9">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7D70C2CC">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033A4288">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51745C42">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752E4B9B">
            <w:pPr>
              <w:rPr>
                <w:sz w:val="27"/>
                <w:lang w:eastAsia="zh-CN"/>
              </w:rPr>
            </w:pPr>
          </w:p>
        </w:tc>
      </w:tr>
      <w:tr w14:paraId="7E9F5632">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3A6635E5">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41E42D51">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17F9030B">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3AFFD966">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7EF0FBFD">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4A3EE54E">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2558C759">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3231EF24">
            <w:pPr>
              <w:rPr>
                <w:sz w:val="27"/>
                <w:lang w:eastAsia="zh-CN"/>
              </w:rPr>
            </w:pPr>
          </w:p>
        </w:tc>
      </w:tr>
      <w:tr w14:paraId="7121422E">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30FE5A08">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76297EFC">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1443FB0B">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5B661BBE">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51F4D9B8">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412AD622">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4069CFBD">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6993F61C">
            <w:pPr>
              <w:rPr>
                <w:sz w:val="27"/>
                <w:lang w:eastAsia="zh-CN"/>
              </w:rPr>
            </w:pPr>
          </w:p>
        </w:tc>
      </w:tr>
      <w:tr w14:paraId="65B25F1A">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34768E86">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44801136">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2AC93D2E">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5BCEF69A">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5E002AC8">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0FB9C743">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22E5E7E8">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18F38740">
            <w:pPr>
              <w:rPr>
                <w:sz w:val="27"/>
                <w:lang w:eastAsia="zh-CN"/>
              </w:rPr>
            </w:pPr>
          </w:p>
        </w:tc>
      </w:tr>
      <w:tr w14:paraId="68B74234">
        <w:tblPrEx>
          <w:tblW w:w="0" w:type="auto"/>
          <w:tblInd w:w="0" w:type="dxa"/>
          <w:tblLayout w:type="fixed"/>
          <w:tblCellMar>
            <w:top w:w="0" w:type="dxa"/>
            <w:left w:w="108" w:type="dxa"/>
            <w:bottom w:w="0" w:type="dxa"/>
            <w:right w:w="108" w:type="dxa"/>
          </w:tblCellMar>
        </w:tblPrEx>
        <w:tc>
          <w:tcPr>
            <w:tcW w:w="1069" w:type="dxa"/>
            <w:tcBorders>
              <w:top w:val="single" w:sz="2" w:space="0" w:color="auto"/>
              <w:left w:val="single" w:sz="2" w:space="0" w:color="auto"/>
              <w:bottom w:val="single" w:sz="2" w:space="0" w:color="auto"/>
              <w:right w:val="single" w:sz="2" w:space="0" w:color="auto"/>
            </w:tcBorders>
            <w:vAlign w:val="center"/>
          </w:tcPr>
          <w:p w14:paraId="7F4141F9">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54C1ECA9">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7D793662">
            <w:pPr>
              <w:rPr>
                <w:sz w:val="27"/>
                <w:lang w:eastAsia="zh-CN"/>
              </w:rPr>
            </w:pPr>
          </w:p>
        </w:tc>
        <w:tc>
          <w:tcPr>
            <w:tcW w:w="1060" w:type="dxa"/>
            <w:tcBorders>
              <w:top w:val="single" w:sz="2" w:space="0" w:color="auto"/>
              <w:left w:val="single" w:sz="2" w:space="0" w:color="auto"/>
              <w:bottom w:val="single" w:sz="2" w:space="0" w:color="auto"/>
              <w:right w:val="single" w:sz="2" w:space="0" w:color="auto"/>
            </w:tcBorders>
            <w:vAlign w:val="center"/>
          </w:tcPr>
          <w:p w14:paraId="7C19B1B2">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5A3EFF97">
            <w:pPr>
              <w:rPr>
                <w:sz w:val="27"/>
                <w:lang w:eastAsia="zh-CN"/>
              </w:rPr>
            </w:pPr>
          </w:p>
        </w:tc>
        <w:tc>
          <w:tcPr>
            <w:tcW w:w="1065" w:type="dxa"/>
            <w:tcBorders>
              <w:top w:val="single" w:sz="2" w:space="0" w:color="auto"/>
              <w:left w:val="single" w:sz="2" w:space="0" w:color="auto"/>
              <w:bottom w:val="single" w:sz="2" w:space="0" w:color="auto"/>
              <w:right w:val="single" w:sz="2" w:space="0" w:color="auto"/>
            </w:tcBorders>
            <w:vAlign w:val="center"/>
          </w:tcPr>
          <w:p w14:paraId="25294F1E">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72C084E6">
            <w:pPr>
              <w:rPr>
                <w:sz w:val="27"/>
                <w:lang w:eastAsia="zh-CN"/>
              </w:rPr>
            </w:pPr>
          </w:p>
        </w:tc>
        <w:tc>
          <w:tcPr>
            <w:tcW w:w="1066" w:type="dxa"/>
            <w:tcBorders>
              <w:top w:val="single" w:sz="2" w:space="0" w:color="auto"/>
              <w:left w:val="single" w:sz="2" w:space="0" w:color="auto"/>
              <w:bottom w:val="single" w:sz="2" w:space="0" w:color="auto"/>
              <w:right w:val="single" w:sz="2" w:space="0" w:color="auto"/>
            </w:tcBorders>
            <w:vAlign w:val="center"/>
          </w:tcPr>
          <w:p w14:paraId="3E3EF5A7">
            <w:pPr>
              <w:rPr>
                <w:sz w:val="27"/>
                <w:lang w:eastAsia="zh-CN"/>
              </w:rPr>
            </w:pPr>
          </w:p>
        </w:tc>
      </w:tr>
    </w:tbl>
    <w:p w14:paraId="1D553260">
      <w:pPr>
        <w:rPr>
          <w:kern w:val="2"/>
          <w:sz w:val="27"/>
          <w:szCs w:val="22"/>
          <w:lang w:eastAsia="zh-CN"/>
        </w:rPr>
      </w:pPr>
    </w:p>
    <w:p w14:paraId="16F34C32">
      <w:pPr>
        <w:rPr>
          <w:rFonts w:ascii="宋体" w:hAnsi="宋体"/>
          <w:sz w:val="27"/>
          <w:lang w:eastAsia="zh-CN"/>
        </w:rPr>
      </w:pPr>
      <w:r>
        <w:rPr>
          <w:rFonts w:ascii="宋体" w:hAnsi="宋体" w:hint="eastAsia"/>
          <w:sz w:val="27"/>
          <w:lang w:eastAsia="zh-CN"/>
        </w:rPr>
        <w:br w:type="page"/>
      </w:r>
    </w:p>
    <w:p w14:paraId="29F25861">
      <w:pPr>
        <w:spacing w:line="36" w:lineRule="auto"/>
        <w:rPr>
          <w:rFonts w:ascii="宋体" w:hAnsi="宋体"/>
          <w:sz w:val="27"/>
          <w:lang w:eastAsia="zh-CN"/>
        </w:rPr>
      </w:pPr>
    </w:p>
    <w:p w14:paraId="55226965">
      <w:pPr>
        <w:pStyle w:val="Heading3"/>
        <w:spacing w:line="36" w:lineRule="auto"/>
        <w:rPr>
          <w:rFonts w:ascii="宋体" w:hAnsi="宋体"/>
          <w:sz w:val="27"/>
        </w:rPr>
      </w:pPr>
      <w:bookmarkStart w:id="1533" w:name="_Toc256000102"/>
      <w:r>
        <w:rPr>
          <w:rFonts w:ascii="宋体" w:hAnsi="宋体" w:hint="eastAsia"/>
          <w:sz w:val="27"/>
        </w:rPr>
        <w:t>附表四：计划开、竣工日期和施工进度网络图</w:t>
      </w:r>
      <w:bookmarkEnd w:id="1533"/>
    </w:p>
    <w:p w14:paraId="76AAF627">
      <w:pPr>
        <w:spacing w:line="36" w:lineRule="auto"/>
        <w:rPr>
          <w:rFonts w:ascii="宋体" w:hAnsi="宋体"/>
          <w:sz w:val="27"/>
          <w:lang w:eastAsia="zh-CN"/>
        </w:rPr>
      </w:pPr>
    </w:p>
    <w:p w14:paraId="3C4F0A7E">
      <w:pPr>
        <w:spacing w:line="360" w:lineRule="auto"/>
        <w:rPr>
          <w:rFonts w:ascii="宋体" w:hAnsi="宋体"/>
          <w:lang w:eastAsia="zh-CN"/>
        </w:rPr>
      </w:pPr>
      <w:r>
        <w:rPr>
          <w:lang w:eastAsia="zh-CN"/>
        </w:rPr>
        <w:t xml:space="preserve">    </w:t>
      </w:r>
      <w:r>
        <w:rPr>
          <w:rFonts w:ascii="宋体" w:hAnsi="宋体" w:hint="eastAsia"/>
          <w:lang w:eastAsia="zh-CN"/>
        </w:rPr>
        <w:t>1.投标人应递交施工进度网络图或施工进度表，说明按招标文件要求的计划工期进行施工的各个关键日期。</w:t>
      </w:r>
    </w:p>
    <w:p w14:paraId="43C34676">
      <w:pPr>
        <w:spacing w:line="360" w:lineRule="auto"/>
        <w:ind w:firstLine="480"/>
        <w:rPr>
          <w:rFonts w:ascii="宋体" w:hAnsi="宋体"/>
          <w:lang w:eastAsia="zh-CN"/>
        </w:rPr>
      </w:pPr>
      <w:r>
        <w:rPr>
          <w:rFonts w:ascii="宋体" w:hAnsi="宋体" w:hint="eastAsia"/>
          <w:lang w:eastAsia="zh-CN"/>
        </w:rPr>
        <w:t>2. 施工进度表可采用网络图（或横道图）表示。</w:t>
      </w:r>
    </w:p>
    <w:p w14:paraId="2FDC5D44">
      <w:pPr>
        <w:spacing w:line="360" w:lineRule="auto"/>
        <w:ind w:firstLine="480"/>
        <w:rPr>
          <w:rFonts w:ascii="宋体" w:hAnsi="宋体"/>
          <w:lang w:eastAsia="zh-CN"/>
        </w:rPr>
      </w:pPr>
    </w:p>
    <w:p w14:paraId="702AC780">
      <w:pPr>
        <w:spacing w:line="360" w:lineRule="auto"/>
        <w:ind w:firstLine="480"/>
        <w:rPr>
          <w:rFonts w:ascii="宋体" w:hAnsi="宋体"/>
          <w:lang w:eastAsia="zh-CN"/>
        </w:rPr>
      </w:pPr>
    </w:p>
    <w:p w14:paraId="5B9C0B2E">
      <w:pPr>
        <w:pStyle w:val="Heading3"/>
        <w:spacing w:line="36" w:lineRule="auto"/>
        <w:rPr>
          <w:rFonts w:ascii="宋体" w:hAnsi="宋体"/>
          <w:sz w:val="27"/>
        </w:rPr>
      </w:pPr>
      <w:bookmarkStart w:id="1534" w:name="_Toc256000103"/>
      <w:r>
        <w:rPr>
          <w:rFonts w:ascii="宋体" w:hAnsi="宋体" w:hint="eastAsia"/>
          <w:sz w:val="27"/>
        </w:rPr>
        <w:t>附表五：施工总平面图</w:t>
      </w:r>
      <w:bookmarkEnd w:id="1534"/>
    </w:p>
    <w:p w14:paraId="3E1436A7">
      <w:pPr>
        <w:spacing w:line="360" w:lineRule="auto"/>
        <w:ind w:firstLine="450"/>
        <w:rPr>
          <w:rFonts w:ascii="宋体" w:hAnsi="宋体"/>
          <w:lang w:eastAsia="zh-CN"/>
        </w:rPr>
      </w:pPr>
      <w:r>
        <w:rPr>
          <w:rFonts w:ascii="宋体" w:hAnsi="宋体" w:hint="eastAsia"/>
          <w:lang w:eastAsia="zh-CN"/>
        </w:rPr>
        <w:t>投标人应递交一份施工总平面图，绘出现场临时设施布置图表并附文字说明，说明临时设施、加工车间、现场办公、设备及仓储、供电、供水、卫生、生活、道路、消防等设施的情况和布置。</w:t>
      </w:r>
    </w:p>
    <w:p w14:paraId="722FCC08">
      <w:pPr>
        <w:spacing w:line="360" w:lineRule="auto"/>
        <w:ind w:firstLine="450"/>
        <w:rPr>
          <w:rFonts w:ascii="宋体" w:hAnsi="宋体"/>
          <w:lang w:eastAsia="zh-CN"/>
        </w:rPr>
      </w:pPr>
    </w:p>
    <w:p w14:paraId="52DA0736">
      <w:pPr>
        <w:rPr>
          <w:rFonts w:ascii="宋体" w:hAnsi="宋体"/>
          <w:lang w:eastAsia="zh-CN"/>
        </w:rPr>
      </w:pPr>
      <w:r>
        <w:rPr>
          <w:rFonts w:ascii="宋体" w:hAnsi="宋体" w:hint="eastAsia"/>
          <w:lang w:eastAsia="zh-CN"/>
        </w:rPr>
        <w:br w:type="page"/>
      </w:r>
    </w:p>
    <w:p w14:paraId="344C8C4C">
      <w:pPr>
        <w:spacing w:line="360" w:lineRule="auto"/>
        <w:ind w:firstLine="450"/>
        <w:rPr>
          <w:rFonts w:ascii="宋体" w:hAnsi="宋体"/>
          <w:lang w:eastAsia="zh-CN"/>
        </w:rPr>
      </w:pPr>
    </w:p>
    <w:p w14:paraId="087BAC71">
      <w:pPr>
        <w:pStyle w:val="Heading3"/>
        <w:spacing w:line="36" w:lineRule="auto"/>
        <w:rPr>
          <w:rFonts w:ascii="宋体" w:hAnsi="宋体"/>
          <w:sz w:val="27"/>
        </w:rPr>
      </w:pPr>
      <w:bookmarkStart w:id="1535" w:name="_Toc256000104"/>
      <w:r>
        <w:rPr>
          <w:rFonts w:ascii="宋体" w:hAnsi="宋体" w:hint="eastAsia"/>
          <w:sz w:val="27"/>
        </w:rPr>
        <w:t>附表六：临时用地表</w:t>
      </w:r>
      <w:bookmarkEnd w:id="1535"/>
    </w:p>
    <w:p w14:paraId="3A94F50B">
      <w:pPr>
        <w:spacing w:line="36" w:lineRule="auto"/>
        <w:rPr>
          <w:rFonts w:ascii="宋体" w:hAnsi="宋体"/>
          <w:sz w:val="27"/>
        </w:rPr>
      </w:pP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2131"/>
        <w:gridCol w:w="2131"/>
        <w:gridCol w:w="2131"/>
        <w:gridCol w:w="2131"/>
      </w:tblGrid>
      <w:tr w14:paraId="268E01B6">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749"/>
          <w:jc w:val="center"/>
        </w:trPr>
        <w:tc>
          <w:tcPr>
            <w:tcW w:w="2131" w:type="dxa"/>
            <w:tcBorders>
              <w:top w:val="single" w:sz="2" w:space="0" w:color="auto"/>
              <w:left w:val="single" w:sz="2" w:space="0" w:color="auto"/>
              <w:bottom w:val="single" w:sz="2" w:space="0" w:color="auto"/>
              <w:right w:val="single" w:sz="2" w:space="0" w:color="auto"/>
            </w:tcBorders>
            <w:vAlign w:val="center"/>
          </w:tcPr>
          <w:p w14:paraId="28649880">
            <w:r>
              <w:rPr>
                <w:rFonts w:hint="eastAsia"/>
              </w:rPr>
              <w:t>用途</w:t>
            </w:r>
          </w:p>
        </w:tc>
        <w:tc>
          <w:tcPr>
            <w:tcW w:w="2131" w:type="dxa"/>
            <w:tcBorders>
              <w:top w:val="single" w:sz="2" w:space="0" w:color="auto"/>
              <w:left w:val="single" w:sz="2" w:space="0" w:color="auto"/>
              <w:bottom w:val="single" w:sz="2" w:space="0" w:color="auto"/>
              <w:right w:val="single" w:sz="2" w:space="0" w:color="auto"/>
            </w:tcBorders>
            <w:vAlign w:val="center"/>
          </w:tcPr>
          <w:p w14:paraId="163D53B0">
            <w:r>
              <w:rPr>
                <w:rFonts w:hint="eastAsia"/>
              </w:rPr>
              <w:t>面积（平方米）</w:t>
            </w:r>
          </w:p>
        </w:tc>
        <w:tc>
          <w:tcPr>
            <w:tcW w:w="2131" w:type="dxa"/>
            <w:tcBorders>
              <w:top w:val="single" w:sz="2" w:space="0" w:color="auto"/>
              <w:left w:val="single" w:sz="2" w:space="0" w:color="auto"/>
              <w:bottom w:val="single" w:sz="2" w:space="0" w:color="auto"/>
              <w:right w:val="single" w:sz="2" w:space="0" w:color="auto"/>
            </w:tcBorders>
            <w:vAlign w:val="center"/>
          </w:tcPr>
          <w:p w14:paraId="785F25C1">
            <w:r>
              <w:rPr>
                <w:rFonts w:hint="eastAsia"/>
              </w:rPr>
              <w:t>位置</w:t>
            </w:r>
          </w:p>
        </w:tc>
        <w:tc>
          <w:tcPr>
            <w:tcW w:w="2131" w:type="dxa"/>
            <w:tcBorders>
              <w:top w:val="single" w:sz="2" w:space="0" w:color="auto"/>
              <w:left w:val="single" w:sz="2" w:space="0" w:color="auto"/>
              <w:bottom w:val="single" w:sz="2" w:space="0" w:color="auto"/>
              <w:right w:val="single" w:sz="2" w:space="0" w:color="auto"/>
            </w:tcBorders>
            <w:vAlign w:val="center"/>
          </w:tcPr>
          <w:p w14:paraId="5F99C7D8">
            <w:r>
              <w:rPr>
                <w:rFonts w:hint="eastAsia"/>
              </w:rPr>
              <w:t>需用时间</w:t>
            </w:r>
          </w:p>
        </w:tc>
      </w:tr>
      <w:tr w14:paraId="015B7FAB">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4DB5A05D">
            <w:pPr>
              <w:rPr>
                <w:sz w:val="27"/>
                <w:szCs w:val="22"/>
              </w:rPr>
            </w:pPr>
          </w:p>
        </w:tc>
        <w:tc>
          <w:tcPr>
            <w:tcW w:w="2131" w:type="dxa"/>
            <w:tcBorders>
              <w:top w:val="single" w:sz="2" w:space="0" w:color="auto"/>
              <w:left w:val="single" w:sz="2" w:space="0" w:color="auto"/>
              <w:bottom w:val="single" w:sz="2" w:space="0" w:color="auto"/>
              <w:right w:val="single" w:sz="2" w:space="0" w:color="auto"/>
            </w:tcBorders>
            <w:vAlign w:val="center"/>
          </w:tcPr>
          <w:p w14:paraId="4EE64050">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1BFB39F8">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1311298B">
            <w:pPr>
              <w:rPr>
                <w:sz w:val="27"/>
              </w:rPr>
            </w:pPr>
          </w:p>
        </w:tc>
      </w:tr>
      <w:tr w14:paraId="62654A14">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46B6972F">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4BB3B3CB">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475DA630">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600FE395">
            <w:pPr>
              <w:rPr>
                <w:sz w:val="27"/>
              </w:rPr>
            </w:pPr>
          </w:p>
        </w:tc>
      </w:tr>
      <w:tr w14:paraId="596E2CDD">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424D3E1F">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2F6DA334">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03BD952C">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50AB3C8A">
            <w:pPr>
              <w:rPr>
                <w:sz w:val="27"/>
              </w:rPr>
            </w:pPr>
          </w:p>
        </w:tc>
      </w:tr>
      <w:tr w14:paraId="482CD87E">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1FB8E7F9">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56AAD18E">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15C7B5BE">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394406DC">
            <w:pPr>
              <w:rPr>
                <w:sz w:val="27"/>
              </w:rPr>
            </w:pPr>
          </w:p>
        </w:tc>
      </w:tr>
      <w:tr w14:paraId="7AB9123F">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10DDCFB1">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0EA42834">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750B297D">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5719EDD9">
            <w:pPr>
              <w:rPr>
                <w:sz w:val="27"/>
              </w:rPr>
            </w:pPr>
          </w:p>
        </w:tc>
      </w:tr>
      <w:tr w14:paraId="55AD0D2B">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5642EA66">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1A4259B8">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4E107016">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7AE111B6">
            <w:pPr>
              <w:rPr>
                <w:sz w:val="27"/>
              </w:rPr>
            </w:pPr>
          </w:p>
        </w:tc>
      </w:tr>
      <w:tr w14:paraId="442588F1">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563750F3">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43124DBE">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18640658">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2D35E25E">
            <w:pPr>
              <w:rPr>
                <w:sz w:val="27"/>
              </w:rPr>
            </w:pPr>
          </w:p>
        </w:tc>
      </w:tr>
      <w:tr w14:paraId="7DDBE8F8">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4B0ECD1A">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50431E3A">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2FCCE687">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5656BBF1">
            <w:pPr>
              <w:rPr>
                <w:sz w:val="27"/>
              </w:rPr>
            </w:pPr>
          </w:p>
        </w:tc>
      </w:tr>
      <w:tr w14:paraId="0CB3C33E">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1D1E6173">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370A0AC8">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20BB5CB3">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5CA32853">
            <w:pPr>
              <w:rPr>
                <w:sz w:val="27"/>
              </w:rPr>
            </w:pPr>
          </w:p>
        </w:tc>
      </w:tr>
      <w:tr w14:paraId="6F78B5C7">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23A04230">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52E1419F">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05F2A97A">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77A9F9F6">
            <w:pPr>
              <w:rPr>
                <w:sz w:val="27"/>
              </w:rPr>
            </w:pPr>
          </w:p>
        </w:tc>
      </w:tr>
      <w:tr w14:paraId="2DF29F08">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01765EBE">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1BB1A795">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17ED52FD">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2936C43E">
            <w:pPr>
              <w:rPr>
                <w:sz w:val="27"/>
              </w:rPr>
            </w:pPr>
          </w:p>
        </w:tc>
      </w:tr>
      <w:tr w14:paraId="037733AC">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145078A4">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54865ED6">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17E98C83">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400B1691">
            <w:pPr>
              <w:rPr>
                <w:sz w:val="27"/>
              </w:rPr>
            </w:pPr>
          </w:p>
        </w:tc>
      </w:tr>
      <w:tr w14:paraId="338CC209">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332F53ED">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30821209">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5DE83428">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5054532C">
            <w:pPr>
              <w:rPr>
                <w:sz w:val="27"/>
              </w:rPr>
            </w:pPr>
          </w:p>
        </w:tc>
      </w:tr>
      <w:tr w14:paraId="5F808C9B">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2635F837">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7ECF6EA1">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4F74CDEC">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3535A7FD">
            <w:pPr>
              <w:rPr>
                <w:sz w:val="27"/>
              </w:rPr>
            </w:pPr>
          </w:p>
        </w:tc>
      </w:tr>
      <w:tr w14:paraId="73E8424C">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4E5FA648">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2E453793">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21485E9D">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0192BB35">
            <w:pPr>
              <w:rPr>
                <w:sz w:val="27"/>
              </w:rPr>
            </w:pPr>
          </w:p>
        </w:tc>
      </w:tr>
      <w:tr w14:paraId="50DE7208">
        <w:tblPrEx>
          <w:tblW w:w="0" w:type="auto"/>
          <w:jc w:val="center"/>
          <w:tblLayout w:type="fixed"/>
          <w:tblCellMar>
            <w:top w:w="0" w:type="dxa"/>
            <w:left w:w="108" w:type="dxa"/>
            <w:bottom w:w="0" w:type="dxa"/>
            <w:right w:w="108" w:type="dxa"/>
          </w:tblCellMar>
        </w:tblPrEx>
        <w:trPr>
          <w:jc w:val="center"/>
        </w:trPr>
        <w:tc>
          <w:tcPr>
            <w:tcW w:w="2131" w:type="dxa"/>
            <w:tcBorders>
              <w:top w:val="single" w:sz="2" w:space="0" w:color="auto"/>
              <w:left w:val="single" w:sz="2" w:space="0" w:color="auto"/>
              <w:bottom w:val="single" w:sz="2" w:space="0" w:color="auto"/>
              <w:right w:val="single" w:sz="2" w:space="0" w:color="auto"/>
            </w:tcBorders>
            <w:vAlign w:val="center"/>
          </w:tcPr>
          <w:p w14:paraId="730A0FC6">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39514FB9">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3B0950D4">
            <w:pPr>
              <w:rPr>
                <w:sz w:val="27"/>
              </w:rPr>
            </w:pPr>
          </w:p>
        </w:tc>
        <w:tc>
          <w:tcPr>
            <w:tcW w:w="2131" w:type="dxa"/>
            <w:tcBorders>
              <w:top w:val="single" w:sz="2" w:space="0" w:color="auto"/>
              <w:left w:val="single" w:sz="2" w:space="0" w:color="auto"/>
              <w:bottom w:val="single" w:sz="2" w:space="0" w:color="auto"/>
              <w:right w:val="single" w:sz="2" w:space="0" w:color="auto"/>
            </w:tcBorders>
            <w:vAlign w:val="center"/>
          </w:tcPr>
          <w:p w14:paraId="614EE04C">
            <w:pPr>
              <w:rPr>
                <w:sz w:val="27"/>
              </w:rPr>
            </w:pPr>
          </w:p>
        </w:tc>
      </w:tr>
    </w:tbl>
    <w:p w14:paraId="079C7F19">
      <w:pPr>
        <w:spacing w:line="36" w:lineRule="auto"/>
        <w:rPr>
          <w:rFonts w:ascii="宋体" w:hAnsi="宋体"/>
          <w:kern w:val="2"/>
          <w:sz w:val="27"/>
          <w:szCs w:val="22"/>
        </w:rPr>
      </w:pPr>
    </w:p>
    <w:p w14:paraId="412EED75">
      <w:pPr>
        <w:spacing w:line="36" w:lineRule="auto"/>
        <w:rPr>
          <w:rFonts w:ascii="宋体" w:hAnsi="宋体"/>
          <w:sz w:val="27"/>
        </w:rPr>
      </w:pPr>
    </w:p>
    <w:p w14:paraId="1A99DEAA">
      <w:pPr>
        <w:pStyle w:val="Heading2"/>
        <w:spacing w:line="36" w:lineRule="auto"/>
        <w:jc w:val="center"/>
        <w:rPr>
          <w:rFonts w:ascii="宋体" w:hAnsi="宋体"/>
          <w:sz w:val="27"/>
        </w:rPr>
      </w:pPr>
      <w:bookmarkStart w:id="1536" w:name="_Toc256000105"/>
      <w:r>
        <w:rPr>
          <w:rFonts w:ascii="宋体" w:hAnsi="宋体" w:hint="eastAsia"/>
          <w:sz w:val="27"/>
        </w:rPr>
        <w:t>七、项目管理机构</w:t>
      </w:r>
      <w:bookmarkEnd w:id="1536"/>
    </w:p>
    <w:p w14:paraId="69EC3B63">
      <w:pPr>
        <w:pStyle w:val="Heading3"/>
        <w:spacing w:line="36" w:lineRule="auto"/>
        <w:jc w:val="center"/>
        <w:rPr>
          <w:rFonts w:ascii="宋体" w:hAnsi="宋体"/>
          <w:sz w:val="27"/>
        </w:rPr>
      </w:pPr>
      <w:bookmarkStart w:id="1537" w:name="_Toc256000106"/>
      <w:r>
        <w:rPr>
          <w:rFonts w:ascii="宋体" w:hAnsi="宋体" w:hint="eastAsia"/>
          <w:sz w:val="27"/>
        </w:rPr>
        <w:t>（一）项目管理机构组成表</w:t>
      </w:r>
      <w:bookmarkEnd w:id="1537"/>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1046"/>
        <w:gridCol w:w="908"/>
        <w:gridCol w:w="908"/>
        <w:gridCol w:w="1595"/>
        <w:gridCol w:w="908"/>
        <w:gridCol w:w="908"/>
        <w:gridCol w:w="972"/>
        <w:gridCol w:w="1018"/>
      </w:tblGrid>
      <w:tr w14:paraId="254999AB">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594"/>
          <w:jc w:val="center"/>
        </w:trPr>
        <w:tc>
          <w:tcPr>
            <w:tcW w:w="1046" w:type="dxa"/>
            <w:vMerge w:val="restart"/>
            <w:tcBorders>
              <w:top w:val="single" w:sz="2" w:space="0" w:color="auto"/>
              <w:left w:val="single" w:sz="2" w:space="0" w:color="auto"/>
              <w:bottom w:val="single" w:sz="2" w:space="0" w:color="auto"/>
              <w:right w:val="single" w:sz="2" w:space="0" w:color="auto"/>
            </w:tcBorders>
            <w:vAlign w:val="center"/>
          </w:tcPr>
          <w:p w14:paraId="55AD54CD">
            <w:r>
              <w:rPr>
                <w:rFonts w:hint="eastAsia"/>
              </w:rPr>
              <w:t>职务</w:t>
            </w:r>
          </w:p>
        </w:tc>
        <w:tc>
          <w:tcPr>
            <w:tcW w:w="908" w:type="dxa"/>
            <w:vMerge w:val="restart"/>
            <w:tcBorders>
              <w:top w:val="single" w:sz="2" w:space="0" w:color="auto"/>
              <w:left w:val="single" w:sz="2" w:space="0" w:color="auto"/>
              <w:bottom w:val="single" w:sz="2" w:space="0" w:color="auto"/>
              <w:right w:val="single" w:sz="2" w:space="0" w:color="auto"/>
            </w:tcBorders>
            <w:vAlign w:val="center"/>
          </w:tcPr>
          <w:p w14:paraId="148A3C5D">
            <w:r>
              <w:rPr>
                <w:rFonts w:hint="eastAsia"/>
              </w:rPr>
              <w:t>姓名</w:t>
            </w:r>
          </w:p>
        </w:tc>
        <w:tc>
          <w:tcPr>
            <w:tcW w:w="908" w:type="dxa"/>
            <w:vMerge w:val="restart"/>
            <w:tcBorders>
              <w:top w:val="single" w:sz="2" w:space="0" w:color="auto"/>
              <w:left w:val="single" w:sz="2" w:space="0" w:color="auto"/>
              <w:bottom w:val="single" w:sz="2" w:space="0" w:color="auto"/>
              <w:right w:val="single" w:sz="2" w:space="0" w:color="auto"/>
            </w:tcBorders>
            <w:vAlign w:val="center"/>
          </w:tcPr>
          <w:p w14:paraId="0018CCB4">
            <w:r>
              <w:rPr>
                <w:rFonts w:hint="eastAsia"/>
              </w:rPr>
              <w:t>专业技术职称</w:t>
            </w:r>
          </w:p>
        </w:tc>
        <w:tc>
          <w:tcPr>
            <w:tcW w:w="4383" w:type="dxa"/>
            <w:gridSpan w:val="4"/>
            <w:tcBorders>
              <w:top w:val="single" w:sz="2" w:space="0" w:color="auto"/>
              <w:left w:val="single" w:sz="2" w:space="0" w:color="auto"/>
              <w:bottom w:val="single" w:sz="2" w:space="0" w:color="auto"/>
              <w:right w:val="single" w:sz="2" w:space="0" w:color="auto"/>
            </w:tcBorders>
            <w:vAlign w:val="center"/>
          </w:tcPr>
          <w:p w14:paraId="2605C96B">
            <w:r>
              <w:rPr>
                <w:rFonts w:hint="eastAsia"/>
              </w:rPr>
              <w:t>执业或职业资格证明</w:t>
            </w:r>
          </w:p>
        </w:tc>
        <w:tc>
          <w:tcPr>
            <w:tcW w:w="1018" w:type="dxa"/>
            <w:vMerge w:val="restart"/>
            <w:tcBorders>
              <w:top w:val="single" w:sz="2" w:space="0" w:color="auto"/>
              <w:left w:val="single" w:sz="2" w:space="0" w:color="auto"/>
              <w:bottom w:val="single" w:sz="2" w:space="0" w:color="auto"/>
              <w:right w:val="single" w:sz="2" w:space="0" w:color="auto"/>
            </w:tcBorders>
            <w:vAlign w:val="center"/>
          </w:tcPr>
          <w:p w14:paraId="43AB8E51">
            <w:r>
              <w:rPr>
                <w:rFonts w:hint="eastAsia"/>
              </w:rPr>
              <w:t>备注</w:t>
            </w:r>
          </w:p>
        </w:tc>
      </w:tr>
      <w:tr w14:paraId="231EC56B">
        <w:tblPrEx>
          <w:tblW w:w="0" w:type="auto"/>
          <w:jc w:val="center"/>
          <w:tblLayout w:type="fixed"/>
          <w:tblCellMar>
            <w:top w:w="0" w:type="dxa"/>
            <w:left w:w="108" w:type="dxa"/>
            <w:bottom w:w="0" w:type="dxa"/>
            <w:right w:w="108" w:type="dxa"/>
          </w:tblCellMar>
        </w:tblPrEx>
        <w:trPr>
          <w:trHeight w:val="588"/>
          <w:jc w:val="center"/>
        </w:trPr>
        <w:tc>
          <w:tcPr>
            <w:tcW w:w="1046" w:type="dxa"/>
            <w:vMerge/>
            <w:tcBorders>
              <w:top w:val="single" w:sz="2" w:space="0" w:color="auto"/>
              <w:left w:val="single" w:sz="2" w:space="0" w:color="auto"/>
              <w:bottom w:val="single" w:sz="2" w:space="0" w:color="auto"/>
              <w:right w:val="single" w:sz="2" w:space="0" w:color="auto"/>
            </w:tcBorders>
            <w:vAlign w:val="center"/>
          </w:tcPr>
          <w:p w14:paraId="2836E098">
            <w:pPr>
              <w:rPr>
                <w:rFonts w:eastAsia="宋体"/>
                <w:kern w:val="2"/>
              </w:rPr>
            </w:pPr>
          </w:p>
        </w:tc>
        <w:tc>
          <w:tcPr>
            <w:tcW w:w="908" w:type="dxa"/>
            <w:vMerge/>
            <w:tcBorders>
              <w:top w:val="single" w:sz="2" w:space="0" w:color="auto"/>
              <w:left w:val="single" w:sz="2" w:space="0" w:color="auto"/>
              <w:bottom w:val="single" w:sz="2" w:space="0" w:color="auto"/>
              <w:right w:val="single" w:sz="2" w:space="0" w:color="auto"/>
            </w:tcBorders>
            <w:vAlign w:val="center"/>
          </w:tcPr>
          <w:p w14:paraId="227969FB">
            <w:pPr>
              <w:rPr>
                <w:rFonts w:eastAsia="宋体"/>
                <w:kern w:val="2"/>
              </w:rPr>
            </w:pPr>
          </w:p>
        </w:tc>
        <w:tc>
          <w:tcPr>
            <w:tcW w:w="908" w:type="dxa"/>
            <w:vMerge/>
            <w:tcBorders>
              <w:top w:val="single" w:sz="2" w:space="0" w:color="auto"/>
              <w:left w:val="single" w:sz="2" w:space="0" w:color="auto"/>
              <w:bottom w:val="single" w:sz="2" w:space="0" w:color="auto"/>
              <w:right w:val="single" w:sz="2" w:space="0" w:color="auto"/>
            </w:tcBorders>
            <w:vAlign w:val="center"/>
          </w:tcPr>
          <w:p w14:paraId="2894BEFE">
            <w:pPr>
              <w:rPr>
                <w:rFonts w:eastAsia="宋体"/>
                <w:kern w:val="2"/>
              </w:rPr>
            </w:pPr>
          </w:p>
        </w:tc>
        <w:tc>
          <w:tcPr>
            <w:tcW w:w="1595" w:type="dxa"/>
            <w:tcBorders>
              <w:top w:val="single" w:sz="2" w:space="0" w:color="auto"/>
              <w:left w:val="single" w:sz="2" w:space="0" w:color="auto"/>
              <w:bottom w:val="single" w:sz="2" w:space="0" w:color="auto"/>
              <w:right w:val="single" w:sz="2" w:space="0" w:color="auto"/>
            </w:tcBorders>
            <w:vAlign w:val="center"/>
          </w:tcPr>
          <w:p w14:paraId="4809552C">
            <w:r>
              <w:rPr>
                <w:rFonts w:hint="eastAsia"/>
              </w:rPr>
              <w:t>证书名称</w:t>
            </w:r>
          </w:p>
        </w:tc>
        <w:tc>
          <w:tcPr>
            <w:tcW w:w="908" w:type="dxa"/>
            <w:tcBorders>
              <w:top w:val="single" w:sz="2" w:space="0" w:color="auto"/>
              <w:left w:val="single" w:sz="2" w:space="0" w:color="auto"/>
              <w:bottom w:val="single" w:sz="2" w:space="0" w:color="auto"/>
              <w:right w:val="single" w:sz="2" w:space="0" w:color="auto"/>
            </w:tcBorders>
            <w:vAlign w:val="center"/>
          </w:tcPr>
          <w:p w14:paraId="0EE51BC8">
            <w:pPr>
              <w:rPr>
                <w:rFonts w:ascii="Calibri" w:hAnsi="Calibri"/>
              </w:rPr>
            </w:pPr>
            <w:r>
              <w:rPr>
                <w:rFonts w:hint="eastAsia"/>
              </w:rPr>
              <w:t>级别</w:t>
            </w:r>
          </w:p>
        </w:tc>
        <w:tc>
          <w:tcPr>
            <w:tcW w:w="908" w:type="dxa"/>
            <w:tcBorders>
              <w:top w:val="single" w:sz="2" w:space="0" w:color="auto"/>
              <w:left w:val="single" w:sz="2" w:space="0" w:color="auto"/>
              <w:bottom w:val="single" w:sz="2" w:space="0" w:color="auto"/>
              <w:right w:val="single" w:sz="2" w:space="0" w:color="auto"/>
            </w:tcBorders>
            <w:vAlign w:val="center"/>
          </w:tcPr>
          <w:p w14:paraId="74E7CEB9">
            <w:r>
              <w:rPr>
                <w:rFonts w:hint="eastAsia"/>
              </w:rPr>
              <w:t>证号</w:t>
            </w:r>
          </w:p>
        </w:tc>
        <w:tc>
          <w:tcPr>
            <w:tcW w:w="972" w:type="dxa"/>
            <w:tcBorders>
              <w:top w:val="single" w:sz="2" w:space="0" w:color="auto"/>
              <w:left w:val="single" w:sz="2" w:space="0" w:color="auto"/>
              <w:bottom w:val="single" w:sz="2" w:space="0" w:color="auto"/>
              <w:right w:val="single" w:sz="2" w:space="0" w:color="auto"/>
            </w:tcBorders>
            <w:vAlign w:val="center"/>
          </w:tcPr>
          <w:p w14:paraId="3121F649">
            <w:r>
              <w:rPr>
                <w:rFonts w:hint="eastAsia"/>
              </w:rPr>
              <w:t>专业</w:t>
            </w:r>
          </w:p>
        </w:tc>
        <w:tc>
          <w:tcPr>
            <w:tcW w:w="1018" w:type="dxa"/>
            <w:vMerge/>
            <w:tcBorders>
              <w:top w:val="single" w:sz="2" w:space="0" w:color="auto"/>
              <w:left w:val="single" w:sz="2" w:space="0" w:color="auto"/>
              <w:bottom w:val="single" w:sz="2" w:space="0" w:color="auto"/>
              <w:right w:val="single" w:sz="2" w:space="0" w:color="auto"/>
            </w:tcBorders>
            <w:vAlign w:val="center"/>
          </w:tcPr>
          <w:p w14:paraId="77CC9573">
            <w:pPr>
              <w:rPr>
                <w:rFonts w:eastAsia="宋体"/>
                <w:kern w:val="2"/>
              </w:rPr>
            </w:pPr>
          </w:p>
        </w:tc>
      </w:tr>
      <w:tr w14:paraId="4302814A">
        <w:tblPrEx>
          <w:tblW w:w="0" w:type="auto"/>
          <w:jc w:val="center"/>
          <w:tblLayout w:type="fixed"/>
          <w:tblCellMar>
            <w:top w:w="0" w:type="dxa"/>
            <w:left w:w="108" w:type="dxa"/>
            <w:bottom w:w="0" w:type="dxa"/>
            <w:right w:w="108" w:type="dxa"/>
          </w:tblCellMar>
        </w:tblPrEx>
        <w:trPr>
          <w:trHeight w:val="619"/>
          <w:jc w:val="center"/>
        </w:trPr>
        <w:tc>
          <w:tcPr>
            <w:tcW w:w="1046" w:type="dxa"/>
            <w:tcBorders>
              <w:top w:val="single" w:sz="2" w:space="0" w:color="auto"/>
              <w:left w:val="single" w:sz="2" w:space="0" w:color="auto"/>
              <w:bottom w:val="single" w:sz="2" w:space="0" w:color="auto"/>
              <w:right w:val="single" w:sz="2" w:space="0" w:color="auto"/>
            </w:tcBorders>
            <w:vAlign w:val="center"/>
          </w:tcPr>
          <w:p w14:paraId="29103C7C">
            <w:pPr>
              <w:rPr>
                <w:sz w:val="27"/>
                <w:szCs w:val="22"/>
              </w:rPr>
            </w:pPr>
          </w:p>
        </w:tc>
        <w:tc>
          <w:tcPr>
            <w:tcW w:w="908" w:type="dxa"/>
            <w:tcBorders>
              <w:top w:val="single" w:sz="2" w:space="0" w:color="auto"/>
              <w:left w:val="single" w:sz="2" w:space="0" w:color="auto"/>
              <w:bottom w:val="single" w:sz="2" w:space="0" w:color="auto"/>
              <w:right w:val="single" w:sz="2" w:space="0" w:color="auto"/>
            </w:tcBorders>
            <w:vAlign w:val="center"/>
          </w:tcPr>
          <w:p w14:paraId="70B8101F">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2CC89CBB">
            <w:pPr>
              <w:rPr>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113A0FB1">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5BDDFC16">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6ADA935B">
            <w:pPr>
              <w:rPr>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496D2018">
            <w:pPr>
              <w:rPr>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37A34B1B">
            <w:pPr>
              <w:rPr>
                <w:sz w:val="27"/>
              </w:rPr>
            </w:pPr>
          </w:p>
        </w:tc>
      </w:tr>
      <w:tr w14:paraId="35BD18E5">
        <w:tblPrEx>
          <w:tblW w:w="0" w:type="auto"/>
          <w:jc w:val="center"/>
          <w:tblLayout w:type="fixed"/>
          <w:tblCellMar>
            <w:top w:w="0" w:type="dxa"/>
            <w:left w:w="108" w:type="dxa"/>
            <w:bottom w:w="0" w:type="dxa"/>
            <w:right w:w="108" w:type="dxa"/>
          </w:tblCellMar>
        </w:tblPrEx>
        <w:trPr>
          <w:trHeight w:val="628"/>
          <w:jc w:val="center"/>
        </w:trPr>
        <w:tc>
          <w:tcPr>
            <w:tcW w:w="1046" w:type="dxa"/>
            <w:tcBorders>
              <w:top w:val="single" w:sz="2" w:space="0" w:color="auto"/>
              <w:left w:val="single" w:sz="2" w:space="0" w:color="auto"/>
              <w:bottom w:val="single" w:sz="2" w:space="0" w:color="auto"/>
              <w:right w:val="single" w:sz="2" w:space="0" w:color="auto"/>
            </w:tcBorders>
            <w:vAlign w:val="center"/>
          </w:tcPr>
          <w:p w14:paraId="22694A2B">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5D7BD5F9">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2B6E91C0">
            <w:pPr>
              <w:rPr>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58E204BE">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7E2237BD">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4B6B148C">
            <w:pPr>
              <w:rPr>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2BFF6153">
            <w:pPr>
              <w:rPr>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6C76A7C1">
            <w:pPr>
              <w:rPr>
                <w:sz w:val="27"/>
              </w:rPr>
            </w:pPr>
          </w:p>
        </w:tc>
      </w:tr>
      <w:tr w14:paraId="1B2DDDA7">
        <w:tblPrEx>
          <w:tblW w:w="0" w:type="auto"/>
          <w:jc w:val="center"/>
          <w:tblLayout w:type="fixed"/>
          <w:tblCellMar>
            <w:top w:w="0" w:type="dxa"/>
            <w:left w:w="108" w:type="dxa"/>
            <w:bottom w:w="0" w:type="dxa"/>
            <w:right w:w="108" w:type="dxa"/>
          </w:tblCellMar>
        </w:tblPrEx>
        <w:trPr>
          <w:trHeight w:val="619"/>
          <w:jc w:val="center"/>
        </w:trPr>
        <w:tc>
          <w:tcPr>
            <w:tcW w:w="1046" w:type="dxa"/>
            <w:tcBorders>
              <w:top w:val="single" w:sz="2" w:space="0" w:color="auto"/>
              <w:left w:val="single" w:sz="2" w:space="0" w:color="auto"/>
              <w:bottom w:val="single" w:sz="2" w:space="0" w:color="auto"/>
              <w:right w:val="single" w:sz="2" w:space="0" w:color="auto"/>
            </w:tcBorders>
            <w:vAlign w:val="center"/>
          </w:tcPr>
          <w:p w14:paraId="64FF1AB3">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00636AAC">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1E825C1C">
            <w:pPr>
              <w:rPr>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64D13F72">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1032636E">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5512ABFD">
            <w:pPr>
              <w:rPr>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21AE9497">
            <w:pPr>
              <w:rPr>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5D28C52B">
            <w:pPr>
              <w:rPr>
                <w:sz w:val="27"/>
              </w:rPr>
            </w:pPr>
          </w:p>
        </w:tc>
      </w:tr>
      <w:tr w14:paraId="5EFC5A3F">
        <w:tblPrEx>
          <w:tblW w:w="0" w:type="auto"/>
          <w:jc w:val="center"/>
          <w:tblLayout w:type="fixed"/>
          <w:tblCellMar>
            <w:top w:w="0" w:type="dxa"/>
            <w:left w:w="108" w:type="dxa"/>
            <w:bottom w:w="0" w:type="dxa"/>
            <w:right w:w="108" w:type="dxa"/>
          </w:tblCellMar>
        </w:tblPrEx>
        <w:trPr>
          <w:trHeight w:val="628"/>
          <w:jc w:val="center"/>
        </w:trPr>
        <w:tc>
          <w:tcPr>
            <w:tcW w:w="1046" w:type="dxa"/>
            <w:tcBorders>
              <w:top w:val="single" w:sz="2" w:space="0" w:color="auto"/>
              <w:left w:val="single" w:sz="2" w:space="0" w:color="auto"/>
              <w:bottom w:val="single" w:sz="2" w:space="0" w:color="auto"/>
              <w:right w:val="single" w:sz="2" w:space="0" w:color="auto"/>
            </w:tcBorders>
            <w:vAlign w:val="center"/>
          </w:tcPr>
          <w:p w14:paraId="5F3B0605">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19B3C800">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37F33575">
            <w:pPr>
              <w:rPr>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32A0804C">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13118EBB">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12A2AEC1">
            <w:pPr>
              <w:rPr>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088D864E">
            <w:pPr>
              <w:rPr>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42B8F2A2">
            <w:pPr>
              <w:rPr>
                <w:sz w:val="27"/>
              </w:rPr>
            </w:pPr>
          </w:p>
        </w:tc>
      </w:tr>
      <w:tr w14:paraId="6A1B9DAD">
        <w:tblPrEx>
          <w:tblW w:w="0" w:type="auto"/>
          <w:jc w:val="center"/>
          <w:tblLayout w:type="fixed"/>
          <w:tblCellMar>
            <w:top w:w="0" w:type="dxa"/>
            <w:left w:w="108" w:type="dxa"/>
            <w:bottom w:w="0" w:type="dxa"/>
            <w:right w:w="108" w:type="dxa"/>
          </w:tblCellMar>
        </w:tblPrEx>
        <w:trPr>
          <w:trHeight w:val="619"/>
          <w:jc w:val="center"/>
        </w:trPr>
        <w:tc>
          <w:tcPr>
            <w:tcW w:w="1046" w:type="dxa"/>
            <w:tcBorders>
              <w:top w:val="single" w:sz="2" w:space="0" w:color="auto"/>
              <w:left w:val="single" w:sz="2" w:space="0" w:color="auto"/>
              <w:bottom w:val="single" w:sz="2" w:space="0" w:color="auto"/>
              <w:right w:val="single" w:sz="2" w:space="0" w:color="auto"/>
            </w:tcBorders>
            <w:vAlign w:val="center"/>
          </w:tcPr>
          <w:p w14:paraId="69FA9478">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76FCB978">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671CB054">
            <w:pPr>
              <w:rPr>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77807788">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702C95BF">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53D2147A">
            <w:pPr>
              <w:rPr>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7306F9FB">
            <w:pPr>
              <w:rPr>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44707483">
            <w:pPr>
              <w:rPr>
                <w:sz w:val="27"/>
              </w:rPr>
            </w:pPr>
          </w:p>
        </w:tc>
      </w:tr>
      <w:tr w14:paraId="60EDC06D">
        <w:tblPrEx>
          <w:tblW w:w="0" w:type="auto"/>
          <w:jc w:val="center"/>
          <w:tblLayout w:type="fixed"/>
          <w:tblCellMar>
            <w:top w:w="0" w:type="dxa"/>
            <w:left w:w="108" w:type="dxa"/>
            <w:bottom w:w="0" w:type="dxa"/>
            <w:right w:w="108" w:type="dxa"/>
          </w:tblCellMar>
        </w:tblPrEx>
        <w:trPr>
          <w:trHeight w:val="628"/>
          <w:jc w:val="center"/>
        </w:trPr>
        <w:tc>
          <w:tcPr>
            <w:tcW w:w="1046" w:type="dxa"/>
            <w:tcBorders>
              <w:top w:val="single" w:sz="2" w:space="0" w:color="auto"/>
              <w:left w:val="single" w:sz="2" w:space="0" w:color="auto"/>
              <w:bottom w:val="single" w:sz="2" w:space="0" w:color="auto"/>
              <w:right w:val="single" w:sz="2" w:space="0" w:color="auto"/>
            </w:tcBorders>
            <w:vAlign w:val="center"/>
          </w:tcPr>
          <w:p w14:paraId="0E87010E">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6AF0BF66">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0BF7843A">
            <w:pPr>
              <w:rPr>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3D9303C2">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312E6005">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38DB30A7">
            <w:pPr>
              <w:rPr>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50B6A02C">
            <w:pPr>
              <w:rPr>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2789D949">
            <w:pPr>
              <w:rPr>
                <w:sz w:val="27"/>
              </w:rPr>
            </w:pPr>
          </w:p>
        </w:tc>
      </w:tr>
      <w:tr w14:paraId="1334C8C5">
        <w:tblPrEx>
          <w:tblW w:w="0" w:type="auto"/>
          <w:jc w:val="center"/>
          <w:tblLayout w:type="fixed"/>
          <w:tblCellMar>
            <w:top w:w="0" w:type="dxa"/>
            <w:left w:w="108" w:type="dxa"/>
            <w:bottom w:w="0" w:type="dxa"/>
            <w:right w:w="108" w:type="dxa"/>
          </w:tblCellMar>
        </w:tblPrEx>
        <w:trPr>
          <w:trHeight w:val="619"/>
          <w:jc w:val="center"/>
        </w:trPr>
        <w:tc>
          <w:tcPr>
            <w:tcW w:w="1046" w:type="dxa"/>
            <w:tcBorders>
              <w:top w:val="single" w:sz="2" w:space="0" w:color="auto"/>
              <w:left w:val="single" w:sz="2" w:space="0" w:color="auto"/>
              <w:bottom w:val="single" w:sz="2" w:space="0" w:color="auto"/>
              <w:right w:val="single" w:sz="2" w:space="0" w:color="auto"/>
            </w:tcBorders>
            <w:vAlign w:val="center"/>
          </w:tcPr>
          <w:p w14:paraId="21D4422F">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319D7E7A">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4DDFE4A7">
            <w:pPr>
              <w:rPr>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2ACA1380">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62F20AD0">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790F6B87">
            <w:pPr>
              <w:rPr>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251A9FF0">
            <w:pPr>
              <w:rPr>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1829A615">
            <w:pPr>
              <w:rPr>
                <w:sz w:val="27"/>
              </w:rPr>
            </w:pPr>
          </w:p>
        </w:tc>
      </w:tr>
      <w:tr w14:paraId="09639A87">
        <w:tblPrEx>
          <w:tblW w:w="0" w:type="auto"/>
          <w:jc w:val="center"/>
          <w:tblLayout w:type="fixed"/>
          <w:tblCellMar>
            <w:top w:w="0" w:type="dxa"/>
            <w:left w:w="108" w:type="dxa"/>
            <w:bottom w:w="0" w:type="dxa"/>
            <w:right w:w="108" w:type="dxa"/>
          </w:tblCellMar>
        </w:tblPrEx>
        <w:trPr>
          <w:trHeight w:val="628"/>
          <w:jc w:val="center"/>
        </w:trPr>
        <w:tc>
          <w:tcPr>
            <w:tcW w:w="1046" w:type="dxa"/>
            <w:tcBorders>
              <w:top w:val="single" w:sz="2" w:space="0" w:color="auto"/>
              <w:left w:val="single" w:sz="2" w:space="0" w:color="auto"/>
              <w:bottom w:val="single" w:sz="2" w:space="0" w:color="auto"/>
              <w:right w:val="single" w:sz="2" w:space="0" w:color="auto"/>
            </w:tcBorders>
            <w:vAlign w:val="center"/>
          </w:tcPr>
          <w:p w14:paraId="7E9DF46B">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777AE04B">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69DA96ED">
            <w:pPr>
              <w:rPr>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3281EC9E">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1F8A88DF">
            <w:pPr>
              <w:rPr>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2B70CAEB">
            <w:pPr>
              <w:rPr>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6C612883">
            <w:pPr>
              <w:rPr>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03C5B83E">
            <w:pPr>
              <w:rPr>
                <w:sz w:val="27"/>
              </w:rPr>
            </w:pPr>
          </w:p>
        </w:tc>
      </w:tr>
      <w:tr w14:paraId="3A5A80A1">
        <w:tblPrEx>
          <w:tblW w:w="0" w:type="auto"/>
          <w:jc w:val="center"/>
          <w:tblLayout w:type="fixed"/>
          <w:tblCellMar>
            <w:top w:w="0" w:type="dxa"/>
            <w:left w:w="108" w:type="dxa"/>
            <w:bottom w:w="0" w:type="dxa"/>
            <w:right w:w="108" w:type="dxa"/>
          </w:tblCellMar>
        </w:tblPrEx>
        <w:trPr>
          <w:trHeight w:val="619"/>
          <w:jc w:val="center"/>
        </w:trPr>
        <w:tc>
          <w:tcPr>
            <w:tcW w:w="1046" w:type="dxa"/>
            <w:tcBorders>
              <w:top w:val="single" w:sz="2" w:space="0" w:color="auto"/>
              <w:left w:val="single" w:sz="2" w:space="0" w:color="auto"/>
              <w:bottom w:val="single" w:sz="2" w:space="0" w:color="auto"/>
              <w:right w:val="single" w:sz="2" w:space="0" w:color="auto"/>
            </w:tcBorders>
            <w:vAlign w:val="center"/>
          </w:tcPr>
          <w:p w14:paraId="03BA7216">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580639E8">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427A1A2A">
            <w:pPr>
              <w:spacing w:line="36" w:lineRule="auto"/>
              <w:jc w:val="center"/>
              <w:rPr>
                <w:rFonts w:ascii="宋体" w:hAnsi="宋体"/>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154F5766">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37D021B9">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48486614">
            <w:pPr>
              <w:spacing w:line="36" w:lineRule="auto"/>
              <w:jc w:val="center"/>
              <w:rPr>
                <w:rFonts w:ascii="宋体" w:hAnsi="宋体"/>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6C2A3DD2">
            <w:pPr>
              <w:spacing w:line="36" w:lineRule="auto"/>
              <w:jc w:val="center"/>
              <w:rPr>
                <w:rFonts w:ascii="宋体" w:hAnsi="宋体"/>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3CEA589E">
            <w:pPr>
              <w:spacing w:line="36" w:lineRule="auto"/>
              <w:jc w:val="center"/>
              <w:rPr>
                <w:rFonts w:ascii="宋体" w:hAnsi="宋体"/>
                <w:sz w:val="27"/>
              </w:rPr>
            </w:pPr>
          </w:p>
        </w:tc>
      </w:tr>
      <w:tr w14:paraId="2C739CC7">
        <w:tblPrEx>
          <w:tblW w:w="0" w:type="auto"/>
          <w:jc w:val="center"/>
          <w:tblLayout w:type="fixed"/>
          <w:tblCellMar>
            <w:top w:w="0" w:type="dxa"/>
            <w:left w:w="108" w:type="dxa"/>
            <w:bottom w:w="0" w:type="dxa"/>
            <w:right w:w="108" w:type="dxa"/>
          </w:tblCellMar>
        </w:tblPrEx>
        <w:trPr>
          <w:trHeight w:val="628"/>
          <w:jc w:val="center"/>
        </w:trPr>
        <w:tc>
          <w:tcPr>
            <w:tcW w:w="1046" w:type="dxa"/>
            <w:tcBorders>
              <w:top w:val="single" w:sz="2" w:space="0" w:color="auto"/>
              <w:left w:val="single" w:sz="2" w:space="0" w:color="auto"/>
              <w:bottom w:val="single" w:sz="2" w:space="0" w:color="auto"/>
              <w:right w:val="single" w:sz="2" w:space="0" w:color="auto"/>
            </w:tcBorders>
            <w:vAlign w:val="center"/>
          </w:tcPr>
          <w:p w14:paraId="28EAC476">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126B05CB">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172C6C54">
            <w:pPr>
              <w:spacing w:line="36" w:lineRule="auto"/>
              <w:jc w:val="center"/>
              <w:rPr>
                <w:rFonts w:ascii="宋体" w:hAnsi="宋体"/>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7E8FA237">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03DF8FE2">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2A27C7BC">
            <w:pPr>
              <w:spacing w:line="36" w:lineRule="auto"/>
              <w:jc w:val="center"/>
              <w:rPr>
                <w:rFonts w:ascii="宋体" w:hAnsi="宋体"/>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50E5F817">
            <w:pPr>
              <w:spacing w:line="36" w:lineRule="auto"/>
              <w:jc w:val="center"/>
              <w:rPr>
                <w:rFonts w:ascii="宋体" w:hAnsi="宋体"/>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47026BDC">
            <w:pPr>
              <w:spacing w:line="36" w:lineRule="auto"/>
              <w:jc w:val="center"/>
              <w:rPr>
                <w:rFonts w:ascii="宋体" w:hAnsi="宋体"/>
                <w:sz w:val="27"/>
              </w:rPr>
            </w:pPr>
          </w:p>
        </w:tc>
      </w:tr>
      <w:tr w14:paraId="3A92DC18">
        <w:tblPrEx>
          <w:tblW w:w="0" w:type="auto"/>
          <w:jc w:val="center"/>
          <w:tblLayout w:type="fixed"/>
          <w:tblCellMar>
            <w:top w:w="0" w:type="dxa"/>
            <w:left w:w="108" w:type="dxa"/>
            <w:bottom w:w="0" w:type="dxa"/>
            <w:right w:w="108" w:type="dxa"/>
          </w:tblCellMar>
        </w:tblPrEx>
        <w:trPr>
          <w:trHeight w:val="619"/>
          <w:jc w:val="center"/>
        </w:trPr>
        <w:tc>
          <w:tcPr>
            <w:tcW w:w="1046" w:type="dxa"/>
            <w:tcBorders>
              <w:top w:val="single" w:sz="2" w:space="0" w:color="auto"/>
              <w:left w:val="single" w:sz="2" w:space="0" w:color="auto"/>
              <w:bottom w:val="single" w:sz="2" w:space="0" w:color="auto"/>
              <w:right w:val="single" w:sz="2" w:space="0" w:color="auto"/>
            </w:tcBorders>
            <w:vAlign w:val="center"/>
          </w:tcPr>
          <w:p w14:paraId="35706382">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18036104">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21445FD8">
            <w:pPr>
              <w:spacing w:line="36" w:lineRule="auto"/>
              <w:jc w:val="center"/>
              <w:rPr>
                <w:rFonts w:ascii="宋体" w:hAnsi="宋体"/>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78D6FD70">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0837D435">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647F87AD">
            <w:pPr>
              <w:spacing w:line="36" w:lineRule="auto"/>
              <w:jc w:val="center"/>
              <w:rPr>
                <w:rFonts w:ascii="宋体" w:hAnsi="宋体"/>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42A058E7">
            <w:pPr>
              <w:spacing w:line="36" w:lineRule="auto"/>
              <w:jc w:val="center"/>
              <w:rPr>
                <w:rFonts w:ascii="宋体" w:hAnsi="宋体"/>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0F82D829">
            <w:pPr>
              <w:spacing w:line="36" w:lineRule="auto"/>
              <w:jc w:val="center"/>
              <w:rPr>
                <w:rFonts w:ascii="宋体" w:hAnsi="宋体"/>
                <w:sz w:val="27"/>
              </w:rPr>
            </w:pPr>
          </w:p>
        </w:tc>
      </w:tr>
      <w:tr w14:paraId="47B4FA81">
        <w:tblPrEx>
          <w:tblW w:w="0" w:type="auto"/>
          <w:jc w:val="center"/>
          <w:tblLayout w:type="fixed"/>
          <w:tblCellMar>
            <w:top w:w="0" w:type="dxa"/>
            <w:left w:w="108" w:type="dxa"/>
            <w:bottom w:w="0" w:type="dxa"/>
            <w:right w:w="108" w:type="dxa"/>
          </w:tblCellMar>
        </w:tblPrEx>
        <w:trPr>
          <w:trHeight w:val="628"/>
          <w:jc w:val="center"/>
        </w:trPr>
        <w:tc>
          <w:tcPr>
            <w:tcW w:w="1046" w:type="dxa"/>
            <w:tcBorders>
              <w:top w:val="single" w:sz="2" w:space="0" w:color="auto"/>
              <w:left w:val="single" w:sz="2" w:space="0" w:color="auto"/>
              <w:bottom w:val="single" w:sz="2" w:space="0" w:color="auto"/>
              <w:right w:val="single" w:sz="2" w:space="0" w:color="auto"/>
            </w:tcBorders>
            <w:vAlign w:val="center"/>
          </w:tcPr>
          <w:p w14:paraId="4A6692D4">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5D094CF1">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28E67003">
            <w:pPr>
              <w:spacing w:line="36" w:lineRule="auto"/>
              <w:jc w:val="center"/>
              <w:rPr>
                <w:rFonts w:ascii="宋体" w:hAnsi="宋体"/>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728AB5F2">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6BD6A967">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65DB2B77">
            <w:pPr>
              <w:spacing w:line="36" w:lineRule="auto"/>
              <w:jc w:val="center"/>
              <w:rPr>
                <w:rFonts w:ascii="宋体" w:hAnsi="宋体"/>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25EAF91D">
            <w:pPr>
              <w:spacing w:line="36" w:lineRule="auto"/>
              <w:jc w:val="center"/>
              <w:rPr>
                <w:rFonts w:ascii="宋体" w:hAnsi="宋体"/>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12E37B17">
            <w:pPr>
              <w:spacing w:line="36" w:lineRule="auto"/>
              <w:jc w:val="center"/>
              <w:rPr>
                <w:rFonts w:ascii="宋体" w:hAnsi="宋体"/>
                <w:sz w:val="27"/>
              </w:rPr>
            </w:pPr>
          </w:p>
        </w:tc>
      </w:tr>
      <w:tr w14:paraId="3CD9937C">
        <w:tblPrEx>
          <w:tblW w:w="0" w:type="auto"/>
          <w:jc w:val="center"/>
          <w:tblLayout w:type="fixed"/>
          <w:tblCellMar>
            <w:top w:w="0" w:type="dxa"/>
            <w:left w:w="108" w:type="dxa"/>
            <w:bottom w:w="0" w:type="dxa"/>
            <w:right w:w="108" w:type="dxa"/>
          </w:tblCellMar>
        </w:tblPrEx>
        <w:trPr>
          <w:trHeight w:val="619"/>
          <w:jc w:val="center"/>
        </w:trPr>
        <w:tc>
          <w:tcPr>
            <w:tcW w:w="1046" w:type="dxa"/>
            <w:tcBorders>
              <w:top w:val="single" w:sz="2" w:space="0" w:color="auto"/>
              <w:left w:val="single" w:sz="2" w:space="0" w:color="auto"/>
              <w:bottom w:val="single" w:sz="2" w:space="0" w:color="auto"/>
              <w:right w:val="single" w:sz="2" w:space="0" w:color="auto"/>
            </w:tcBorders>
            <w:vAlign w:val="center"/>
          </w:tcPr>
          <w:p w14:paraId="6E545993">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17480151">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35B578A6">
            <w:pPr>
              <w:spacing w:line="36" w:lineRule="auto"/>
              <w:jc w:val="center"/>
              <w:rPr>
                <w:rFonts w:ascii="宋体" w:hAnsi="宋体"/>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4E542891">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768D0F45">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65D85FCC">
            <w:pPr>
              <w:spacing w:line="36" w:lineRule="auto"/>
              <w:jc w:val="center"/>
              <w:rPr>
                <w:rFonts w:ascii="宋体" w:hAnsi="宋体"/>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7D3611C1">
            <w:pPr>
              <w:spacing w:line="36" w:lineRule="auto"/>
              <w:jc w:val="center"/>
              <w:rPr>
                <w:rFonts w:ascii="宋体" w:hAnsi="宋体"/>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14843006">
            <w:pPr>
              <w:spacing w:line="36" w:lineRule="auto"/>
              <w:jc w:val="center"/>
              <w:rPr>
                <w:rFonts w:ascii="宋体" w:hAnsi="宋体"/>
                <w:sz w:val="27"/>
              </w:rPr>
            </w:pPr>
          </w:p>
        </w:tc>
      </w:tr>
      <w:tr w14:paraId="54161361">
        <w:tblPrEx>
          <w:tblW w:w="0" w:type="auto"/>
          <w:jc w:val="center"/>
          <w:tblLayout w:type="fixed"/>
          <w:tblCellMar>
            <w:top w:w="0" w:type="dxa"/>
            <w:left w:w="108" w:type="dxa"/>
            <w:bottom w:w="0" w:type="dxa"/>
            <w:right w:w="108" w:type="dxa"/>
          </w:tblCellMar>
        </w:tblPrEx>
        <w:trPr>
          <w:trHeight w:val="619"/>
          <w:jc w:val="center"/>
        </w:trPr>
        <w:tc>
          <w:tcPr>
            <w:tcW w:w="1046" w:type="dxa"/>
            <w:tcBorders>
              <w:top w:val="single" w:sz="2" w:space="0" w:color="auto"/>
              <w:left w:val="single" w:sz="2" w:space="0" w:color="auto"/>
              <w:bottom w:val="single" w:sz="2" w:space="0" w:color="auto"/>
              <w:right w:val="single" w:sz="2" w:space="0" w:color="auto"/>
            </w:tcBorders>
            <w:vAlign w:val="center"/>
          </w:tcPr>
          <w:p w14:paraId="57B665E0">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465D4BAE">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03469655">
            <w:pPr>
              <w:spacing w:line="36" w:lineRule="auto"/>
              <w:jc w:val="center"/>
              <w:rPr>
                <w:rFonts w:ascii="宋体" w:hAnsi="宋体"/>
                <w:sz w:val="27"/>
              </w:rPr>
            </w:pPr>
          </w:p>
        </w:tc>
        <w:tc>
          <w:tcPr>
            <w:tcW w:w="1595" w:type="dxa"/>
            <w:tcBorders>
              <w:top w:val="single" w:sz="2" w:space="0" w:color="auto"/>
              <w:left w:val="single" w:sz="2" w:space="0" w:color="auto"/>
              <w:bottom w:val="single" w:sz="2" w:space="0" w:color="auto"/>
              <w:right w:val="single" w:sz="2" w:space="0" w:color="auto"/>
            </w:tcBorders>
            <w:vAlign w:val="center"/>
          </w:tcPr>
          <w:p w14:paraId="60573696">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5E70F441">
            <w:pPr>
              <w:spacing w:line="36" w:lineRule="auto"/>
              <w:jc w:val="center"/>
              <w:rPr>
                <w:rFonts w:ascii="宋体" w:hAnsi="宋体"/>
                <w:sz w:val="27"/>
              </w:rPr>
            </w:pPr>
          </w:p>
        </w:tc>
        <w:tc>
          <w:tcPr>
            <w:tcW w:w="908" w:type="dxa"/>
            <w:tcBorders>
              <w:top w:val="single" w:sz="2" w:space="0" w:color="auto"/>
              <w:left w:val="single" w:sz="2" w:space="0" w:color="auto"/>
              <w:bottom w:val="single" w:sz="2" w:space="0" w:color="auto"/>
              <w:right w:val="single" w:sz="2" w:space="0" w:color="auto"/>
            </w:tcBorders>
            <w:vAlign w:val="center"/>
          </w:tcPr>
          <w:p w14:paraId="76E4DD90">
            <w:pPr>
              <w:spacing w:line="36" w:lineRule="auto"/>
              <w:jc w:val="center"/>
              <w:rPr>
                <w:rFonts w:ascii="宋体" w:hAnsi="宋体"/>
                <w:sz w:val="27"/>
              </w:rPr>
            </w:pPr>
          </w:p>
        </w:tc>
        <w:tc>
          <w:tcPr>
            <w:tcW w:w="972" w:type="dxa"/>
            <w:tcBorders>
              <w:top w:val="single" w:sz="2" w:space="0" w:color="auto"/>
              <w:left w:val="single" w:sz="2" w:space="0" w:color="auto"/>
              <w:bottom w:val="single" w:sz="2" w:space="0" w:color="auto"/>
              <w:right w:val="single" w:sz="2" w:space="0" w:color="auto"/>
            </w:tcBorders>
            <w:vAlign w:val="center"/>
          </w:tcPr>
          <w:p w14:paraId="49AD8A02">
            <w:pPr>
              <w:spacing w:line="36" w:lineRule="auto"/>
              <w:jc w:val="center"/>
              <w:rPr>
                <w:rFonts w:ascii="宋体" w:hAnsi="宋体"/>
                <w:sz w:val="27"/>
              </w:rPr>
            </w:pPr>
          </w:p>
        </w:tc>
        <w:tc>
          <w:tcPr>
            <w:tcW w:w="1018" w:type="dxa"/>
            <w:tcBorders>
              <w:top w:val="single" w:sz="2" w:space="0" w:color="auto"/>
              <w:left w:val="single" w:sz="2" w:space="0" w:color="auto"/>
              <w:bottom w:val="single" w:sz="2" w:space="0" w:color="auto"/>
              <w:right w:val="single" w:sz="2" w:space="0" w:color="auto"/>
            </w:tcBorders>
            <w:vAlign w:val="center"/>
          </w:tcPr>
          <w:p w14:paraId="1BC45FC6">
            <w:pPr>
              <w:spacing w:line="36" w:lineRule="auto"/>
              <w:jc w:val="center"/>
              <w:rPr>
                <w:rFonts w:ascii="宋体" w:hAnsi="宋体"/>
                <w:sz w:val="27"/>
              </w:rPr>
            </w:pPr>
          </w:p>
        </w:tc>
      </w:tr>
    </w:tbl>
    <w:p w14:paraId="522DEF8D">
      <w:pPr>
        <w:spacing w:line="36" w:lineRule="auto"/>
        <w:rPr>
          <w:rFonts w:ascii="宋体" w:hAnsi="宋体"/>
          <w:kern w:val="2"/>
          <w:sz w:val="27"/>
          <w:szCs w:val="22"/>
        </w:rPr>
      </w:pPr>
    </w:p>
    <w:p w14:paraId="712719F7">
      <w:pPr>
        <w:spacing w:line="36" w:lineRule="auto"/>
        <w:rPr>
          <w:rFonts w:ascii="宋体" w:hAnsi="宋体"/>
          <w:sz w:val="27"/>
        </w:rPr>
      </w:pPr>
    </w:p>
    <w:p w14:paraId="4252AB5E">
      <w:pPr>
        <w:pStyle w:val="Heading3"/>
        <w:spacing w:line="36" w:lineRule="auto"/>
        <w:jc w:val="center"/>
        <w:rPr>
          <w:rFonts w:ascii="宋体" w:hAnsi="宋体"/>
          <w:sz w:val="27"/>
        </w:rPr>
      </w:pPr>
      <w:bookmarkStart w:id="1538" w:name="_Toc256000107"/>
      <w:r>
        <w:rPr>
          <w:rFonts w:ascii="宋体" w:hAnsi="宋体" w:hint="eastAsia"/>
          <w:sz w:val="27"/>
        </w:rPr>
        <w:t>（二）主要人员简历表</w:t>
      </w:r>
      <w:bookmarkEnd w:id="1538"/>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1189"/>
        <w:gridCol w:w="360"/>
        <w:gridCol w:w="870"/>
        <w:gridCol w:w="992"/>
        <w:gridCol w:w="1134"/>
        <w:gridCol w:w="61"/>
        <w:gridCol w:w="1440"/>
        <w:gridCol w:w="483"/>
        <w:gridCol w:w="1993"/>
      </w:tblGrid>
      <w:tr w14:paraId="5F7B95B7">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586"/>
          <w:jc w:val="center"/>
        </w:trPr>
        <w:tc>
          <w:tcPr>
            <w:tcW w:w="1189" w:type="dxa"/>
            <w:tcBorders>
              <w:top w:val="single" w:sz="2" w:space="0" w:color="auto"/>
              <w:left w:val="single" w:sz="2" w:space="0" w:color="auto"/>
              <w:bottom w:val="single" w:sz="2" w:space="0" w:color="auto"/>
              <w:right w:val="single" w:sz="2" w:space="0" w:color="auto"/>
            </w:tcBorders>
            <w:vAlign w:val="center"/>
          </w:tcPr>
          <w:p w14:paraId="5468A1AB">
            <w:r>
              <w:rPr>
                <w:rFonts w:hint="eastAsia"/>
              </w:rPr>
              <w:t>姓名</w:t>
            </w:r>
          </w:p>
        </w:tc>
        <w:tc>
          <w:tcPr>
            <w:tcW w:w="1230" w:type="dxa"/>
            <w:gridSpan w:val="2"/>
            <w:tcBorders>
              <w:top w:val="single" w:sz="2" w:space="0" w:color="auto"/>
              <w:left w:val="single" w:sz="2" w:space="0" w:color="auto"/>
              <w:bottom w:val="single" w:sz="2" w:space="0" w:color="auto"/>
              <w:right w:val="single" w:sz="2" w:space="0" w:color="auto"/>
            </w:tcBorders>
            <w:vAlign w:val="center"/>
          </w:tcPr>
          <w:p w14:paraId="5EBE95F4"/>
        </w:tc>
        <w:tc>
          <w:tcPr>
            <w:tcW w:w="992" w:type="dxa"/>
            <w:tcBorders>
              <w:top w:val="single" w:sz="2" w:space="0" w:color="auto"/>
              <w:left w:val="single" w:sz="2" w:space="0" w:color="auto"/>
              <w:bottom w:val="single" w:sz="2" w:space="0" w:color="auto"/>
              <w:right w:val="single" w:sz="2" w:space="0" w:color="auto"/>
            </w:tcBorders>
            <w:vAlign w:val="center"/>
          </w:tcPr>
          <w:p w14:paraId="46332933">
            <w:r>
              <w:rPr>
                <w:rFonts w:hint="eastAsia"/>
              </w:rPr>
              <w:t>年龄</w:t>
            </w:r>
          </w:p>
        </w:tc>
        <w:tc>
          <w:tcPr>
            <w:tcW w:w="1134" w:type="dxa"/>
            <w:tcBorders>
              <w:top w:val="single" w:sz="2" w:space="0" w:color="auto"/>
              <w:left w:val="single" w:sz="2" w:space="0" w:color="auto"/>
              <w:bottom w:val="single" w:sz="2" w:space="0" w:color="auto"/>
              <w:right w:val="single" w:sz="2" w:space="0" w:color="auto"/>
            </w:tcBorders>
            <w:vAlign w:val="center"/>
          </w:tcPr>
          <w:p w14:paraId="58EB6255"/>
        </w:tc>
        <w:tc>
          <w:tcPr>
            <w:tcW w:w="1984" w:type="dxa"/>
            <w:gridSpan w:val="3"/>
            <w:vMerge w:val="restart"/>
            <w:tcBorders>
              <w:top w:val="single" w:sz="2" w:space="0" w:color="auto"/>
              <w:left w:val="single" w:sz="2" w:space="0" w:color="auto"/>
              <w:bottom w:val="single" w:sz="2" w:space="0" w:color="auto"/>
              <w:right w:val="single" w:sz="2" w:space="0" w:color="auto"/>
            </w:tcBorders>
            <w:vAlign w:val="center"/>
          </w:tcPr>
          <w:p w14:paraId="4B141CAE">
            <w:r>
              <w:rPr>
                <w:rFonts w:hint="eastAsia"/>
              </w:rPr>
              <w:t>拟在本合同任职</w:t>
            </w:r>
          </w:p>
        </w:tc>
        <w:tc>
          <w:tcPr>
            <w:tcW w:w="1993" w:type="dxa"/>
            <w:vMerge w:val="restart"/>
            <w:tcBorders>
              <w:top w:val="single" w:sz="2" w:space="0" w:color="auto"/>
              <w:left w:val="single" w:sz="2" w:space="0" w:color="auto"/>
              <w:bottom w:val="single" w:sz="2" w:space="0" w:color="auto"/>
              <w:right w:val="single" w:sz="2" w:space="0" w:color="auto"/>
            </w:tcBorders>
            <w:vAlign w:val="center"/>
          </w:tcPr>
          <w:p w14:paraId="4225F404"/>
        </w:tc>
      </w:tr>
      <w:tr w14:paraId="71AF252C">
        <w:tblPrEx>
          <w:tblW w:w="0" w:type="auto"/>
          <w:jc w:val="center"/>
          <w:tblLayout w:type="fixed"/>
          <w:tblCellMar>
            <w:top w:w="0" w:type="dxa"/>
            <w:left w:w="108" w:type="dxa"/>
            <w:bottom w:w="0" w:type="dxa"/>
            <w:right w:w="108" w:type="dxa"/>
          </w:tblCellMar>
        </w:tblPrEx>
        <w:trPr>
          <w:trHeight w:val="580"/>
          <w:jc w:val="center"/>
        </w:trPr>
        <w:tc>
          <w:tcPr>
            <w:tcW w:w="1189" w:type="dxa"/>
            <w:tcBorders>
              <w:top w:val="single" w:sz="2" w:space="0" w:color="auto"/>
              <w:left w:val="single" w:sz="2" w:space="0" w:color="auto"/>
              <w:bottom w:val="single" w:sz="2" w:space="0" w:color="auto"/>
              <w:right w:val="single" w:sz="2" w:space="0" w:color="auto"/>
            </w:tcBorders>
            <w:vAlign w:val="center"/>
          </w:tcPr>
          <w:p w14:paraId="1147081D">
            <w:r>
              <w:rPr>
                <w:rFonts w:hint="eastAsia"/>
              </w:rPr>
              <w:t>专业技术职称</w:t>
            </w:r>
          </w:p>
        </w:tc>
        <w:tc>
          <w:tcPr>
            <w:tcW w:w="1230" w:type="dxa"/>
            <w:gridSpan w:val="2"/>
            <w:tcBorders>
              <w:top w:val="single" w:sz="2" w:space="0" w:color="auto"/>
              <w:left w:val="single" w:sz="2" w:space="0" w:color="auto"/>
              <w:bottom w:val="single" w:sz="2" w:space="0" w:color="auto"/>
              <w:right w:val="single" w:sz="2" w:space="0" w:color="auto"/>
            </w:tcBorders>
            <w:vAlign w:val="center"/>
          </w:tcPr>
          <w:p w14:paraId="3810E78E"/>
        </w:tc>
        <w:tc>
          <w:tcPr>
            <w:tcW w:w="992" w:type="dxa"/>
            <w:tcBorders>
              <w:top w:val="single" w:sz="2" w:space="0" w:color="auto"/>
              <w:left w:val="single" w:sz="2" w:space="0" w:color="auto"/>
              <w:bottom w:val="single" w:sz="2" w:space="0" w:color="auto"/>
              <w:right w:val="single" w:sz="2" w:space="0" w:color="auto"/>
            </w:tcBorders>
            <w:vAlign w:val="center"/>
          </w:tcPr>
          <w:p w14:paraId="7A86867A">
            <w:r>
              <w:rPr>
                <w:rFonts w:hint="eastAsia"/>
              </w:rPr>
              <w:t>职务</w:t>
            </w:r>
          </w:p>
        </w:tc>
        <w:tc>
          <w:tcPr>
            <w:tcW w:w="1134" w:type="dxa"/>
            <w:tcBorders>
              <w:top w:val="single" w:sz="2" w:space="0" w:color="auto"/>
              <w:left w:val="single" w:sz="2" w:space="0" w:color="auto"/>
              <w:bottom w:val="single" w:sz="2" w:space="0" w:color="auto"/>
              <w:right w:val="single" w:sz="2" w:space="0" w:color="auto"/>
            </w:tcBorders>
            <w:vAlign w:val="center"/>
          </w:tcPr>
          <w:p w14:paraId="1A6EA3AF"/>
        </w:tc>
        <w:tc>
          <w:tcPr>
            <w:tcW w:w="5900" w:type="dxa"/>
            <w:gridSpan w:val="3"/>
            <w:vMerge/>
            <w:tcBorders>
              <w:top w:val="single" w:sz="2" w:space="0" w:color="auto"/>
              <w:left w:val="single" w:sz="2" w:space="0" w:color="auto"/>
              <w:bottom w:val="single" w:sz="2" w:space="0" w:color="auto"/>
              <w:right w:val="single" w:sz="2" w:space="0" w:color="auto"/>
            </w:tcBorders>
            <w:vAlign w:val="center"/>
          </w:tcPr>
          <w:p w14:paraId="200A440D">
            <w:pPr>
              <w:rPr>
                <w:rFonts w:eastAsia="宋体"/>
                <w:kern w:val="2"/>
              </w:rPr>
            </w:pPr>
          </w:p>
        </w:tc>
        <w:tc>
          <w:tcPr>
            <w:tcW w:w="1993" w:type="dxa"/>
            <w:vMerge/>
            <w:tcBorders>
              <w:top w:val="single" w:sz="2" w:space="0" w:color="auto"/>
              <w:left w:val="single" w:sz="2" w:space="0" w:color="auto"/>
              <w:bottom w:val="single" w:sz="2" w:space="0" w:color="auto"/>
              <w:right w:val="single" w:sz="2" w:space="0" w:color="auto"/>
            </w:tcBorders>
            <w:vAlign w:val="center"/>
          </w:tcPr>
          <w:p w14:paraId="0B580B07">
            <w:pPr>
              <w:rPr>
                <w:rFonts w:eastAsia="宋体"/>
                <w:kern w:val="2"/>
              </w:rPr>
            </w:pPr>
          </w:p>
        </w:tc>
      </w:tr>
      <w:tr w14:paraId="24B57FDF">
        <w:tblPrEx>
          <w:tblW w:w="0" w:type="auto"/>
          <w:jc w:val="center"/>
          <w:tblLayout w:type="fixed"/>
          <w:tblCellMar>
            <w:top w:w="0" w:type="dxa"/>
            <w:left w:w="108" w:type="dxa"/>
            <w:bottom w:w="0" w:type="dxa"/>
            <w:right w:w="108" w:type="dxa"/>
          </w:tblCellMar>
        </w:tblPrEx>
        <w:trPr>
          <w:trHeight w:val="560"/>
          <w:jc w:val="center"/>
        </w:trPr>
        <w:tc>
          <w:tcPr>
            <w:tcW w:w="1189" w:type="dxa"/>
            <w:tcBorders>
              <w:top w:val="single" w:sz="2" w:space="0" w:color="auto"/>
              <w:left w:val="single" w:sz="2" w:space="0" w:color="auto"/>
              <w:bottom w:val="single" w:sz="2" w:space="0" w:color="auto"/>
              <w:right w:val="single" w:sz="2" w:space="0" w:color="auto"/>
            </w:tcBorders>
            <w:vAlign w:val="center"/>
          </w:tcPr>
          <w:p w14:paraId="793AC84E">
            <w:r>
              <w:rPr>
                <w:rFonts w:hint="eastAsia"/>
              </w:rPr>
              <w:t>毕业学校</w:t>
            </w:r>
          </w:p>
        </w:tc>
        <w:tc>
          <w:tcPr>
            <w:tcW w:w="7333" w:type="dxa"/>
            <w:gridSpan w:val="8"/>
            <w:tcBorders>
              <w:top w:val="single" w:sz="2" w:space="0" w:color="auto"/>
              <w:left w:val="single" w:sz="2" w:space="0" w:color="auto"/>
              <w:bottom w:val="single" w:sz="2" w:space="0" w:color="auto"/>
              <w:right w:val="single" w:sz="2" w:space="0" w:color="auto"/>
            </w:tcBorders>
            <w:vAlign w:val="center"/>
          </w:tcPr>
          <w:p w14:paraId="0C894B2E">
            <w:r>
              <w:rPr>
                <w:rFonts w:hint="eastAsia"/>
              </w:rPr>
              <w:t>年毕业于学校专业</w:t>
            </w:r>
          </w:p>
        </w:tc>
      </w:tr>
      <w:tr w14:paraId="04AE7A4C">
        <w:tblPrEx>
          <w:tblW w:w="0" w:type="auto"/>
          <w:jc w:val="center"/>
          <w:tblLayout w:type="fixed"/>
          <w:tblCellMar>
            <w:top w:w="0" w:type="dxa"/>
            <w:left w:w="108" w:type="dxa"/>
            <w:bottom w:w="0" w:type="dxa"/>
            <w:right w:w="108" w:type="dxa"/>
          </w:tblCellMar>
        </w:tblPrEx>
        <w:trPr>
          <w:trHeight w:val="568"/>
          <w:jc w:val="center"/>
        </w:trPr>
        <w:tc>
          <w:tcPr>
            <w:tcW w:w="8522" w:type="dxa"/>
            <w:gridSpan w:val="9"/>
            <w:tcBorders>
              <w:top w:val="single" w:sz="2" w:space="0" w:color="auto"/>
              <w:left w:val="single" w:sz="2" w:space="0" w:color="auto"/>
              <w:bottom w:val="single" w:sz="2" w:space="0" w:color="auto"/>
              <w:right w:val="single" w:sz="2" w:space="0" w:color="auto"/>
            </w:tcBorders>
            <w:vAlign w:val="center"/>
          </w:tcPr>
          <w:p w14:paraId="1012F7BC">
            <w:r>
              <w:rPr>
                <w:rFonts w:hint="eastAsia"/>
              </w:rPr>
              <w:t>主要工作经历</w:t>
            </w:r>
          </w:p>
        </w:tc>
      </w:tr>
      <w:tr w14:paraId="2D7FB7D9">
        <w:tblPrEx>
          <w:tblW w:w="0" w:type="auto"/>
          <w:jc w:val="center"/>
          <w:tblLayout w:type="fixed"/>
          <w:tblCellMar>
            <w:top w:w="0" w:type="dxa"/>
            <w:left w:w="108" w:type="dxa"/>
            <w:bottom w:w="0" w:type="dxa"/>
            <w:right w:w="108" w:type="dxa"/>
          </w:tblCellMar>
        </w:tblPrEx>
        <w:trPr>
          <w:trHeight w:val="562"/>
          <w:jc w:val="center"/>
        </w:trPr>
        <w:tc>
          <w:tcPr>
            <w:tcW w:w="1549" w:type="dxa"/>
            <w:gridSpan w:val="2"/>
            <w:tcBorders>
              <w:top w:val="single" w:sz="2" w:space="0" w:color="auto"/>
              <w:left w:val="single" w:sz="2" w:space="0" w:color="auto"/>
              <w:bottom w:val="single" w:sz="2" w:space="0" w:color="auto"/>
              <w:right w:val="single" w:sz="2" w:space="0" w:color="auto"/>
            </w:tcBorders>
            <w:vAlign w:val="center"/>
          </w:tcPr>
          <w:p w14:paraId="21BD9A08">
            <w:r>
              <w:rPr>
                <w:rFonts w:hint="eastAsia"/>
              </w:rPr>
              <w:t>时间</w:t>
            </w:r>
          </w:p>
        </w:tc>
        <w:tc>
          <w:tcPr>
            <w:tcW w:w="3057" w:type="dxa"/>
            <w:gridSpan w:val="4"/>
            <w:tcBorders>
              <w:top w:val="single" w:sz="2" w:space="0" w:color="auto"/>
              <w:left w:val="single" w:sz="2" w:space="0" w:color="auto"/>
              <w:bottom w:val="single" w:sz="2" w:space="0" w:color="auto"/>
              <w:right w:val="single" w:sz="2" w:space="0" w:color="auto"/>
            </w:tcBorders>
            <w:vAlign w:val="center"/>
          </w:tcPr>
          <w:p w14:paraId="51ACFA29">
            <w:r>
              <w:rPr>
                <w:rFonts w:hint="eastAsia"/>
              </w:rPr>
              <w:t>参加过的类似项目</w:t>
            </w:r>
          </w:p>
        </w:tc>
        <w:tc>
          <w:tcPr>
            <w:tcW w:w="1440" w:type="dxa"/>
            <w:tcBorders>
              <w:top w:val="single" w:sz="2" w:space="0" w:color="auto"/>
              <w:left w:val="single" w:sz="2" w:space="0" w:color="auto"/>
              <w:bottom w:val="single" w:sz="2" w:space="0" w:color="auto"/>
              <w:right w:val="single" w:sz="2" w:space="0" w:color="auto"/>
            </w:tcBorders>
            <w:vAlign w:val="center"/>
          </w:tcPr>
          <w:p w14:paraId="455FBC38">
            <w:r>
              <w:rPr>
                <w:rFonts w:hint="eastAsia"/>
              </w:rPr>
              <w:t>担任职务</w:t>
            </w:r>
          </w:p>
        </w:tc>
        <w:tc>
          <w:tcPr>
            <w:tcW w:w="2476" w:type="dxa"/>
            <w:gridSpan w:val="2"/>
            <w:tcBorders>
              <w:top w:val="single" w:sz="2" w:space="0" w:color="auto"/>
              <w:left w:val="single" w:sz="2" w:space="0" w:color="auto"/>
              <w:bottom w:val="single" w:sz="2" w:space="0" w:color="auto"/>
              <w:right w:val="single" w:sz="2" w:space="0" w:color="auto"/>
            </w:tcBorders>
            <w:vAlign w:val="center"/>
          </w:tcPr>
          <w:p w14:paraId="2038CF1D">
            <w:r>
              <w:rPr>
                <w:rFonts w:hint="eastAsia"/>
              </w:rPr>
              <w:t>发包人及联系电话</w:t>
            </w:r>
          </w:p>
        </w:tc>
      </w:tr>
      <w:tr w14:paraId="1D342923">
        <w:tblPrEx>
          <w:tblW w:w="0" w:type="auto"/>
          <w:jc w:val="center"/>
          <w:tblLayout w:type="fixed"/>
          <w:tblCellMar>
            <w:top w:w="0" w:type="dxa"/>
            <w:left w:w="108" w:type="dxa"/>
            <w:bottom w:w="0" w:type="dxa"/>
            <w:right w:w="108" w:type="dxa"/>
          </w:tblCellMar>
        </w:tblPrEx>
        <w:trPr>
          <w:jc w:val="center"/>
        </w:trPr>
        <w:tc>
          <w:tcPr>
            <w:tcW w:w="1549" w:type="dxa"/>
            <w:gridSpan w:val="2"/>
            <w:tcBorders>
              <w:top w:val="single" w:sz="2" w:space="0" w:color="auto"/>
              <w:left w:val="single" w:sz="2" w:space="0" w:color="auto"/>
              <w:bottom w:val="single" w:sz="2" w:space="0" w:color="auto"/>
              <w:right w:val="single" w:sz="2" w:space="0" w:color="auto"/>
            </w:tcBorders>
            <w:vAlign w:val="center"/>
          </w:tcPr>
          <w:p w14:paraId="1F97DD5D">
            <w:pPr>
              <w:rPr>
                <w:sz w:val="27"/>
                <w:szCs w:val="22"/>
              </w:rPr>
            </w:pPr>
          </w:p>
        </w:tc>
        <w:tc>
          <w:tcPr>
            <w:tcW w:w="3057" w:type="dxa"/>
            <w:gridSpan w:val="4"/>
            <w:tcBorders>
              <w:top w:val="single" w:sz="2" w:space="0" w:color="auto"/>
              <w:left w:val="single" w:sz="2" w:space="0" w:color="auto"/>
              <w:bottom w:val="single" w:sz="2" w:space="0" w:color="auto"/>
              <w:right w:val="single" w:sz="2" w:space="0" w:color="auto"/>
            </w:tcBorders>
            <w:vAlign w:val="center"/>
          </w:tcPr>
          <w:p w14:paraId="6BFCBEA4">
            <w:pPr>
              <w:rPr>
                <w:sz w:val="27"/>
              </w:rPr>
            </w:pPr>
          </w:p>
        </w:tc>
        <w:tc>
          <w:tcPr>
            <w:tcW w:w="1440" w:type="dxa"/>
            <w:tcBorders>
              <w:top w:val="single" w:sz="2" w:space="0" w:color="auto"/>
              <w:left w:val="single" w:sz="2" w:space="0" w:color="auto"/>
              <w:bottom w:val="single" w:sz="2" w:space="0" w:color="auto"/>
              <w:right w:val="single" w:sz="2" w:space="0" w:color="auto"/>
            </w:tcBorders>
            <w:vAlign w:val="center"/>
          </w:tcPr>
          <w:p w14:paraId="6BF60486">
            <w:pPr>
              <w:rPr>
                <w:sz w:val="27"/>
              </w:rPr>
            </w:pPr>
          </w:p>
        </w:tc>
        <w:tc>
          <w:tcPr>
            <w:tcW w:w="2476" w:type="dxa"/>
            <w:gridSpan w:val="2"/>
            <w:tcBorders>
              <w:top w:val="single" w:sz="2" w:space="0" w:color="auto"/>
              <w:left w:val="single" w:sz="2" w:space="0" w:color="auto"/>
              <w:bottom w:val="single" w:sz="2" w:space="0" w:color="auto"/>
              <w:right w:val="single" w:sz="2" w:space="0" w:color="auto"/>
            </w:tcBorders>
            <w:vAlign w:val="center"/>
          </w:tcPr>
          <w:p w14:paraId="7280D0F3">
            <w:pPr>
              <w:rPr>
                <w:sz w:val="27"/>
              </w:rPr>
            </w:pPr>
          </w:p>
        </w:tc>
      </w:tr>
      <w:tr w14:paraId="097C414A">
        <w:tblPrEx>
          <w:tblW w:w="0" w:type="auto"/>
          <w:jc w:val="center"/>
          <w:tblLayout w:type="fixed"/>
          <w:tblCellMar>
            <w:top w:w="0" w:type="dxa"/>
            <w:left w:w="108" w:type="dxa"/>
            <w:bottom w:w="0" w:type="dxa"/>
            <w:right w:w="108" w:type="dxa"/>
          </w:tblCellMar>
        </w:tblPrEx>
        <w:trPr>
          <w:jc w:val="center"/>
        </w:trPr>
        <w:tc>
          <w:tcPr>
            <w:tcW w:w="1549" w:type="dxa"/>
            <w:gridSpan w:val="2"/>
            <w:tcBorders>
              <w:top w:val="single" w:sz="2" w:space="0" w:color="auto"/>
              <w:left w:val="single" w:sz="2" w:space="0" w:color="auto"/>
              <w:bottom w:val="single" w:sz="2" w:space="0" w:color="auto"/>
              <w:right w:val="single" w:sz="2" w:space="0" w:color="auto"/>
            </w:tcBorders>
            <w:vAlign w:val="center"/>
          </w:tcPr>
          <w:p w14:paraId="7F883999">
            <w:pPr>
              <w:rPr>
                <w:sz w:val="27"/>
              </w:rPr>
            </w:pPr>
          </w:p>
        </w:tc>
        <w:tc>
          <w:tcPr>
            <w:tcW w:w="3057" w:type="dxa"/>
            <w:gridSpan w:val="4"/>
            <w:tcBorders>
              <w:top w:val="single" w:sz="2" w:space="0" w:color="auto"/>
              <w:left w:val="single" w:sz="2" w:space="0" w:color="auto"/>
              <w:bottom w:val="single" w:sz="2" w:space="0" w:color="auto"/>
              <w:right w:val="single" w:sz="2" w:space="0" w:color="auto"/>
            </w:tcBorders>
            <w:vAlign w:val="center"/>
          </w:tcPr>
          <w:p w14:paraId="7B629505">
            <w:pPr>
              <w:rPr>
                <w:sz w:val="27"/>
              </w:rPr>
            </w:pPr>
          </w:p>
        </w:tc>
        <w:tc>
          <w:tcPr>
            <w:tcW w:w="1440" w:type="dxa"/>
            <w:tcBorders>
              <w:top w:val="single" w:sz="2" w:space="0" w:color="auto"/>
              <w:left w:val="single" w:sz="2" w:space="0" w:color="auto"/>
              <w:bottom w:val="single" w:sz="2" w:space="0" w:color="auto"/>
              <w:right w:val="single" w:sz="2" w:space="0" w:color="auto"/>
            </w:tcBorders>
            <w:vAlign w:val="center"/>
          </w:tcPr>
          <w:p w14:paraId="79604FB8">
            <w:pPr>
              <w:rPr>
                <w:sz w:val="27"/>
              </w:rPr>
            </w:pPr>
          </w:p>
        </w:tc>
        <w:tc>
          <w:tcPr>
            <w:tcW w:w="2476" w:type="dxa"/>
            <w:gridSpan w:val="2"/>
            <w:tcBorders>
              <w:top w:val="single" w:sz="2" w:space="0" w:color="auto"/>
              <w:left w:val="single" w:sz="2" w:space="0" w:color="auto"/>
              <w:bottom w:val="single" w:sz="2" w:space="0" w:color="auto"/>
              <w:right w:val="single" w:sz="2" w:space="0" w:color="auto"/>
            </w:tcBorders>
            <w:vAlign w:val="center"/>
          </w:tcPr>
          <w:p w14:paraId="46E9387F">
            <w:pPr>
              <w:rPr>
                <w:sz w:val="27"/>
              </w:rPr>
            </w:pPr>
          </w:p>
        </w:tc>
      </w:tr>
      <w:tr w14:paraId="300F8863">
        <w:tblPrEx>
          <w:tblW w:w="0" w:type="auto"/>
          <w:jc w:val="center"/>
          <w:tblLayout w:type="fixed"/>
          <w:tblCellMar>
            <w:top w:w="0" w:type="dxa"/>
            <w:left w:w="108" w:type="dxa"/>
            <w:bottom w:w="0" w:type="dxa"/>
            <w:right w:w="108" w:type="dxa"/>
          </w:tblCellMar>
        </w:tblPrEx>
        <w:trPr>
          <w:jc w:val="center"/>
        </w:trPr>
        <w:tc>
          <w:tcPr>
            <w:tcW w:w="1549" w:type="dxa"/>
            <w:gridSpan w:val="2"/>
            <w:tcBorders>
              <w:top w:val="single" w:sz="2" w:space="0" w:color="auto"/>
              <w:left w:val="single" w:sz="2" w:space="0" w:color="auto"/>
              <w:bottom w:val="single" w:sz="2" w:space="0" w:color="auto"/>
              <w:right w:val="single" w:sz="2" w:space="0" w:color="auto"/>
            </w:tcBorders>
            <w:vAlign w:val="center"/>
          </w:tcPr>
          <w:p w14:paraId="58095A63">
            <w:pPr>
              <w:rPr>
                <w:sz w:val="27"/>
              </w:rPr>
            </w:pPr>
          </w:p>
        </w:tc>
        <w:tc>
          <w:tcPr>
            <w:tcW w:w="3057" w:type="dxa"/>
            <w:gridSpan w:val="4"/>
            <w:tcBorders>
              <w:top w:val="single" w:sz="2" w:space="0" w:color="auto"/>
              <w:left w:val="single" w:sz="2" w:space="0" w:color="auto"/>
              <w:bottom w:val="single" w:sz="2" w:space="0" w:color="auto"/>
              <w:right w:val="single" w:sz="2" w:space="0" w:color="auto"/>
            </w:tcBorders>
            <w:vAlign w:val="center"/>
          </w:tcPr>
          <w:p w14:paraId="1C2877CE">
            <w:pPr>
              <w:rPr>
                <w:sz w:val="27"/>
              </w:rPr>
            </w:pPr>
          </w:p>
        </w:tc>
        <w:tc>
          <w:tcPr>
            <w:tcW w:w="1440" w:type="dxa"/>
            <w:tcBorders>
              <w:top w:val="single" w:sz="2" w:space="0" w:color="auto"/>
              <w:left w:val="single" w:sz="2" w:space="0" w:color="auto"/>
              <w:bottom w:val="single" w:sz="2" w:space="0" w:color="auto"/>
              <w:right w:val="single" w:sz="2" w:space="0" w:color="auto"/>
            </w:tcBorders>
            <w:vAlign w:val="center"/>
          </w:tcPr>
          <w:p w14:paraId="0F948A9A">
            <w:pPr>
              <w:rPr>
                <w:sz w:val="27"/>
              </w:rPr>
            </w:pPr>
          </w:p>
        </w:tc>
        <w:tc>
          <w:tcPr>
            <w:tcW w:w="2476" w:type="dxa"/>
            <w:gridSpan w:val="2"/>
            <w:tcBorders>
              <w:top w:val="single" w:sz="2" w:space="0" w:color="auto"/>
              <w:left w:val="single" w:sz="2" w:space="0" w:color="auto"/>
              <w:bottom w:val="single" w:sz="2" w:space="0" w:color="auto"/>
              <w:right w:val="single" w:sz="2" w:space="0" w:color="auto"/>
            </w:tcBorders>
            <w:vAlign w:val="center"/>
          </w:tcPr>
          <w:p w14:paraId="1E0C6D46">
            <w:pPr>
              <w:rPr>
                <w:sz w:val="27"/>
              </w:rPr>
            </w:pPr>
          </w:p>
        </w:tc>
      </w:tr>
      <w:tr w14:paraId="600EFFEB">
        <w:tblPrEx>
          <w:tblW w:w="0" w:type="auto"/>
          <w:jc w:val="center"/>
          <w:tblLayout w:type="fixed"/>
          <w:tblCellMar>
            <w:top w:w="0" w:type="dxa"/>
            <w:left w:w="108" w:type="dxa"/>
            <w:bottom w:w="0" w:type="dxa"/>
            <w:right w:w="108" w:type="dxa"/>
          </w:tblCellMar>
        </w:tblPrEx>
        <w:trPr>
          <w:jc w:val="center"/>
        </w:trPr>
        <w:tc>
          <w:tcPr>
            <w:tcW w:w="1549" w:type="dxa"/>
            <w:gridSpan w:val="2"/>
            <w:tcBorders>
              <w:top w:val="single" w:sz="2" w:space="0" w:color="auto"/>
              <w:left w:val="single" w:sz="2" w:space="0" w:color="auto"/>
              <w:bottom w:val="single" w:sz="2" w:space="0" w:color="auto"/>
              <w:right w:val="single" w:sz="2" w:space="0" w:color="auto"/>
            </w:tcBorders>
            <w:vAlign w:val="center"/>
          </w:tcPr>
          <w:p w14:paraId="1397232F">
            <w:pPr>
              <w:rPr>
                <w:sz w:val="27"/>
              </w:rPr>
            </w:pPr>
          </w:p>
        </w:tc>
        <w:tc>
          <w:tcPr>
            <w:tcW w:w="3057" w:type="dxa"/>
            <w:gridSpan w:val="4"/>
            <w:tcBorders>
              <w:top w:val="single" w:sz="2" w:space="0" w:color="auto"/>
              <w:left w:val="single" w:sz="2" w:space="0" w:color="auto"/>
              <w:bottom w:val="single" w:sz="2" w:space="0" w:color="auto"/>
              <w:right w:val="single" w:sz="2" w:space="0" w:color="auto"/>
            </w:tcBorders>
            <w:vAlign w:val="center"/>
          </w:tcPr>
          <w:p w14:paraId="738DF6A7">
            <w:pPr>
              <w:rPr>
                <w:sz w:val="27"/>
              </w:rPr>
            </w:pPr>
          </w:p>
        </w:tc>
        <w:tc>
          <w:tcPr>
            <w:tcW w:w="1440" w:type="dxa"/>
            <w:tcBorders>
              <w:top w:val="single" w:sz="2" w:space="0" w:color="auto"/>
              <w:left w:val="single" w:sz="2" w:space="0" w:color="auto"/>
              <w:bottom w:val="single" w:sz="2" w:space="0" w:color="auto"/>
              <w:right w:val="single" w:sz="2" w:space="0" w:color="auto"/>
            </w:tcBorders>
            <w:vAlign w:val="center"/>
          </w:tcPr>
          <w:p w14:paraId="0613690A">
            <w:pPr>
              <w:rPr>
                <w:sz w:val="27"/>
              </w:rPr>
            </w:pPr>
          </w:p>
        </w:tc>
        <w:tc>
          <w:tcPr>
            <w:tcW w:w="2476" w:type="dxa"/>
            <w:gridSpan w:val="2"/>
            <w:tcBorders>
              <w:top w:val="single" w:sz="2" w:space="0" w:color="auto"/>
              <w:left w:val="single" w:sz="2" w:space="0" w:color="auto"/>
              <w:bottom w:val="single" w:sz="2" w:space="0" w:color="auto"/>
              <w:right w:val="single" w:sz="2" w:space="0" w:color="auto"/>
            </w:tcBorders>
            <w:vAlign w:val="center"/>
          </w:tcPr>
          <w:p w14:paraId="76614628">
            <w:pPr>
              <w:rPr>
                <w:sz w:val="27"/>
              </w:rPr>
            </w:pPr>
          </w:p>
        </w:tc>
      </w:tr>
      <w:tr w14:paraId="60EA4B2D">
        <w:tblPrEx>
          <w:tblW w:w="0" w:type="auto"/>
          <w:jc w:val="center"/>
          <w:tblLayout w:type="fixed"/>
          <w:tblCellMar>
            <w:top w:w="0" w:type="dxa"/>
            <w:left w:w="108" w:type="dxa"/>
            <w:bottom w:w="0" w:type="dxa"/>
            <w:right w:w="108" w:type="dxa"/>
          </w:tblCellMar>
        </w:tblPrEx>
        <w:trPr>
          <w:jc w:val="center"/>
        </w:trPr>
        <w:tc>
          <w:tcPr>
            <w:tcW w:w="1549" w:type="dxa"/>
            <w:gridSpan w:val="2"/>
            <w:tcBorders>
              <w:top w:val="single" w:sz="2" w:space="0" w:color="auto"/>
              <w:left w:val="single" w:sz="2" w:space="0" w:color="auto"/>
              <w:bottom w:val="single" w:sz="2" w:space="0" w:color="auto"/>
              <w:right w:val="single" w:sz="2" w:space="0" w:color="auto"/>
            </w:tcBorders>
            <w:vAlign w:val="center"/>
          </w:tcPr>
          <w:p w14:paraId="793EF0CE">
            <w:pPr>
              <w:rPr>
                <w:sz w:val="27"/>
              </w:rPr>
            </w:pPr>
          </w:p>
        </w:tc>
        <w:tc>
          <w:tcPr>
            <w:tcW w:w="3057" w:type="dxa"/>
            <w:gridSpan w:val="4"/>
            <w:tcBorders>
              <w:top w:val="single" w:sz="2" w:space="0" w:color="auto"/>
              <w:left w:val="single" w:sz="2" w:space="0" w:color="auto"/>
              <w:bottom w:val="single" w:sz="2" w:space="0" w:color="auto"/>
              <w:right w:val="single" w:sz="2" w:space="0" w:color="auto"/>
            </w:tcBorders>
            <w:vAlign w:val="center"/>
          </w:tcPr>
          <w:p w14:paraId="201D3361">
            <w:pPr>
              <w:rPr>
                <w:sz w:val="27"/>
              </w:rPr>
            </w:pPr>
          </w:p>
        </w:tc>
        <w:tc>
          <w:tcPr>
            <w:tcW w:w="1440" w:type="dxa"/>
            <w:tcBorders>
              <w:top w:val="single" w:sz="2" w:space="0" w:color="auto"/>
              <w:left w:val="single" w:sz="2" w:space="0" w:color="auto"/>
              <w:bottom w:val="single" w:sz="2" w:space="0" w:color="auto"/>
              <w:right w:val="single" w:sz="2" w:space="0" w:color="auto"/>
            </w:tcBorders>
            <w:vAlign w:val="center"/>
          </w:tcPr>
          <w:p w14:paraId="08C573EA">
            <w:pPr>
              <w:rPr>
                <w:sz w:val="27"/>
              </w:rPr>
            </w:pPr>
          </w:p>
        </w:tc>
        <w:tc>
          <w:tcPr>
            <w:tcW w:w="2476" w:type="dxa"/>
            <w:gridSpan w:val="2"/>
            <w:tcBorders>
              <w:top w:val="single" w:sz="2" w:space="0" w:color="auto"/>
              <w:left w:val="single" w:sz="2" w:space="0" w:color="auto"/>
              <w:bottom w:val="single" w:sz="2" w:space="0" w:color="auto"/>
              <w:right w:val="single" w:sz="2" w:space="0" w:color="auto"/>
            </w:tcBorders>
            <w:vAlign w:val="center"/>
          </w:tcPr>
          <w:p w14:paraId="0EAA725A">
            <w:pPr>
              <w:rPr>
                <w:sz w:val="27"/>
              </w:rPr>
            </w:pPr>
          </w:p>
        </w:tc>
      </w:tr>
      <w:tr w14:paraId="2BAD79B3">
        <w:tblPrEx>
          <w:tblW w:w="0" w:type="auto"/>
          <w:jc w:val="center"/>
          <w:tblLayout w:type="fixed"/>
          <w:tblCellMar>
            <w:top w:w="0" w:type="dxa"/>
            <w:left w:w="108" w:type="dxa"/>
            <w:bottom w:w="0" w:type="dxa"/>
            <w:right w:w="108" w:type="dxa"/>
          </w:tblCellMar>
        </w:tblPrEx>
        <w:trPr>
          <w:jc w:val="center"/>
        </w:trPr>
        <w:tc>
          <w:tcPr>
            <w:tcW w:w="1549" w:type="dxa"/>
            <w:gridSpan w:val="2"/>
            <w:tcBorders>
              <w:top w:val="single" w:sz="2" w:space="0" w:color="auto"/>
              <w:left w:val="single" w:sz="2" w:space="0" w:color="auto"/>
              <w:bottom w:val="single" w:sz="2" w:space="0" w:color="auto"/>
              <w:right w:val="single" w:sz="2" w:space="0" w:color="auto"/>
            </w:tcBorders>
            <w:vAlign w:val="center"/>
          </w:tcPr>
          <w:p w14:paraId="01731E9A">
            <w:pPr>
              <w:rPr>
                <w:sz w:val="27"/>
              </w:rPr>
            </w:pPr>
          </w:p>
        </w:tc>
        <w:tc>
          <w:tcPr>
            <w:tcW w:w="3057" w:type="dxa"/>
            <w:gridSpan w:val="4"/>
            <w:tcBorders>
              <w:top w:val="single" w:sz="2" w:space="0" w:color="auto"/>
              <w:left w:val="single" w:sz="2" w:space="0" w:color="auto"/>
              <w:bottom w:val="single" w:sz="2" w:space="0" w:color="auto"/>
              <w:right w:val="single" w:sz="2" w:space="0" w:color="auto"/>
            </w:tcBorders>
            <w:vAlign w:val="center"/>
          </w:tcPr>
          <w:p w14:paraId="00986F8C">
            <w:pPr>
              <w:rPr>
                <w:sz w:val="27"/>
              </w:rPr>
            </w:pPr>
          </w:p>
        </w:tc>
        <w:tc>
          <w:tcPr>
            <w:tcW w:w="1440" w:type="dxa"/>
            <w:tcBorders>
              <w:top w:val="single" w:sz="2" w:space="0" w:color="auto"/>
              <w:left w:val="single" w:sz="2" w:space="0" w:color="auto"/>
              <w:bottom w:val="single" w:sz="2" w:space="0" w:color="auto"/>
              <w:right w:val="single" w:sz="2" w:space="0" w:color="auto"/>
            </w:tcBorders>
            <w:vAlign w:val="center"/>
          </w:tcPr>
          <w:p w14:paraId="49928E1B">
            <w:pPr>
              <w:rPr>
                <w:sz w:val="27"/>
              </w:rPr>
            </w:pPr>
          </w:p>
        </w:tc>
        <w:tc>
          <w:tcPr>
            <w:tcW w:w="2476" w:type="dxa"/>
            <w:gridSpan w:val="2"/>
            <w:tcBorders>
              <w:top w:val="single" w:sz="2" w:space="0" w:color="auto"/>
              <w:left w:val="single" w:sz="2" w:space="0" w:color="auto"/>
              <w:bottom w:val="single" w:sz="2" w:space="0" w:color="auto"/>
              <w:right w:val="single" w:sz="2" w:space="0" w:color="auto"/>
            </w:tcBorders>
            <w:vAlign w:val="center"/>
          </w:tcPr>
          <w:p w14:paraId="7E70FAAC">
            <w:pPr>
              <w:rPr>
                <w:sz w:val="27"/>
              </w:rPr>
            </w:pPr>
          </w:p>
        </w:tc>
      </w:tr>
      <w:tr w14:paraId="7A0D9486">
        <w:tblPrEx>
          <w:tblW w:w="0" w:type="auto"/>
          <w:jc w:val="center"/>
          <w:tblLayout w:type="fixed"/>
          <w:tblCellMar>
            <w:top w:w="0" w:type="dxa"/>
            <w:left w:w="108" w:type="dxa"/>
            <w:bottom w:w="0" w:type="dxa"/>
            <w:right w:w="108" w:type="dxa"/>
          </w:tblCellMar>
        </w:tblPrEx>
        <w:trPr>
          <w:jc w:val="center"/>
        </w:trPr>
        <w:tc>
          <w:tcPr>
            <w:tcW w:w="1549" w:type="dxa"/>
            <w:gridSpan w:val="2"/>
            <w:tcBorders>
              <w:top w:val="single" w:sz="2" w:space="0" w:color="auto"/>
              <w:left w:val="single" w:sz="2" w:space="0" w:color="auto"/>
              <w:bottom w:val="single" w:sz="2" w:space="0" w:color="auto"/>
              <w:right w:val="single" w:sz="2" w:space="0" w:color="auto"/>
            </w:tcBorders>
            <w:vAlign w:val="center"/>
          </w:tcPr>
          <w:p w14:paraId="5ED2A43E">
            <w:pPr>
              <w:rPr>
                <w:sz w:val="27"/>
              </w:rPr>
            </w:pPr>
          </w:p>
        </w:tc>
        <w:tc>
          <w:tcPr>
            <w:tcW w:w="3057" w:type="dxa"/>
            <w:gridSpan w:val="4"/>
            <w:tcBorders>
              <w:top w:val="single" w:sz="2" w:space="0" w:color="auto"/>
              <w:left w:val="single" w:sz="2" w:space="0" w:color="auto"/>
              <w:bottom w:val="single" w:sz="2" w:space="0" w:color="auto"/>
              <w:right w:val="single" w:sz="2" w:space="0" w:color="auto"/>
            </w:tcBorders>
            <w:vAlign w:val="center"/>
          </w:tcPr>
          <w:p w14:paraId="31D5F111">
            <w:pPr>
              <w:rPr>
                <w:sz w:val="27"/>
              </w:rPr>
            </w:pPr>
          </w:p>
        </w:tc>
        <w:tc>
          <w:tcPr>
            <w:tcW w:w="1440" w:type="dxa"/>
            <w:tcBorders>
              <w:top w:val="single" w:sz="2" w:space="0" w:color="auto"/>
              <w:left w:val="single" w:sz="2" w:space="0" w:color="auto"/>
              <w:bottom w:val="single" w:sz="2" w:space="0" w:color="auto"/>
              <w:right w:val="single" w:sz="2" w:space="0" w:color="auto"/>
            </w:tcBorders>
            <w:vAlign w:val="center"/>
          </w:tcPr>
          <w:p w14:paraId="0945931E">
            <w:pPr>
              <w:rPr>
                <w:sz w:val="27"/>
              </w:rPr>
            </w:pPr>
          </w:p>
        </w:tc>
        <w:tc>
          <w:tcPr>
            <w:tcW w:w="2476" w:type="dxa"/>
            <w:gridSpan w:val="2"/>
            <w:tcBorders>
              <w:top w:val="single" w:sz="2" w:space="0" w:color="auto"/>
              <w:left w:val="single" w:sz="2" w:space="0" w:color="auto"/>
              <w:bottom w:val="single" w:sz="2" w:space="0" w:color="auto"/>
              <w:right w:val="single" w:sz="2" w:space="0" w:color="auto"/>
            </w:tcBorders>
            <w:vAlign w:val="center"/>
          </w:tcPr>
          <w:p w14:paraId="063CD973">
            <w:pPr>
              <w:rPr>
                <w:sz w:val="27"/>
              </w:rPr>
            </w:pPr>
          </w:p>
        </w:tc>
      </w:tr>
    </w:tbl>
    <w:p w14:paraId="4971DCC7">
      <w:pPr>
        <w:spacing w:line="36" w:lineRule="auto"/>
        <w:rPr>
          <w:rFonts w:ascii="宋体" w:hAnsi="宋体"/>
          <w:kern w:val="2"/>
          <w:sz w:val="27"/>
          <w:szCs w:val="22"/>
        </w:rPr>
      </w:pPr>
    </w:p>
    <w:p w14:paraId="113294FC">
      <w:pPr>
        <w:spacing w:line="360" w:lineRule="auto"/>
        <w:rPr>
          <w:rFonts w:ascii="宋体" w:hAnsi="宋体" w:cs="宋体"/>
          <w:lang w:eastAsia="zh-CN"/>
        </w:rPr>
      </w:pPr>
      <w:r>
        <w:rPr>
          <w:rFonts w:ascii="宋体" w:hAnsi="宋体" w:hint="eastAsia"/>
          <w:lang w:eastAsia="zh-CN"/>
        </w:rPr>
        <w:t>注：</w:t>
      </w:r>
      <w:r>
        <w:rPr>
          <w:rFonts w:ascii="宋体" w:hAnsi="宋体" w:cs="宋体" w:hint="eastAsia"/>
          <w:lang w:eastAsia="zh-CN"/>
        </w:rPr>
        <w:t>（1）项目经理、技术负责人应附身份证、社保缴费证明和第二章投标人须知前附表1.4.1条规定的证书扫描件，其中一级建造师须附电子证书复印件或扫描件；其他人员应附身份证、社保缴费证明和第三章评标办法中规定的证书扫描件。</w:t>
      </w:r>
    </w:p>
    <w:p w14:paraId="33645EFD">
      <w:pPr>
        <w:tabs>
          <w:tab w:val="left" w:pos="0"/>
          <w:tab w:val="left" w:pos="1134"/>
        </w:tabs>
        <w:autoSpaceDE w:val="0"/>
        <w:autoSpaceDN w:val="0"/>
        <w:spacing w:line="360" w:lineRule="auto"/>
        <w:ind w:firstLine="480" w:firstLineChars="200"/>
        <w:textAlignment w:val="bottom"/>
        <w:rPr>
          <w:rFonts w:ascii="宋体" w:hAnsi="宋体"/>
          <w:kern w:val="2"/>
          <w:lang w:eastAsia="zh-CN"/>
        </w:rPr>
      </w:pPr>
      <w:r>
        <w:rPr>
          <w:rFonts w:ascii="宋体" w:hAnsi="宋体" w:cs="宋体" w:hint="eastAsia"/>
          <w:lang w:eastAsia="zh-CN"/>
        </w:rPr>
        <w:t>（2）社保缴费证明是指，由社保部门出具的主要人员在该投标人单位最近 6 个月连续缴费证明，从招标文件开始下载时间的上一个月或上上个月起算，往前推6个月的连续、不间断的缴费证明，企业设立不足6个月的可少于6个月；退休人员提供退休证明材料，无需提供社保缴费证明；新聘人员提供至少1个月在该投标人单位的社保缴费证明并提供聘用合同，社保起算时间从招标文件开始下载时间的上一个月或上上个月起算。</w:t>
      </w:r>
      <w:r>
        <w:rPr>
          <w:rFonts w:ascii="宋体" w:hAnsi="宋体" w:hint="eastAsia"/>
          <w:lang w:eastAsia="zh-CN"/>
        </w:rPr>
        <w:t xml:space="preserve">     </w:t>
      </w:r>
    </w:p>
    <w:p w14:paraId="73F8997C">
      <w:pPr>
        <w:spacing w:line="360" w:lineRule="auto"/>
        <w:ind w:firstLine="360" w:firstLineChars="150"/>
        <w:rPr>
          <w:rFonts w:ascii="宋体" w:hAnsi="宋体" w:cs="宋体"/>
          <w:lang w:eastAsia="zh-CN"/>
        </w:rPr>
      </w:pPr>
      <w:r>
        <w:rPr>
          <w:rFonts w:ascii="宋体" w:hAnsi="宋体" w:cs="宋体" w:hint="eastAsia"/>
          <w:lang w:eastAsia="zh-CN"/>
        </w:rPr>
        <w:t>（3）</w:t>
      </w:r>
      <w:r>
        <w:rPr>
          <w:rFonts w:ascii="宋体" w:hAnsi="宋体" w:hint="eastAsia"/>
          <w:lang w:eastAsia="zh-CN"/>
        </w:rPr>
        <w:t>资格条件和评标办法中有其他要求的应按要求提供相关证明材料扫描件，未要求的可不提供</w:t>
      </w:r>
      <w:r>
        <w:rPr>
          <w:rFonts w:ascii="宋体" w:hAnsi="宋体" w:cs="宋体" w:hint="eastAsia"/>
          <w:lang w:eastAsia="zh-CN"/>
        </w:rPr>
        <w:t>。若要求项目经理业绩，则项目经理业绩以竣工验收报告中载明的项目经理为准。</w:t>
      </w:r>
    </w:p>
    <w:p w14:paraId="6CA963FE">
      <w:pPr>
        <w:pStyle w:val="BodyTextFirstIndent21"/>
        <w:ind w:firstLine="480"/>
        <w:rPr>
          <w:lang w:eastAsia="zh-CN"/>
        </w:rPr>
      </w:pPr>
      <w:r>
        <w:rPr>
          <w:rFonts w:ascii="宋体" w:hAnsi="宋体" w:cs="宋体" w:hint="eastAsia"/>
          <w:lang w:eastAsia="zh-CN"/>
        </w:rPr>
        <w:t>（4）使用电子注册证书的，其电子证书的有效性应符合有关规定。</w:t>
      </w:r>
    </w:p>
    <w:p w14:paraId="46705A63">
      <w:pPr>
        <w:rPr>
          <w:rFonts w:ascii="宋体" w:hAnsi="宋体" w:cs="宋体"/>
          <w:lang w:eastAsia="zh-CN"/>
        </w:rPr>
      </w:pPr>
    </w:p>
    <w:p w14:paraId="19932608">
      <w:pPr>
        <w:pStyle w:val="Heading2"/>
        <w:spacing w:line="36" w:lineRule="auto"/>
        <w:jc w:val="center"/>
        <w:rPr>
          <w:rFonts w:ascii="宋体" w:hAnsi="宋体"/>
          <w:sz w:val="27"/>
        </w:rPr>
      </w:pPr>
      <w:bookmarkStart w:id="1539" w:name="_Toc256000108"/>
      <w:r>
        <w:rPr>
          <w:rFonts w:ascii="宋体" w:hAnsi="宋体" w:hint="eastAsia"/>
          <w:sz w:val="27"/>
        </w:rPr>
        <w:t>八、拟分包项目情况表</w:t>
      </w:r>
      <w:bookmarkEnd w:id="1539"/>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2092"/>
        <w:gridCol w:w="1795"/>
        <w:gridCol w:w="4500"/>
      </w:tblGrid>
      <w:tr w14:paraId="468D7705">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1042"/>
          <w:jc w:val="center"/>
        </w:trPr>
        <w:tc>
          <w:tcPr>
            <w:tcW w:w="2092" w:type="dxa"/>
            <w:tcBorders>
              <w:top w:val="single" w:sz="2" w:space="0" w:color="auto"/>
              <w:left w:val="single" w:sz="2" w:space="0" w:color="auto"/>
              <w:bottom w:val="single" w:sz="2" w:space="0" w:color="auto"/>
              <w:right w:val="single" w:sz="2" w:space="0" w:color="auto"/>
            </w:tcBorders>
            <w:vAlign w:val="center"/>
          </w:tcPr>
          <w:p w14:paraId="57C1BDC3">
            <w:r>
              <w:rPr>
                <w:rFonts w:hint="eastAsia"/>
              </w:rPr>
              <w:t>拟分包的工程</w:t>
            </w:r>
          </w:p>
          <w:p w14:paraId="58C06ECC">
            <w:r>
              <w:rPr>
                <w:rFonts w:hint="eastAsia"/>
              </w:rPr>
              <w:t>项目</w:t>
            </w:r>
          </w:p>
        </w:tc>
        <w:tc>
          <w:tcPr>
            <w:tcW w:w="1795" w:type="dxa"/>
            <w:tcBorders>
              <w:top w:val="single" w:sz="2" w:space="0" w:color="auto"/>
              <w:left w:val="single" w:sz="2" w:space="0" w:color="auto"/>
              <w:bottom w:val="single" w:sz="2" w:space="0" w:color="auto"/>
              <w:right w:val="single" w:sz="2" w:space="0" w:color="auto"/>
            </w:tcBorders>
            <w:vAlign w:val="center"/>
          </w:tcPr>
          <w:p w14:paraId="5BE1EBBA">
            <w:r>
              <w:rPr>
                <w:rFonts w:hint="eastAsia"/>
              </w:rPr>
              <w:t>主要内容</w:t>
            </w:r>
          </w:p>
        </w:tc>
        <w:tc>
          <w:tcPr>
            <w:tcW w:w="4500" w:type="dxa"/>
            <w:tcBorders>
              <w:top w:val="single" w:sz="2" w:space="0" w:color="auto"/>
              <w:left w:val="single" w:sz="2" w:space="0" w:color="auto"/>
              <w:bottom w:val="single" w:sz="2" w:space="0" w:color="auto"/>
              <w:right w:val="single" w:sz="2" w:space="0" w:color="auto"/>
            </w:tcBorders>
            <w:vAlign w:val="center"/>
          </w:tcPr>
          <w:p w14:paraId="6D363B8F">
            <w:r>
              <w:rPr>
                <w:rFonts w:hint="eastAsia"/>
              </w:rPr>
              <w:t>预计造价（万元）</w:t>
            </w:r>
          </w:p>
        </w:tc>
      </w:tr>
      <w:tr w14:paraId="5CD416B2">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563357FC">
            <w:pPr>
              <w:rPr>
                <w:sz w:val="27"/>
                <w:szCs w:val="22"/>
              </w:rPr>
            </w:pPr>
          </w:p>
        </w:tc>
        <w:tc>
          <w:tcPr>
            <w:tcW w:w="1795" w:type="dxa"/>
            <w:tcBorders>
              <w:top w:val="single" w:sz="2" w:space="0" w:color="auto"/>
              <w:left w:val="single" w:sz="2" w:space="0" w:color="auto"/>
              <w:bottom w:val="single" w:sz="2" w:space="0" w:color="auto"/>
              <w:right w:val="single" w:sz="2" w:space="0" w:color="auto"/>
            </w:tcBorders>
            <w:vAlign w:val="center"/>
          </w:tcPr>
          <w:p w14:paraId="312C54CB">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28984797">
            <w:pPr>
              <w:rPr>
                <w:sz w:val="27"/>
              </w:rPr>
            </w:pPr>
          </w:p>
        </w:tc>
      </w:tr>
      <w:tr w14:paraId="1835EFCB">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37251389">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1E53394E">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726E1EBE">
            <w:pPr>
              <w:rPr>
                <w:sz w:val="27"/>
              </w:rPr>
            </w:pPr>
          </w:p>
        </w:tc>
      </w:tr>
      <w:tr w14:paraId="345DEDD6">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66F9D772">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0DF19DA2">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5693905E">
            <w:pPr>
              <w:rPr>
                <w:sz w:val="27"/>
              </w:rPr>
            </w:pPr>
          </w:p>
        </w:tc>
      </w:tr>
      <w:tr w14:paraId="148CFA5A">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496ED1F8">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10768ACC">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01947BEC">
            <w:pPr>
              <w:rPr>
                <w:sz w:val="27"/>
              </w:rPr>
            </w:pPr>
          </w:p>
        </w:tc>
      </w:tr>
      <w:tr w14:paraId="047A67C1">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237F25C1">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6278E28B">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6CA74632">
            <w:pPr>
              <w:rPr>
                <w:sz w:val="27"/>
              </w:rPr>
            </w:pPr>
          </w:p>
        </w:tc>
      </w:tr>
      <w:tr w14:paraId="07A4556A">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00D797B5">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3235180C">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6A9C7D0B">
            <w:pPr>
              <w:rPr>
                <w:sz w:val="27"/>
              </w:rPr>
            </w:pPr>
          </w:p>
        </w:tc>
      </w:tr>
      <w:tr w14:paraId="75CB658D">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6517C4A1">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0CE5C1E5">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295E3929">
            <w:pPr>
              <w:rPr>
                <w:sz w:val="27"/>
              </w:rPr>
            </w:pPr>
          </w:p>
        </w:tc>
      </w:tr>
      <w:tr w14:paraId="03FFE80A">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5C109FA8">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0C709FC6">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434AADA9">
            <w:pPr>
              <w:rPr>
                <w:sz w:val="27"/>
              </w:rPr>
            </w:pPr>
          </w:p>
        </w:tc>
      </w:tr>
      <w:tr w14:paraId="10BA164C">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6D2CBBB8">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7F3D1855">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6B4B9A7C">
            <w:pPr>
              <w:rPr>
                <w:sz w:val="27"/>
              </w:rPr>
            </w:pPr>
          </w:p>
        </w:tc>
      </w:tr>
      <w:tr w14:paraId="4A147BB2">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0AF57C6E">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10502367">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6CB5EB7F">
            <w:pPr>
              <w:rPr>
                <w:sz w:val="27"/>
              </w:rPr>
            </w:pPr>
          </w:p>
        </w:tc>
      </w:tr>
      <w:tr w14:paraId="008BA616">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4B18ADAF">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4297B944">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7E975547">
            <w:pPr>
              <w:rPr>
                <w:sz w:val="27"/>
              </w:rPr>
            </w:pPr>
          </w:p>
        </w:tc>
      </w:tr>
      <w:tr w14:paraId="7EDF31AC">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72313C17">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43AE2403">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07974FE6">
            <w:pPr>
              <w:rPr>
                <w:sz w:val="27"/>
              </w:rPr>
            </w:pPr>
          </w:p>
        </w:tc>
      </w:tr>
      <w:tr w14:paraId="33BC4414">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0E1B8A7D">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48B2C1E6">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434F8FD4">
            <w:pPr>
              <w:rPr>
                <w:sz w:val="27"/>
              </w:rPr>
            </w:pPr>
          </w:p>
        </w:tc>
      </w:tr>
      <w:tr w14:paraId="7F20A88D">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50F48C62">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3962ADD1">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37A52A93">
            <w:pPr>
              <w:rPr>
                <w:sz w:val="27"/>
              </w:rPr>
            </w:pPr>
          </w:p>
        </w:tc>
      </w:tr>
      <w:tr w14:paraId="5072BC83">
        <w:tblPrEx>
          <w:tblW w:w="0" w:type="auto"/>
          <w:jc w:val="center"/>
          <w:tblLayout w:type="fixed"/>
          <w:tblCellMar>
            <w:top w:w="0" w:type="dxa"/>
            <w:left w:w="108" w:type="dxa"/>
            <w:bottom w:w="0" w:type="dxa"/>
            <w:right w:w="108" w:type="dxa"/>
          </w:tblCellMar>
        </w:tblPrEx>
        <w:trPr>
          <w:jc w:val="center"/>
        </w:trPr>
        <w:tc>
          <w:tcPr>
            <w:tcW w:w="2092" w:type="dxa"/>
            <w:tcBorders>
              <w:top w:val="single" w:sz="2" w:space="0" w:color="auto"/>
              <w:left w:val="single" w:sz="2" w:space="0" w:color="auto"/>
              <w:bottom w:val="single" w:sz="2" w:space="0" w:color="auto"/>
              <w:right w:val="single" w:sz="2" w:space="0" w:color="auto"/>
            </w:tcBorders>
            <w:vAlign w:val="center"/>
          </w:tcPr>
          <w:p w14:paraId="7C2FF051">
            <w:pPr>
              <w:rPr>
                <w:sz w:val="27"/>
              </w:rPr>
            </w:pPr>
          </w:p>
        </w:tc>
        <w:tc>
          <w:tcPr>
            <w:tcW w:w="1795" w:type="dxa"/>
            <w:tcBorders>
              <w:top w:val="single" w:sz="2" w:space="0" w:color="auto"/>
              <w:left w:val="single" w:sz="2" w:space="0" w:color="auto"/>
              <w:bottom w:val="single" w:sz="2" w:space="0" w:color="auto"/>
              <w:right w:val="single" w:sz="2" w:space="0" w:color="auto"/>
            </w:tcBorders>
            <w:vAlign w:val="center"/>
          </w:tcPr>
          <w:p w14:paraId="79CE9AE9">
            <w:pPr>
              <w:rPr>
                <w:sz w:val="27"/>
              </w:rPr>
            </w:pPr>
          </w:p>
        </w:tc>
        <w:tc>
          <w:tcPr>
            <w:tcW w:w="4500" w:type="dxa"/>
            <w:tcBorders>
              <w:top w:val="single" w:sz="2" w:space="0" w:color="auto"/>
              <w:left w:val="single" w:sz="2" w:space="0" w:color="auto"/>
              <w:bottom w:val="single" w:sz="2" w:space="0" w:color="auto"/>
              <w:right w:val="single" w:sz="2" w:space="0" w:color="auto"/>
            </w:tcBorders>
            <w:vAlign w:val="center"/>
          </w:tcPr>
          <w:p w14:paraId="7869430F">
            <w:pPr>
              <w:rPr>
                <w:sz w:val="27"/>
              </w:rPr>
            </w:pPr>
          </w:p>
        </w:tc>
      </w:tr>
    </w:tbl>
    <w:p w14:paraId="44DA6E55">
      <w:pPr>
        <w:rPr>
          <w:kern w:val="2"/>
          <w:sz w:val="27"/>
          <w:szCs w:val="22"/>
        </w:rPr>
      </w:pPr>
    </w:p>
    <w:p w14:paraId="3A3FD445">
      <w:pPr>
        <w:rPr>
          <w:rFonts w:ascii="宋体" w:hAnsi="宋体"/>
          <w:sz w:val="27"/>
        </w:rPr>
      </w:pPr>
      <w:r>
        <w:rPr>
          <w:rFonts w:ascii="宋体" w:hAnsi="宋体" w:hint="eastAsia"/>
          <w:sz w:val="27"/>
        </w:rPr>
        <w:br w:type="page"/>
      </w:r>
    </w:p>
    <w:p w14:paraId="6E64B93A">
      <w:pPr>
        <w:rPr>
          <w:rFonts w:ascii="宋体" w:hAnsi="宋体"/>
          <w:sz w:val="27"/>
        </w:rPr>
      </w:pPr>
    </w:p>
    <w:p w14:paraId="47053066">
      <w:pPr>
        <w:spacing w:line="36" w:lineRule="auto"/>
        <w:rPr>
          <w:rFonts w:ascii="宋体" w:hAnsi="宋体"/>
          <w:sz w:val="27"/>
        </w:rPr>
      </w:pPr>
    </w:p>
    <w:p w14:paraId="1EBAFB2F">
      <w:pPr>
        <w:pStyle w:val="Heading2"/>
        <w:spacing w:line="36" w:lineRule="auto"/>
        <w:jc w:val="center"/>
        <w:rPr>
          <w:rFonts w:ascii="宋体" w:hAnsi="宋体"/>
          <w:sz w:val="27"/>
        </w:rPr>
      </w:pPr>
      <w:bookmarkStart w:id="1540" w:name="_Toc256000109"/>
      <w:r>
        <w:rPr>
          <w:rFonts w:ascii="宋体" w:hAnsi="宋体" w:hint="eastAsia"/>
          <w:sz w:val="27"/>
        </w:rPr>
        <w:t>九、资格审查资料</w:t>
      </w:r>
      <w:bookmarkEnd w:id="1540"/>
    </w:p>
    <w:p w14:paraId="66FBAC3F">
      <w:pPr>
        <w:spacing w:line="36" w:lineRule="auto"/>
        <w:rPr>
          <w:rFonts w:ascii="宋体" w:hAnsi="宋体"/>
          <w:sz w:val="27"/>
        </w:rPr>
      </w:pPr>
    </w:p>
    <w:p w14:paraId="43CCF03E">
      <w:pPr>
        <w:spacing w:line="36" w:lineRule="auto"/>
        <w:rPr>
          <w:rFonts w:ascii="宋体" w:hAnsi="宋体"/>
          <w:sz w:val="27"/>
        </w:rPr>
      </w:pPr>
    </w:p>
    <w:p w14:paraId="0868F20D">
      <w:pPr>
        <w:spacing w:line="36" w:lineRule="auto"/>
        <w:rPr>
          <w:rFonts w:ascii="宋体" w:hAnsi="宋体"/>
          <w:sz w:val="27"/>
        </w:rPr>
      </w:pPr>
    </w:p>
    <w:p w14:paraId="385E04CE">
      <w:pPr>
        <w:spacing w:line="36" w:lineRule="auto"/>
        <w:rPr>
          <w:rFonts w:ascii="宋体" w:hAnsi="宋体"/>
          <w:sz w:val="27"/>
        </w:rPr>
      </w:pPr>
    </w:p>
    <w:p w14:paraId="158E105B">
      <w:pPr>
        <w:spacing w:line="36" w:lineRule="auto"/>
        <w:rPr>
          <w:rFonts w:ascii="宋体" w:hAnsi="宋体"/>
          <w:sz w:val="27"/>
        </w:rPr>
      </w:pPr>
    </w:p>
    <w:p w14:paraId="231CF62F">
      <w:pPr>
        <w:spacing w:line="36" w:lineRule="auto"/>
        <w:rPr>
          <w:rFonts w:ascii="宋体" w:hAnsi="宋体"/>
          <w:sz w:val="27"/>
        </w:rPr>
      </w:pPr>
    </w:p>
    <w:p w14:paraId="0BC934EB">
      <w:pPr>
        <w:spacing w:line="36" w:lineRule="auto"/>
        <w:rPr>
          <w:rFonts w:ascii="宋体" w:hAnsi="宋体"/>
          <w:sz w:val="27"/>
        </w:rPr>
      </w:pPr>
    </w:p>
    <w:p w14:paraId="1FCD1A44">
      <w:pPr>
        <w:spacing w:line="36" w:lineRule="auto"/>
        <w:rPr>
          <w:rFonts w:ascii="宋体" w:hAnsi="宋体"/>
          <w:sz w:val="27"/>
        </w:rPr>
      </w:pPr>
    </w:p>
    <w:p w14:paraId="14220FCC">
      <w:pPr>
        <w:spacing w:line="36" w:lineRule="auto"/>
        <w:rPr>
          <w:rFonts w:ascii="宋体" w:hAnsi="宋体"/>
          <w:sz w:val="27"/>
        </w:rPr>
      </w:pPr>
    </w:p>
    <w:p w14:paraId="01AC6A20">
      <w:pPr>
        <w:spacing w:line="36" w:lineRule="auto"/>
        <w:rPr>
          <w:rFonts w:ascii="宋体" w:hAnsi="宋体"/>
          <w:sz w:val="27"/>
        </w:rPr>
      </w:pPr>
    </w:p>
    <w:p w14:paraId="6E477800">
      <w:pPr>
        <w:spacing w:line="36" w:lineRule="auto"/>
        <w:rPr>
          <w:rFonts w:ascii="宋体" w:hAnsi="宋体"/>
        </w:rPr>
      </w:pPr>
    </w:p>
    <w:p w14:paraId="5B8C04F4">
      <w:pPr>
        <w:spacing w:line="360" w:lineRule="auto"/>
        <w:ind w:firstLine="619"/>
        <w:rPr>
          <w:rFonts w:ascii="宋体" w:hAnsi="宋体"/>
          <w:lang w:eastAsia="zh-CN"/>
        </w:rPr>
      </w:pPr>
      <w:r>
        <w:rPr>
          <w:lang w:eastAsia="zh-CN"/>
        </w:rPr>
        <w:t xml:space="preserve">    </w:t>
      </w:r>
      <w:r>
        <w:rPr>
          <w:rFonts w:ascii="宋体" w:hAnsi="宋体" w:hint="eastAsia"/>
          <w:lang w:eastAsia="zh-CN"/>
        </w:rPr>
        <w:t>注：新成立企业不满足招标人年度要求的，投标人只提供成立后相应年度的资料。</w:t>
      </w:r>
    </w:p>
    <w:p w14:paraId="407E9262">
      <w:pPr>
        <w:rPr>
          <w:rFonts w:ascii="宋体" w:hAnsi="宋体"/>
          <w:lang w:eastAsia="zh-CN"/>
        </w:rPr>
      </w:pPr>
      <w:r>
        <w:rPr>
          <w:rFonts w:ascii="宋体" w:hAnsi="宋体" w:hint="eastAsia"/>
          <w:lang w:eastAsia="zh-CN"/>
        </w:rPr>
        <w:br w:type="page"/>
      </w:r>
    </w:p>
    <w:p w14:paraId="5D1B4254">
      <w:pPr>
        <w:pStyle w:val="Heading3"/>
        <w:spacing w:line="36" w:lineRule="auto"/>
        <w:jc w:val="center"/>
        <w:rPr>
          <w:rFonts w:ascii="宋体" w:hAnsi="宋体"/>
          <w:sz w:val="27"/>
        </w:rPr>
      </w:pPr>
      <w:bookmarkStart w:id="1541" w:name="_Toc256000110"/>
      <w:r>
        <w:rPr>
          <w:rFonts w:ascii="宋体" w:hAnsi="宋体" w:hint="eastAsia"/>
          <w:sz w:val="27"/>
        </w:rPr>
        <w:t>（一）基本情况表</w:t>
      </w:r>
      <w:bookmarkEnd w:id="1541"/>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2311"/>
        <w:gridCol w:w="1009"/>
        <w:gridCol w:w="649"/>
        <w:gridCol w:w="1276"/>
        <w:gridCol w:w="1520"/>
        <w:gridCol w:w="760"/>
        <w:gridCol w:w="1256"/>
      </w:tblGrid>
      <w:tr w14:paraId="05F4B82E">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447"/>
          <w:jc w:val="center"/>
        </w:trPr>
        <w:tc>
          <w:tcPr>
            <w:tcW w:w="2311" w:type="dxa"/>
            <w:tcBorders>
              <w:top w:val="single" w:sz="2" w:space="0" w:color="auto"/>
              <w:left w:val="single" w:sz="2" w:space="0" w:color="auto"/>
              <w:bottom w:val="single" w:sz="2" w:space="0" w:color="auto"/>
              <w:right w:val="single" w:sz="2" w:space="0" w:color="auto"/>
            </w:tcBorders>
            <w:vAlign w:val="center"/>
          </w:tcPr>
          <w:p w14:paraId="51527917">
            <w:r>
              <w:rPr>
                <w:rFonts w:hint="eastAsia"/>
              </w:rPr>
              <w:t>投标人名称</w:t>
            </w:r>
          </w:p>
        </w:tc>
        <w:tc>
          <w:tcPr>
            <w:tcW w:w="6470" w:type="dxa"/>
            <w:gridSpan w:val="6"/>
            <w:tcBorders>
              <w:top w:val="single" w:sz="2" w:space="0" w:color="auto"/>
              <w:left w:val="single" w:sz="2" w:space="0" w:color="auto"/>
              <w:bottom w:val="single" w:sz="2" w:space="0" w:color="auto"/>
              <w:right w:val="single" w:sz="2" w:space="0" w:color="auto"/>
            </w:tcBorders>
            <w:vAlign w:val="center"/>
          </w:tcPr>
          <w:p w14:paraId="6ACBAE67"/>
        </w:tc>
      </w:tr>
      <w:tr w14:paraId="2DEA1C9B">
        <w:tblPrEx>
          <w:tblW w:w="0" w:type="auto"/>
          <w:jc w:val="center"/>
          <w:tblLayout w:type="fixed"/>
          <w:tblCellMar>
            <w:top w:w="0" w:type="dxa"/>
            <w:left w:w="108" w:type="dxa"/>
            <w:bottom w:w="0" w:type="dxa"/>
            <w:right w:w="108" w:type="dxa"/>
          </w:tblCellMar>
        </w:tblPrEx>
        <w:trPr>
          <w:trHeight w:val="572"/>
          <w:jc w:val="center"/>
        </w:trPr>
        <w:tc>
          <w:tcPr>
            <w:tcW w:w="2311" w:type="dxa"/>
            <w:tcBorders>
              <w:top w:val="single" w:sz="2" w:space="0" w:color="auto"/>
              <w:left w:val="single" w:sz="2" w:space="0" w:color="auto"/>
              <w:bottom w:val="single" w:sz="2" w:space="0" w:color="auto"/>
              <w:right w:val="single" w:sz="2" w:space="0" w:color="auto"/>
            </w:tcBorders>
            <w:vAlign w:val="center"/>
          </w:tcPr>
          <w:p w14:paraId="6D7A1188">
            <w:r>
              <w:rPr>
                <w:rFonts w:hint="eastAsia"/>
              </w:rPr>
              <w:t>注册地址</w:t>
            </w:r>
          </w:p>
        </w:tc>
        <w:tc>
          <w:tcPr>
            <w:tcW w:w="2934" w:type="dxa"/>
            <w:gridSpan w:val="3"/>
            <w:tcBorders>
              <w:top w:val="single" w:sz="2" w:space="0" w:color="auto"/>
              <w:left w:val="single" w:sz="2" w:space="0" w:color="auto"/>
              <w:bottom w:val="single" w:sz="2" w:space="0" w:color="auto"/>
              <w:right w:val="single" w:sz="2" w:space="0" w:color="auto"/>
            </w:tcBorders>
            <w:vAlign w:val="center"/>
          </w:tcPr>
          <w:p w14:paraId="3603601E"/>
        </w:tc>
        <w:tc>
          <w:tcPr>
            <w:tcW w:w="1520" w:type="dxa"/>
            <w:tcBorders>
              <w:top w:val="single" w:sz="2" w:space="0" w:color="auto"/>
              <w:left w:val="single" w:sz="2" w:space="0" w:color="auto"/>
              <w:bottom w:val="single" w:sz="2" w:space="0" w:color="auto"/>
              <w:right w:val="single" w:sz="2" w:space="0" w:color="auto"/>
            </w:tcBorders>
            <w:vAlign w:val="center"/>
          </w:tcPr>
          <w:p w14:paraId="7768D5B2">
            <w:r>
              <w:rPr>
                <w:rFonts w:hint="eastAsia"/>
              </w:rPr>
              <w:t>邮政编码</w:t>
            </w:r>
          </w:p>
        </w:tc>
        <w:tc>
          <w:tcPr>
            <w:tcW w:w="2016" w:type="dxa"/>
            <w:gridSpan w:val="2"/>
            <w:tcBorders>
              <w:top w:val="single" w:sz="2" w:space="0" w:color="auto"/>
              <w:left w:val="single" w:sz="2" w:space="0" w:color="auto"/>
              <w:bottom w:val="single" w:sz="2" w:space="0" w:color="auto"/>
              <w:right w:val="single" w:sz="2" w:space="0" w:color="auto"/>
            </w:tcBorders>
            <w:vAlign w:val="center"/>
          </w:tcPr>
          <w:p w14:paraId="54C10FD3"/>
        </w:tc>
      </w:tr>
      <w:tr w14:paraId="7FE0FDE8">
        <w:tblPrEx>
          <w:tblW w:w="0" w:type="auto"/>
          <w:jc w:val="center"/>
          <w:tblLayout w:type="fixed"/>
          <w:tblCellMar>
            <w:top w:w="0" w:type="dxa"/>
            <w:left w:w="108" w:type="dxa"/>
            <w:bottom w:w="0" w:type="dxa"/>
            <w:right w:w="108" w:type="dxa"/>
          </w:tblCellMar>
        </w:tblPrEx>
        <w:trPr>
          <w:trHeight w:val="555"/>
          <w:jc w:val="center"/>
        </w:trPr>
        <w:tc>
          <w:tcPr>
            <w:tcW w:w="2311" w:type="dxa"/>
            <w:vMerge w:val="restart"/>
            <w:tcBorders>
              <w:top w:val="single" w:sz="2" w:space="0" w:color="auto"/>
              <w:left w:val="single" w:sz="2" w:space="0" w:color="auto"/>
              <w:bottom w:val="single" w:sz="2" w:space="0" w:color="auto"/>
              <w:right w:val="single" w:sz="2" w:space="0" w:color="auto"/>
            </w:tcBorders>
            <w:vAlign w:val="center"/>
          </w:tcPr>
          <w:p w14:paraId="76D47C8D">
            <w:r>
              <w:rPr>
                <w:rFonts w:hint="eastAsia"/>
              </w:rPr>
              <w:t>联系方式</w:t>
            </w:r>
          </w:p>
        </w:tc>
        <w:tc>
          <w:tcPr>
            <w:tcW w:w="1009" w:type="dxa"/>
            <w:tcBorders>
              <w:top w:val="single" w:sz="2" w:space="0" w:color="auto"/>
              <w:left w:val="single" w:sz="2" w:space="0" w:color="auto"/>
              <w:bottom w:val="single" w:sz="2" w:space="0" w:color="auto"/>
              <w:right w:val="single" w:sz="2" w:space="0" w:color="auto"/>
            </w:tcBorders>
            <w:vAlign w:val="center"/>
          </w:tcPr>
          <w:p w14:paraId="1B8C3351">
            <w:r>
              <w:rPr>
                <w:rFonts w:hint="eastAsia"/>
              </w:rPr>
              <w:t>联系人</w:t>
            </w:r>
          </w:p>
        </w:tc>
        <w:tc>
          <w:tcPr>
            <w:tcW w:w="1925" w:type="dxa"/>
            <w:gridSpan w:val="2"/>
            <w:tcBorders>
              <w:top w:val="single" w:sz="2" w:space="0" w:color="auto"/>
              <w:left w:val="single" w:sz="2" w:space="0" w:color="auto"/>
              <w:bottom w:val="single" w:sz="2" w:space="0" w:color="auto"/>
              <w:right w:val="single" w:sz="2" w:space="0" w:color="auto"/>
            </w:tcBorders>
            <w:vAlign w:val="center"/>
          </w:tcPr>
          <w:p w14:paraId="6769A716"/>
        </w:tc>
        <w:tc>
          <w:tcPr>
            <w:tcW w:w="1520" w:type="dxa"/>
            <w:tcBorders>
              <w:top w:val="single" w:sz="2" w:space="0" w:color="auto"/>
              <w:left w:val="single" w:sz="2" w:space="0" w:color="auto"/>
              <w:bottom w:val="single" w:sz="2" w:space="0" w:color="auto"/>
              <w:right w:val="single" w:sz="2" w:space="0" w:color="auto"/>
            </w:tcBorders>
            <w:vAlign w:val="center"/>
          </w:tcPr>
          <w:p w14:paraId="2741F8FF">
            <w:r>
              <w:rPr>
                <w:rFonts w:hint="eastAsia"/>
              </w:rPr>
              <w:t>电话</w:t>
            </w:r>
          </w:p>
        </w:tc>
        <w:tc>
          <w:tcPr>
            <w:tcW w:w="2016" w:type="dxa"/>
            <w:gridSpan w:val="2"/>
            <w:tcBorders>
              <w:top w:val="single" w:sz="2" w:space="0" w:color="auto"/>
              <w:left w:val="single" w:sz="2" w:space="0" w:color="auto"/>
              <w:bottom w:val="single" w:sz="2" w:space="0" w:color="auto"/>
              <w:right w:val="single" w:sz="2" w:space="0" w:color="auto"/>
            </w:tcBorders>
            <w:vAlign w:val="center"/>
          </w:tcPr>
          <w:p w14:paraId="2DE302D9"/>
        </w:tc>
      </w:tr>
      <w:tr w14:paraId="1C918617">
        <w:tblPrEx>
          <w:tblW w:w="0" w:type="auto"/>
          <w:jc w:val="center"/>
          <w:tblLayout w:type="fixed"/>
          <w:tblCellMar>
            <w:top w:w="0" w:type="dxa"/>
            <w:left w:w="108" w:type="dxa"/>
            <w:bottom w:w="0" w:type="dxa"/>
            <w:right w:w="108" w:type="dxa"/>
          </w:tblCellMar>
        </w:tblPrEx>
        <w:trPr>
          <w:trHeight w:val="577"/>
          <w:jc w:val="center"/>
        </w:trPr>
        <w:tc>
          <w:tcPr>
            <w:tcW w:w="2311" w:type="dxa"/>
            <w:vMerge/>
            <w:tcBorders>
              <w:top w:val="single" w:sz="2" w:space="0" w:color="auto"/>
              <w:left w:val="single" w:sz="2" w:space="0" w:color="auto"/>
              <w:bottom w:val="single" w:sz="2" w:space="0" w:color="auto"/>
              <w:right w:val="single" w:sz="2" w:space="0" w:color="auto"/>
            </w:tcBorders>
            <w:vAlign w:val="center"/>
          </w:tcPr>
          <w:p w14:paraId="4A100C5D">
            <w:pPr>
              <w:rPr>
                <w:rFonts w:eastAsia="宋体"/>
                <w:kern w:val="2"/>
              </w:rPr>
            </w:pPr>
          </w:p>
        </w:tc>
        <w:tc>
          <w:tcPr>
            <w:tcW w:w="1009" w:type="dxa"/>
            <w:tcBorders>
              <w:top w:val="single" w:sz="2" w:space="0" w:color="auto"/>
              <w:left w:val="single" w:sz="2" w:space="0" w:color="auto"/>
              <w:bottom w:val="single" w:sz="2" w:space="0" w:color="auto"/>
              <w:right w:val="single" w:sz="2" w:space="0" w:color="auto"/>
            </w:tcBorders>
            <w:vAlign w:val="center"/>
          </w:tcPr>
          <w:p w14:paraId="2C537355">
            <w:r>
              <w:rPr>
                <w:rFonts w:hint="eastAsia"/>
              </w:rPr>
              <w:t>传真</w:t>
            </w:r>
          </w:p>
        </w:tc>
        <w:tc>
          <w:tcPr>
            <w:tcW w:w="1925" w:type="dxa"/>
            <w:gridSpan w:val="2"/>
            <w:tcBorders>
              <w:top w:val="single" w:sz="2" w:space="0" w:color="auto"/>
              <w:left w:val="single" w:sz="2" w:space="0" w:color="auto"/>
              <w:bottom w:val="single" w:sz="2" w:space="0" w:color="auto"/>
              <w:right w:val="single" w:sz="2" w:space="0" w:color="auto"/>
            </w:tcBorders>
            <w:vAlign w:val="center"/>
          </w:tcPr>
          <w:p w14:paraId="70DA399C"/>
        </w:tc>
        <w:tc>
          <w:tcPr>
            <w:tcW w:w="1520" w:type="dxa"/>
            <w:tcBorders>
              <w:top w:val="single" w:sz="2" w:space="0" w:color="auto"/>
              <w:left w:val="single" w:sz="2" w:space="0" w:color="auto"/>
              <w:bottom w:val="single" w:sz="2" w:space="0" w:color="auto"/>
              <w:right w:val="single" w:sz="2" w:space="0" w:color="auto"/>
            </w:tcBorders>
            <w:vAlign w:val="center"/>
          </w:tcPr>
          <w:p w14:paraId="7E8508C1">
            <w:r>
              <w:rPr>
                <w:rFonts w:hint="eastAsia"/>
              </w:rPr>
              <w:t>网址</w:t>
            </w:r>
          </w:p>
        </w:tc>
        <w:tc>
          <w:tcPr>
            <w:tcW w:w="2016" w:type="dxa"/>
            <w:gridSpan w:val="2"/>
            <w:tcBorders>
              <w:top w:val="single" w:sz="2" w:space="0" w:color="auto"/>
              <w:left w:val="single" w:sz="2" w:space="0" w:color="auto"/>
              <w:bottom w:val="single" w:sz="2" w:space="0" w:color="auto"/>
              <w:right w:val="single" w:sz="2" w:space="0" w:color="auto"/>
            </w:tcBorders>
            <w:vAlign w:val="center"/>
          </w:tcPr>
          <w:p w14:paraId="6C337CB9"/>
        </w:tc>
      </w:tr>
      <w:tr w14:paraId="3EFEDF68">
        <w:tblPrEx>
          <w:tblW w:w="0" w:type="auto"/>
          <w:jc w:val="center"/>
          <w:tblLayout w:type="fixed"/>
          <w:tblCellMar>
            <w:top w:w="0" w:type="dxa"/>
            <w:left w:w="108" w:type="dxa"/>
            <w:bottom w:w="0" w:type="dxa"/>
            <w:right w:w="108" w:type="dxa"/>
          </w:tblCellMar>
        </w:tblPrEx>
        <w:trPr>
          <w:trHeight w:val="568"/>
          <w:jc w:val="center"/>
        </w:trPr>
        <w:tc>
          <w:tcPr>
            <w:tcW w:w="2311" w:type="dxa"/>
            <w:tcBorders>
              <w:top w:val="single" w:sz="2" w:space="0" w:color="auto"/>
              <w:left w:val="single" w:sz="2" w:space="0" w:color="auto"/>
              <w:bottom w:val="single" w:sz="2" w:space="0" w:color="auto"/>
              <w:right w:val="single" w:sz="2" w:space="0" w:color="auto"/>
            </w:tcBorders>
            <w:vAlign w:val="center"/>
          </w:tcPr>
          <w:p w14:paraId="15CAC0C5">
            <w:r>
              <w:rPr>
                <w:rFonts w:hint="eastAsia"/>
              </w:rPr>
              <w:t>组织结构</w:t>
            </w:r>
          </w:p>
        </w:tc>
        <w:tc>
          <w:tcPr>
            <w:tcW w:w="6470" w:type="dxa"/>
            <w:gridSpan w:val="6"/>
            <w:tcBorders>
              <w:top w:val="single" w:sz="2" w:space="0" w:color="auto"/>
              <w:left w:val="single" w:sz="2" w:space="0" w:color="auto"/>
              <w:bottom w:val="single" w:sz="2" w:space="0" w:color="auto"/>
              <w:right w:val="single" w:sz="2" w:space="0" w:color="auto"/>
            </w:tcBorders>
            <w:vAlign w:val="center"/>
          </w:tcPr>
          <w:p w14:paraId="5F0954DF"/>
        </w:tc>
      </w:tr>
      <w:tr w14:paraId="6E223231">
        <w:tblPrEx>
          <w:tblW w:w="0" w:type="auto"/>
          <w:jc w:val="center"/>
          <w:tblLayout w:type="fixed"/>
          <w:tblCellMar>
            <w:top w:w="0" w:type="dxa"/>
            <w:left w:w="108" w:type="dxa"/>
            <w:bottom w:w="0" w:type="dxa"/>
            <w:right w:w="108" w:type="dxa"/>
          </w:tblCellMar>
        </w:tblPrEx>
        <w:trPr>
          <w:trHeight w:val="861"/>
          <w:jc w:val="center"/>
        </w:trPr>
        <w:tc>
          <w:tcPr>
            <w:tcW w:w="2311" w:type="dxa"/>
            <w:tcBorders>
              <w:top w:val="single" w:sz="2" w:space="0" w:color="auto"/>
              <w:left w:val="single" w:sz="2" w:space="0" w:color="auto"/>
              <w:bottom w:val="single" w:sz="2" w:space="0" w:color="auto"/>
              <w:right w:val="single" w:sz="2" w:space="0" w:color="auto"/>
            </w:tcBorders>
            <w:vAlign w:val="center"/>
          </w:tcPr>
          <w:p w14:paraId="16406C71">
            <w:r>
              <w:rPr>
                <w:rFonts w:hint="eastAsia"/>
              </w:rPr>
              <w:t>法定代表人</w:t>
            </w:r>
          </w:p>
        </w:tc>
        <w:tc>
          <w:tcPr>
            <w:tcW w:w="1009" w:type="dxa"/>
            <w:tcBorders>
              <w:top w:val="single" w:sz="2" w:space="0" w:color="auto"/>
              <w:left w:val="single" w:sz="2" w:space="0" w:color="auto"/>
              <w:bottom w:val="single" w:sz="2" w:space="0" w:color="auto"/>
              <w:right w:val="single" w:sz="2" w:space="0" w:color="auto"/>
            </w:tcBorders>
            <w:vAlign w:val="center"/>
          </w:tcPr>
          <w:p w14:paraId="33D7D0F4">
            <w:r>
              <w:rPr>
                <w:rFonts w:hint="eastAsia"/>
              </w:rPr>
              <w:t>姓名</w:t>
            </w:r>
          </w:p>
        </w:tc>
        <w:tc>
          <w:tcPr>
            <w:tcW w:w="649" w:type="dxa"/>
            <w:tcBorders>
              <w:top w:val="single" w:sz="2" w:space="0" w:color="auto"/>
              <w:left w:val="single" w:sz="2" w:space="0" w:color="auto"/>
              <w:bottom w:val="single" w:sz="2" w:space="0" w:color="auto"/>
              <w:right w:val="single" w:sz="2" w:space="0" w:color="auto"/>
            </w:tcBorders>
            <w:vAlign w:val="center"/>
          </w:tcPr>
          <w:p w14:paraId="390A9D6F"/>
        </w:tc>
        <w:tc>
          <w:tcPr>
            <w:tcW w:w="1276" w:type="dxa"/>
            <w:tcBorders>
              <w:top w:val="single" w:sz="2" w:space="0" w:color="auto"/>
              <w:left w:val="single" w:sz="2" w:space="0" w:color="auto"/>
              <w:bottom w:val="single" w:sz="2" w:space="0" w:color="auto"/>
              <w:right w:val="single" w:sz="2" w:space="0" w:color="auto"/>
            </w:tcBorders>
            <w:vAlign w:val="center"/>
          </w:tcPr>
          <w:p w14:paraId="0F89D1D6">
            <w:r>
              <w:rPr>
                <w:rFonts w:hint="eastAsia"/>
              </w:rPr>
              <w:t>专业技术职称</w:t>
            </w:r>
          </w:p>
        </w:tc>
        <w:tc>
          <w:tcPr>
            <w:tcW w:w="1520" w:type="dxa"/>
            <w:tcBorders>
              <w:top w:val="single" w:sz="2" w:space="0" w:color="auto"/>
              <w:left w:val="single" w:sz="2" w:space="0" w:color="auto"/>
              <w:bottom w:val="single" w:sz="2" w:space="0" w:color="auto"/>
              <w:right w:val="single" w:sz="2" w:space="0" w:color="auto"/>
            </w:tcBorders>
            <w:vAlign w:val="center"/>
          </w:tcPr>
          <w:p w14:paraId="1B95D9A2"/>
        </w:tc>
        <w:tc>
          <w:tcPr>
            <w:tcW w:w="760" w:type="dxa"/>
            <w:tcBorders>
              <w:top w:val="single" w:sz="2" w:space="0" w:color="auto"/>
              <w:left w:val="single" w:sz="2" w:space="0" w:color="auto"/>
              <w:bottom w:val="single" w:sz="2" w:space="0" w:color="auto"/>
              <w:right w:val="single" w:sz="2" w:space="0" w:color="auto"/>
            </w:tcBorders>
            <w:vAlign w:val="center"/>
          </w:tcPr>
          <w:p w14:paraId="3705483F">
            <w:r>
              <w:rPr>
                <w:rFonts w:hint="eastAsia"/>
              </w:rPr>
              <w:t>电话</w:t>
            </w:r>
          </w:p>
        </w:tc>
        <w:tc>
          <w:tcPr>
            <w:tcW w:w="1256" w:type="dxa"/>
            <w:tcBorders>
              <w:top w:val="single" w:sz="2" w:space="0" w:color="auto"/>
              <w:left w:val="single" w:sz="2" w:space="0" w:color="auto"/>
              <w:bottom w:val="single" w:sz="2" w:space="0" w:color="auto"/>
              <w:right w:val="single" w:sz="2" w:space="0" w:color="auto"/>
            </w:tcBorders>
            <w:vAlign w:val="center"/>
          </w:tcPr>
          <w:p w14:paraId="222A7C0D"/>
        </w:tc>
      </w:tr>
      <w:tr w14:paraId="3148307D">
        <w:tblPrEx>
          <w:tblW w:w="0" w:type="auto"/>
          <w:jc w:val="center"/>
          <w:tblLayout w:type="fixed"/>
          <w:tblCellMar>
            <w:top w:w="0" w:type="dxa"/>
            <w:left w:w="108" w:type="dxa"/>
            <w:bottom w:w="0" w:type="dxa"/>
            <w:right w:w="108" w:type="dxa"/>
          </w:tblCellMar>
        </w:tblPrEx>
        <w:trPr>
          <w:trHeight w:val="859"/>
          <w:jc w:val="center"/>
        </w:trPr>
        <w:tc>
          <w:tcPr>
            <w:tcW w:w="2311" w:type="dxa"/>
            <w:tcBorders>
              <w:top w:val="single" w:sz="2" w:space="0" w:color="auto"/>
              <w:left w:val="single" w:sz="2" w:space="0" w:color="auto"/>
              <w:bottom w:val="single" w:sz="2" w:space="0" w:color="auto"/>
              <w:right w:val="single" w:sz="2" w:space="0" w:color="auto"/>
            </w:tcBorders>
            <w:vAlign w:val="center"/>
          </w:tcPr>
          <w:p w14:paraId="0A93528D">
            <w:r>
              <w:rPr>
                <w:rFonts w:hint="eastAsia"/>
              </w:rPr>
              <w:t>技术负责人</w:t>
            </w:r>
          </w:p>
        </w:tc>
        <w:tc>
          <w:tcPr>
            <w:tcW w:w="1009" w:type="dxa"/>
            <w:tcBorders>
              <w:top w:val="single" w:sz="2" w:space="0" w:color="auto"/>
              <w:left w:val="single" w:sz="2" w:space="0" w:color="auto"/>
              <w:bottom w:val="single" w:sz="2" w:space="0" w:color="auto"/>
              <w:right w:val="single" w:sz="2" w:space="0" w:color="auto"/>
            </w:tcBorders>
            <w:vAlign w:val="center"/>
          </w:tcPr>
          <w:p w14:paraId="4F8E6C82">
            <w:r>
              <w:rPr>
                <w:rFonts w:hint="eastAsia"/>
              </w:rPr>
              <w:t>姓名</w:t>
            </w:r>
          </w:p>
        </w:tc>
        <w:tc>
          <w:tcPr>
            <w:tcW w:w="649" w:type="dxa"/>
            <w:tcBorders>
              <w:top w:val="single" w:sz="2" w:space="0" w:color="auto"/>
              <w:left w:val="single" w:sz="2" w:space="0" w:color="auto"/>
              <w:bottom w:val="single" w:sz="2" w:space="0" w:color="auto"/>
              <w:right w:val="single" w:sz="2" w:space="0" w:color="auto"/>
            </w:tcBorders>
            <w:vAlign w:val="center"/>
          </w:tcPr>
          <w:p w14:paraId="46F640A3"/>
        </w:tc>
        <w:tc>
          <w:tcPr>
            <w:tcW w:w="1276" w:type="dxa"/>
            <w:tcBorders>
              <w:top w:val="single" w:sz="2" w:space="0" w:color="auto"/>
              <w:left w:val="single" w:sz="2" w:space="0" w:color="auto"/>
              <w:bottom w:val="single" w:sz="2" w:space="0" w:color="auto"/>
              <w:right w:val="single" w:sz="2" w:space="0" w:color="auto"/>
            </w:tcBorders>
            <w:vAlign w:val="center"/>
          </w:tcPr>
          <w:p w14:paraId="0F25E4A9">
            <w:r>
              <w:rPr>
                <w:rFonts w:hint="eastAsia"/>
              </w:rPr>
              <w:t>专业技术职称</w:t>
            </w:r>
          </w:p>
        </w:tc>
        <w:tc>
          <w:tcPr>
            <w:tcW w:w="1520" w:type="dxa"/>
            <w:tcBorders>
              <w:top w:val="single" w:sz="2" w:space="0" w:color="auto"/>
              <w:left w:val="single" w:sz="2" w:space="0" w:color="auto"/>
              <w:bottom w:val="single" w:sz="2" w:space="0" w:color="auto"/>
              <w:right w:val="single" w:sz="2" w:space="0" w:color="auto"/>
            </w:tcBorders>
            <w:vAlign w:val="center"/>
          </w:tcPr>
          <w:p w14:paraId="0651DA25"/>
        </w:tc>
        <w:tc>
          <w:tcPr>
            <w:tcW w:w="760" w:type="dxa"/>
            <w:tcBorders>
              <w:top w:val="single" w:sz="2" w:space="0" w:color="auto"/>
              <w:left w:val="single" w:sz="2" w:space="0" w:color="auto"/>
              <w:bottom w:val="single" w:sz="2" w:space="0" w:color="auto"/>
              <w:right w:val="single" w:sz="2" w:space="0" w:color="auto"/>
            </w:tcBorders>
            <w:vAlign w:val="center"/>
          </w:tcPr>
          <w:p w14:paraId="4850720E">
            <w:r>
              <w:rPr>
                <w:rFonts w:hint="eastAsia"/>
              </w:rPr>
              <w:t>电话</w:t>
            </w:r>
          </w:p>
        </w:tc>
        <w:tc>
          <w:tcPr>
            <w:tcW w:w="1256" w:type="dxa"/>
            <w:tcBorders>
              <w:top w:val="single" w:sz="2" w:space="0" w:color="auto"/>
              <w:left w:val="single" w:sz="2" w:space="0" w:color="auto"/>
              <w:bottom w:val="single" w:sz="2" w:space="0" w:color="auto"/>
              <w:right w:val="single" w:sz="2" w:space="0" w:color="auto"/>
            </w:tcBorders>
            <w:vAlign w:val="center"/>
          </w:tcPr>
          <w:p w14:paraId="4ACB2CDF"/>
        </w:tc>
      </w:tr>
      <w:tr w14:paraId="3CD41ABB">
        <w:tblPrEx>
          <w:tblW w:w="0" w:type="auto"/>
          <w:jc w:val="center"/>
          <w:tblLayout w:type="fixed"/>
          <w:tblCellMar>
            <w:top w:w="0" w:type="dxa"/>
            <w:left w:w="108" w:type="dxa"/>
            <w:bottom w:w="0" w:type="dxa"/>
            <w:right w:w="108" w:type="dxa"/>
          </w:tblCellMar>
        </w:tblPrEx>
        <w:trPr>
          <w:trHeight w:val="700"/>
          <w:jc w:val="center"/>
        </w:trPr>
        <w:tc>
          <w:tcPr>
            <w:tcW w:w="2311" w:type="dxa"/>
            <w:tcBorders>
              <w:top w:val="single" w:sz="2" w:space="0" w:color="auto"/>
              <w:left w:val="single" w:sz="2" w:space="0" w:color="auto"/>
              <w:bottom w:val="single" w:sz="2" w:space="0" w:color="auto"/>
              <w:right w:val="single" w:sz="2" w:space="0" w:color="auto"/>
            </w:tcBorders>
            <w:vAlign w:val="center"/>
          </w:tcPr>
          <w:p w14:paraId="245BB0C1">
            <w:r>
              <w:rPr>
                <w:rFonts w:hint="eastAsia"/>
              </w:rPr>
              <w:t>成立时间</w:t>
            </w:r>
          </w:p>
        </w:tc>
        <w:tc>
          <w:tcPr>
            <w:tcW w:w="1658" w:type="dxa"/>
            <w:gridSpan w:val="2"/>
            <w:tcBorders>
              <w:top w:val="single" w:sz="2" w:space="0" w:color="auto"/>
              <w:left w:val="single" w:sz="2" w:space="0" w:color="auto"/>
              <w:bottom w:val="single" w:sz="2" w:space="0" w:color="auto"/>
              <w:right w:val="single" w:sz="2" w:space="0" w:color="auto"/>
            </w:tcBorders>
            <w:vAlign w:val="center"/>
          </w:tcPr>
          <w:p w14:paraId="3FBEED0D"/>
        </w:tc>
        <w:tc>
          <w:tcPr>
            <w:tcW w:w="4812" w:type="dxa"/>
            <w:gridSpan w:val="4"/>
            <w:tcBorders>
              <w:top w:val="single" w:sz="2" w:space="0" w:color="auto"/>
              <w:left w:val="single" w:sz="2" w:space="0" w:color="auto"/>
              <w:bottom w:val="single" w:sz="2" w:space="0" w:color="auto"/>
              <w:right w:val="single" w:sz="2" w:space="0" w:color="auto"/>
            </w:tcBorders>
            <w:vAlign w:val="center"/>
          </w:tcPr>
          <w:p w14:paraId="3D6F92FF">
            <w:r>
              <w:rPr>
                <w:rFonts w:hint="eastAsia"/>
              </w:rPr>
              <w:t>员工总人数：</w:t>
            </w:r>
          </w:p>
        </w:tc>
      </w:tr>
      <w:tr w14:paraId="669029C1">
        <w:tblPrEx>
          <w:tblW w:w="0" w:type="auto"/>
          <w:jc w:val="center"/>
          <w:tblLayout w:type="fixed"/>
          <w:tblCellMar>
            <w:top w:w="0" w:type="dxa"/>
            <w:left w:w="108" w:type="dxa"/>
            <w:bottom w:w="0" w:type="dxa"/>
            <w:right w:w="108" w:type="dxa"/>
          </w:tblCellMar>
        </w:tblPrEx>
        <w:trPr>
          <w:trHeight w:val="725"/>
          <w:jc w:val="center"/>
        </w:trPr>
        <w:tc>
          <w:tcPr>
            <w:tcW w:w="2311" w:type="dxa"/>
            <w:tcBorders>
              <w:top w:val="single" w:sz="2" w:space="0" w:color="auto"/>
              <w:left w:val="single" w:sz="2" w:space="0" w:color="auto"/>
              <w:bottom w:val="single" w:sz="2" w:space="0" w:color="auto"/>
              <w:right w:val="single" w:sz="2" w:space="0" w:color="auto"/>
            </w:tcBorders>
            <w:vAlign w:val="center"/>
          </w:tcPr>
          <w:p w14:paraId="31822A61">
            <w:r>
              <w:rPr>
                <w:rFonts w:hint="eastAsia"/>
              </w:rPr>
              <w:t>企业资质等级</w:t>
            </w:r>
          </w:p>
        </w:tc>
        <w:tc>
          <w:tcPr>
            <w:tcW w:w="1658" w:type="dxa"/>
            <w:gridSpan w:val="2"/>
            <w:tcBorders>
              <w:top w:val="single" w:sz="2" w:space="0" w:color="auto"/>
              <w:left w:val="single" w:sz="2" w:space="0" w:color="auto"/>
              <w:bottom w:val="single" w:sz="2" w:space="0" w:color="auto"/>
              <w:right w:val="single" w:sz="2" w:space="0" w:color="auto"/>
            </w:tcBorders>
            <w:vAlign w:val="center"/>
          </w:tcPr>
          <w:p w14:paraId="541B7EAE"/>
        </w:tc>
        <w:tc>
          <w:tcPr>
            <w:tcW w:w="1276" w:type="dxa"/>
            <w:vMerge w:val="restart"/>
            <w:tcBorders>
              <w:top w:val="single" w:sz="2" w:space="0" w:color="auto"/>
              <w:left w:val="single" w:sz="2" w:space="0" w:color="auto"/>
              <w:bottom w:val="single" w:sz="2" w:space="0" w:color="auto"/>
              <w:right w:val="single" w:sz="2" w:space="0" w:color="auto"/>
            </w:tcBorders>
            <w:vAlign w:val="center"/>
          </w:tcPr>
          <w:p w14:paraId="323594A8">
            <w:r>
              <w:rPr>
                <w:rFonts w:hint="eastAsia"/>
              </w:rPr>
              <w:t>其中</w:t>
            </w:r>
          </w:p>
        </w:tc>
        <w:tc>
          <w:tcPr>
            <w:tcW w:w="1520" w:type="dxa"/>
            <w:tcBorders>
              <w:top w:val="single" w:sz="2" w:space="0" w:color="auto"/>
              <w:left w:val="single" w:sz="2" w:space="0" w:color="auto"/>
              <w:bottom w:val="single" w:sz="2" w:space="0" w:color="auto"/>
              <w:right w:val="single" w:sz="2" w:space="0" w:color="auto"/>
            </w:tcBorders>
            <w:vAlign w:val="center"/>
          </w:tcPr>
          <w:p w14:paraId="0DAF1B74">
            <w:r>
              <w:rPr>
                <w:rFonts w:hint="eastAsia"/>
              </w:rPr>
              <w:t>注册建造师</w:t>
            </w:r>
          </w:p>
        </w:tc>
        <w:tc>
          <w:tcPr>
            <w:tcW w:w="2016" w:type="dxa"/>
            <w:gridSpan w:val="2"/>
            <w:tcBorders>
              <w:top w:val="single" w:sz="2" w:space="0" w:color="auto"/>
              <w:left w:val="single" w:sz="2" w:space="0" w:color="auto"/>
              <w:bottom w:val="single" w:sz="2" w:space="0" w:color="auto"/>
              <w:right w:val="single" w:sz="2" w:space="0" w:color="auto"/>
            </w:tcBorders>
            <w:vAlign w:val="center"/>
          </w:tcPr>
          <w:p w14:paraId="636E09C1"/>
        </w:tc>
      </w:tr>
      <w:tr w14:paraId="2B159A91">
        <w:tblPrEx>
          <w:tblW w:w="0" w:type="auto"/>
          <w:jc w:val="center"/>
          <w:tblLayout w:type="fixed"/>
          <w:tblCellMar>
            <w:top w:w="0" w:type="dxa"/>
            <w:left w:w="108" w:type="dxa"/>
            <w:bottom w:w="0" w:type="dxa"/>
            <w:right w:w="108" w:type="dxa"/>
          </w:tblCellMar>
        </w:tblPrEx>
        <w:trPr>
          <w:trHeight w:val="633"/>
          <w:jc w:val="center"/>
        </w:trPr>
        <w:tc>
          <w:tcPr>
            <w:tcW w:w="2311" w:type="dxa"/>
            <w:tcBorders>
              <w:top w:val="single" w:sz="2" w:space="0" w:color="auto"/>
              <w:left w:val="single" w:sz="2" w:space="0" w:color="auto"/>
              <w:bottom w:val="single" w:sz="2" w:space="0" w:color="auto"/>
              <w:right w:val="single" w:sz="2" w:space="0" w:color="auto"/>
            </w:tcBorders>
            <w:vAlign w:val="center"/>
          </w:tcPr>
          <w:p w14:paraId="2907DC5F">
            <w:r>
              <w:rPr>
                <w:rFonts w:hint="eastAsia"/>
              </w:rPr>
              <w:t>营业执照号</w:t>
            </w:r>
          </w:p>
        </w:tc>
        <w:tc>
          <w:tcPr>
            <w:tcW w:w="1658" w:type="dxa"/>
            <w:gridSpan w:val="2"/>
            <w:tcBorders>
              <w:top w:val="single" w:sz="2" w:space="0" w:color="auto"/>
              <w:left w:val="single" w:sz="2" w:space="0" w:color="auto"/>
              <w:bottom w:val="single" w:sz="2" w:space="0" w:color="auto"/>
              <w:right w:val="single" w:sz="2" w:space="0" w:color="auto"/>
            </w:tcBorders>
            <w:vAlign w:val="center"/>
          </w:tcPr>
          <w:p w14:paraId="11E5B440"/>
        </w:tc>
        <w:tc>
          <w:tcPr>
            <w:tcW w:w="4812" w:type="dxa"/>
            <w:vMerge/>
            <w:tcBorders>
              <w:top w:val="single" w:sz="2" w:space="0" w:color="auto"/>
              <w:left w:val="single" w:sz="2" w:space="0" w:color="auto"/>
              <w:bottom w:val="single" w:sz="2" w:space="0" w:color="auto"/>
              <w:right w:val="single" w:sz="2" w:space="0" w:color="auto"/>
            </w:tcBorders>
            <w:vAlign w:val="center"/>
          </w:tcPr>
          <w:p w14:paraId="2070FEF8">
            <w:pPr>
              <w:rPr>
                <w:rFonts w:eastAsia="宋体"/>
                <w:kern w:val="2"/>
              </w:rPr>
            </w:pPr>
          </w:p>
        </w:tc>
        <w:tc>
          <w:tcPr>
            <w:tcW w:w="1520" w:type="dxa"/>
            <w:tcBorders>
              <w:top w:val="single" w:sz="2" w:space="0" w:color="auto"/>
              <w:left w:val="single" w:sz="2" w:space="0" w:color="auto"/>
              <w:bottom w:val="single" w:sz="2" w:space="0" w:color="auto"/>
              <w:right w:val="single" w:sz="2" w:space="0" w:color="auto"/>
            </w:tcBorders>
            <w:vAlign w:val="center"/>
          </w:tcPr>
          <w:p w14:paraId="727B016C">
            <w:pPr>
              <w:rPr>
                <w:lang w:eastAsia="zh-CN"/>
              </w:rPr>
            </w:pPr>
            <w:r>
              <w:rPr>
                <w:rFonts w:hint="eastAsia"/>
                <w:lang w:eastAsia="zh-CN"/>
              </w:rPr>
              <w:t>高级专业技术职称人员</w:t>
            </w:r>
          </w:p>
        </w:tc>
        <w:tc>
          <w:tcPr>
            <w:tcW w:w="2016" w:type="dxa"/>
            <w:gridSpan w:val="2"/>
            <w:tcBorders>
              <w:top w:val="single" w:sz="2" w:space="0" w:color="auto"/>
              <w:left w:val="single" w:sz="2" w:space="0" w:color="auto"/>
              <w:bottom w:val="single" w:sz="2" w:space="0" w:color="auto"/>
              <w:right w:val="single" w:sz="2" w:space="0" w:color="auto"/>
            </w:tcBorders>
            <w:vAlign w:val="center"/>
          </w:tcPr>
          <w:p w14:paraId="5923394B">
            <w:pPr>
              <w:rPr>
                <w:lang w:eastAsia="zh-CN"/>
              </w:rPr>
            </w:pPr>
          </w:p>
        </w:tc>
      </w:tr>
      <w:tr w14:paraId="506DC0D1">
        <w:tblPrEx>
          <w:tblW w:w="0" w:type="auto"/>
          <w:jc w:val="center"/>
          <w:tblLayout w:type="fixed"/>
          <w:tblCellMar>
            <w:top w:w="0" w:type="dxa"/>
            <w:left w:w="108" w:type="dxa"/>
            <w:bottom w:w="0" w:type="dxa"/>
            <w:right w:w="108" w:type="dxa"/>
          </w:tblCellMar>
        </w:tblPrEx>
        <w:trPr>
          <w:trHeight w:val="618"/>
          <w:jc w:val="center"/>
        </w:trPr>
        <w:tc>
          <w:tcPr>
            <w:tcW w:w="2311" w:type="dxa"/>
            <w:tcBorders>
              <w:top w:val="single" w:sz="2" w:space="0" w:color="auto"/>
              <w:left w:val="single" w:sz="2" w:space="0" w:color="auto"/>
              <w:bottom w:val="single" w:sz="2" w:space="0" w:color="auto"/>
              <w:right w:val="single" w:sz="2" w:space="0" w:color="auto"/>
            </w:tcBorders>
            <w:vAlign w:val="center"/>
          </w:tcPr>
          <w:p w14:paraId="43DD3C95">
            <w:r>
              <w:rPr>
                <w:rFonts w:hint="eastAsia"/>
              </w:rPr>
              <w:t>注册资金</w:t>
            </w:r>
          </w:p>
        </w:tc>
        <w:tc>
          <w:tcPr>
            <w:tcW w:w="1658" w:type="dxa"/>
            <w:gridSpan w:val="2"/>
            <w:tcBorders>
              <w:top w:val="single" w:sz="2" w:space="0" w:color="auto"/>
              <w:left w:val="single" w:sz="2" w:space="0" w:color="auto"/>
              <w:bottom w:val="single" w:sz="2" w:space="0" w:color="auto"/>
              <w:right w:val="single" w:sz="2" w:space="0" w:color="auto"/>
            </w:tcBorders>
            <w:vAlign w:val="center"/>
          </w:tcPr>
          <w:p w14:paraId="2191D7EC"/>
        </w:tc>
        <w:tc>
          <w:tcPr>
            <w:tcW w:w="4812" w:type="dxa"/>
            <w:vMerge/>
            <w:tcBorders>
              <w:top w:val="single" w:sz="2" w:space="0" w:color="auto"/>
              <w:left w:val="single" w:sz="2" w:space="0" w:color="auto"/>
              <w:bottom w:val="single" w:sz="2" w:space="0" w:color="auto"/>
              <w:right w:val="single" w:sz="2" w:space="0" w:color="auto"/>
            </w:tcBorders>
            <w:vAlign w:val="center"/>
          </w:tcPr>
          <w:p w14:paraId="2F1DAE7C">
            <w:pPr>
              <w:rPr>
                <w:rFonts w:eastAsia="宋体"/>
                <w:kern w:val="2"/>
              </w:rPr>
            </w:pPr>
          </w:p>
        </w:tc>
        <w:tc>
          <w:tcPr>
            <w:tcW w:w="1520" w:type="dxa"/>
            <w:tcBorders>
              <w:top w:val="single" w:sz="2" w:space="0" w:color="auto"/>
              <w:left w:val="single" w:sz="2" w:space="0" w:color="auto"/>
              <w:bottom w:val="single" w:sz="2" w:space="0" w:color="auto"/>
              <w:right w:val="single" w:sz="2" w:space="0" w:color="auto"/>
            </w:tcBorders>
            <w:vAlign w:val="center"/>
          </w:tcPr>
          <w:p w14:paraId="5735C35D">
            <w:pPr>
              <w:rPr>
                <w:lang w:eastAsia="zh-CN"/>
              </w:rPr>
            </w:pPr>
            <w:r>
              <w:rPr>
                <w:rFonts w:hint="eastAsia"/>
                <w:lang w:eastAsia="zh-CN"/>
              </w:rPr>
              <w:t>中级专业技术职称人员</w:t>
            </w:r>
          </w:p>
        </w:tc>
        <w:tc>
          <w:tcPr>
            <w:tcW w:w="2016" w:type="dxa"/>
            <w:gridSpan w:val="2"/>
            <w:tcBorders>
              <w:top w:val="single" w:sz="2" w:space="0" w:color="auto"/>
              <w:left w:val="single" w:sz="2" w:space="0" w:color="auto"/>
              <w:bottom w:val="single" w:sz="2" w:space="0" w:color="auto"/>
              <w:right w:val="single" w:sz="2" w:space="0" w:color="auto"/>
            </w:tcBorders>
            <w:vAlign w:val="center"/>
          </w:tcPr>
          <w:p w14:paraId="56A1FA75">
            <w:pPr>
              <w:rPr>
                <w:lang w:eastAsia="zh-CN"/>
              </w:rPr>
            </w:pPr>
          </w:p>
        </w:tc>
      </w:tr>
      <w:tr w14:paraId="4496A2E3">
        <w:tblPrEx>
          <w:tblW w:w="0" w:type="auto"/>
          <w:jc w:val="center"/>
          <w:tblLayout w:type="fixed"/>
          <w:tblCellMar>
            <w:top w:w="0" w:type="dxa"/>
            <w:left w:w="108" w:type="dxa"/>
            <w:bottom w:w="0" w:type="dxa"/>
            <w:right w:w="108" w:type="dxa"/>
          </w:tblCellMar>
        </w:tblPrEx>
        <w:trPr>
          <w:trHeight w:val="633"/>
          <w:jc w:val="center"/>
        </w:trPr>
        <w:tc>
          <w:tcPr>
            <w:tcW w:w="2311" w:type="dxa"/>
            <w:tcBorders>
              <w:top w:val="single" w:sz="2" w:space="0" w:color="auto"/>
              <w:left w:val="single" w:sz="2" w:space="0" w:color="auto"/>
              <w:bottom w:val="single" w:sz="2" w:space="0" w:color="auto"/>
              <w:right w:val="single" w:sz="2" w:space="0" w:color="auto"/>
            </w:tcBorders>
            <w:vAlign w:val="center"/>
          </w:tcPr>
          <w:p w14:paraId="169B3954">
            <w:r>
              <w:rPr>
                <w:rFonts w:hint="eastAsia"/>
              </w:rPr>
              <w:t>开户银行</w:t>
            </w:r>
          </w:p>
        </w:tc>
        <w:tc>
          <w:tcPr>
            <w:tcW w:w="1658" w:type="dxa"/>
            <w:gridSpan w:val="2"/>
            <w:tcBorders>
              <w:top w:val="single" w:sz="2" w:space="0" w:color="auto"/>
              <w:left w:val="single" w:sz="2" w:space="0" w:color="auto"/>
              <w:bottom w:val="single" w:sz="2" w:space="0" w:color="auto"/>
              <w:right w:val="single" w:sz="2" w:space="0" w:color="auto"/>
            </w:tcBorders>
            <w:vAlign w:val="center"/>
          </w:tcPr>
          <w:p w14:paraId="3530735D"/>
        </w:tc>
        <w:tc>
          <w:tcPr>
            <w:tcW w:w="4812" w:type="dxa"/>
            <w:vMerge/>
            <w:tcBorders>
              <w:top w:val="single" w:sz="2" w:space="0" w:color="auto"/>
              <w:left w:val="single" w:sz="2" w:space="0" w:color="auto"/>
              <w:bottom w:val="single" w:sz="2" w:space="0" w:color="auto"/>
              <w:right w:val="single" w:sz="2" w:space="0" w:color="auto"/>
            </w:tcBorders>
            <w:vAlign w:val="center"/>
          </w:tcPr>
          <w:p w14:paraId="08F41159">
            <w:pPr>
              <w:rPr>
                <w:rFonts w:eastAsia="宋体"/>
                <w:kern w:val="2"/>
              </w:rPr>
            </w:pPr>
          </w:p>
        </w:tc>
        <w:tc>
          <w:tcPr>
            <w:tcW w:w="1520" w:type="dxa"/>
            <w:tcBorders>
              <w:top w:val="single" w:sz="2" w:space="0" w:color="auto"/>
              <w:left w:val="single" w:sz="2" w:space="0" w:color="auto"/>
              <w:bottom w:val="single" w:sz="2" w:space="0" w:color="auto"/>
              <w:right w:val="single" w:sz="2" w:space="0" w:color="auto"/>
            </w:tcBorders>
            <w:vAlign w:val="center"/>
          </w:tcPr>
          <w:p w14:paraId="22CA8330">
            <w:pPr>
              <w:rPr>
                <w:lang w:eastAsia="zh-CN"/>
              </w:rPr>
            </w:pPr>
            <w:r>
              <w:rPr>
                <w:rFonts w:hint="eastAsia"/>
                <w:lang w:eastAsia="zh-CN"/>
              </w:rPr>
              <w:t>初级专业技术职称人员</w:t>
            </w:r>
          </w:p>
        </w:tc>
        <w:tc>
          <w:tcPr>
            <w:tcW w:w="2016" w:type="dxa"/>
            <w:gridSpan w:val="2"/>
            <w:tcBorders>
              <w:top w:val="single" w:sz="2" w:space="0" w:color="auto"/>
              <w:left w:val="single" w:sz="2" w:space="0" w:color="auto"/>
              <w:bottom w:val="single" w:sz="2" w:space="0" w:color="auto"/>
              <w:right w:val="single" w:sz="2" w:space="0" w:color="auto"/>
            </w:tcBorders>
            <w:vAlign w:val="center"/>
          </w:tcPr>
          <w:p w14:paraId="7662EE7F">
            <w:pPr>
              <w:rPr>
                <w:lang w:eastAsia="zh-CN"/>
              </w:rPr>
            </w:pPr>
          </w:p>
        </w:tc>
      </w:tr>
      <w:tr w14:paraId="1CC8698F">
        <w:tblPrEx>
          <w:tblW w:w="0" w:type="auto"/>
          <w:jc w:val="center"/>
          <w:tblLayout w:type="fixed"/>
          <w:tblCellMar>
            <w:top w:w="0" w:type="dxa"/>
            <w:left w:w="108" w:type="dxa"/>
            <w:bottom w:w="0" w:type="dxa"/>
            <w:right w:w="108" w:type="dxa"/>
          </w:tblCellMar>
        </w:tblPrEx>
        <w:trPr>
          <w:trHeight w:val="676"/>
          <w:jc w:val="center"/>
        </w:trPr>
        <w:tc>
          <w:tcPr>
            <w:tcW w:w="2311" w:type="dxa"/>
            <w:tcBorders>
              <w:top w:val="single" w:sz="2" w:space="0" w:color="auto"/>
              <w:left w:val="single" w:sz="2" w:space="0" w:color="auto"/>
              <w:bottom w:val="single" w:sz="2" w:space="0" w:color="auto"/>
              <w:right w:val="single" w:sz="2" w:space="0" w:color="auto"/>
            </w:tcBorders>
            <w:vAlign w:val="center"/>
          </w:tcPr>
          <w:p w14:paraId="0EF177EC">
            <w:r>
              <w:rPr>
                <w:rFonts w:hint="eastAsia"/>
              </w:rPr>
              <w:t>账号</w:t>
            </w:r>
          </w:p>
        </w:tc>
        <w:tc>
          <w:tcPr>
            <w:tcW w:w="1658" w:type="dxa"/>
            <w:gridSpan w:val="2"/>
            <w:tcBorders>
              <w:top w:val="single" w:sz="2" w:space="0" w:color="auto"/>
              <w:left w:val="single" w:sz="2" w:space="0" w:color="auto"/>
              <w:bottom w:val="single" w:sz="2" w:space="0" w:color="auto"/>
              <w:right w:val="single" w:sz="2" w:space="0" w:color="auto"/>
            </w:tcBorders>
            <w:vAlign w:val="center"/>
          </w:tcPr>
          <w:p w14:paraId="2C3CB1FF"/>
        </w:tc>
        <w:tc>
          <w:tcPr>
            <w:tcW w:w="4812" w:type="dxa"/>
            <w:vMerge/>
            <w:tcBorders>
              <w:top w:val="single" w:sz="2" w:space="0" w:color="auto"/>
              <w:left w:val="single" w:sz="2" w:space="0" w:color="auto"/>
              <w:bottom w:val="single" w:sz="2" w:space="0" w:color="auto"/>
              <w:right w:val="single" w:sz="2" w:space="0" w:color="auto"/>
            </w:tcBorders>
            <w:vAlign w:val="center"/>
          </w:tcPr>
          <w:p w14:paraId="163F7793">
            <w:pPr>
              <w:rPr>
                <w:rFonts w:eastAsia="宋体"/>
                <w:kern w:val="2"/>
              </w:rPr>
            </w:pPr>
          </w:p>
        </w:tc>
        <w:tc>
          <w:tcPr>
            <w:tcW w:w="1520" w:type="dxa"/>
            <w:tcBorders>
              <w:top w:val="single" w:sz="2" w:space="0" w:color="auto"/>
              <w:left w:val="single" w:sz="2" w:space="0" w:color="auto"/>
              <w:bottom w:val="single" w:sz="2" w:space="0" w:color="auto"/>
              <w:right w:val="single" w:sz="2" w:space="0" w:color="auto"/>
            </w:tcBorders>
            <w:vAlign w:val="center"/>
          </w:tcPr>
          <w:p w14:paraId="0C683A17">
            <w:r>
              <w:rPr>
                <w:rFonts w:hint="eastAsia"/>
              </w:rPr>
              <w:t>技工</w:t>
            </w:r>
          </w:p>
        </w:tc>
        <w:tc>
          <w:tcPr>
            <w:tcW w:w="2016" w:type="dxa"/>
            <w:gridSpan w:val="2"/>
            <w:tcBorders>
              <w:top w:val="single" w:sz="2" w:space="0" w:color="auto"/>
              <w:left w:val="single" w:sz="2" w:space="0" w:color="auto"/>
              <w:bottom w:val="single" w:sz="2" w:space="0" w:color="auto"/>
              <w:right w:val="single" w:sz="2" w:space="0" w:color="auto"/>
            </w:tcBorders>
            <w:vAlign w:val="center"/>
          </w:tcPr>
          <w:p w14:paraId="7A147120"/>
        </w:tc>
      </w:tr>
      <w:tr w14:paraId="48CA59F4">
        <w:tblPrEx>
          <w:tblW w:w="0" w:type="auto"/>
          <w:jc w:val="center"/>
          <w:tblLayout w:type="fixed"/>
          <w:tblCellMar>
            <w:top w:w="0" w:type="dxa"/>
            <w:left w:w="108" w:type="dxa"/>
            <w:bottom w:w="0" w:type="dxa"/>
            <w:right w:w="108" w:type="dxa"/>
          </w:tblCellMar>
        </w:tblPrEx>
        <w:trPr>
          <w:trHeight w:val="670"/>
          <w:jc w:val="center"/>
        </w:trPr>
        <w:tc>
          <w:tcPr>
            <w:tcW w:w="2311" w:type="dxa"/>
            <w:tcBorders>
              <w:top w:val="single" w:sz="2" w:space="0" w:color="auto"/>
              <w:left w:val="single" w:sz="2" w:space="0" w:color="auto"/>
              <w:bottom w:val="single" w:sz="2" w:space="0" w:color="auto"/>
              <w:right w:val="single" w:sz="2" w:space="0" w:color="auto"/>
            </w:tcBorders>
            <w:vAlign w:val="center"/>
          </w:tcPr>
          <w:p w14:paraId="248D158F">
            <w:r>
              <w:rPr>
                <w:rFonts w:hint="eastAsia"/>
              </w:rPr>
              <w:t>经营范围</w:t>
            </w:r>
          </w:p>
        </w:tc>
        <w:tc>
          <w:tcPr>
            <w:tcW w:w="6470" w:type="dxa"/>
            <w:gridSpan w:val="6"/>
            <w:tcBorders>
              <w:top w:val="single" w:sz="2" w:space="0" w:color="auto"/>
              <w:left w:val="single" w:sz="2" w:space="0" w:color="auto"/>
              <w:bottom w:val="single" w:sz="2" w:space="0" w:color="auto"/>
              <w:right w:val="single" w:sz="2" w:space="0" w:color="auto"/>
            </w:tcBorders>
            <w:vAlign w:val="center"/>
          </w:tcPr>
          <w:p w14:paraId="28D66451"/>
        </w:tc>
      </w:tr>
      <w:tr w14:paraId="6F43994B">
        <w:tblPrEx>
          <w:tblW w:w="0" w:type="auto"/>
          <w:jc w:val="center"/>
          <w:tblLayout w:type="fixed"/>
          <w:tblCellMar>
            <w:top w:w="0" w:type="dxa"/>
            <w:left w:w="108" w:type="dxa"/>
            <w:bottom w:w="0" w:type="dxa"/>
            <w:right w:w="108" w:type="dxa"/>
          </w:tblCellMar>
        </w:tblPrEx>
        <w:trPr>
          <w:trHeight w:val="528"/>
          <w:jc w:val="center"/>
        </w:trPr>
        <w:tc>
          <w:tcPr>
            <w:tcW w:w="2311" w:type="dxa"/>
            <w:tcBorders>
              <w:top w:val="single" w:sz="2" w:space="0" w:color="auto"/>
              <w:left w:val="single" w:sz="2" w:space="0" w:color="auto"/>
              <w:bottom w:val="single" w:sz="2" w:space="0" w:color="auto"/>
              <w:right w:val="single" w:sz="2" w:space="0" w:color="auto"/>
            </w:tcBorders>
            <w:vAlign w:val="center"/>
          </w:tcPr>
          <w:p w14:paraId="7D05E449">
            <w:pPr>
              <w:rPr>
                <w:lang w:eastAsia="zh-CN"/>
              </w:rPr>
            </w:pPr>
            <w:r>
              <w:rPr>
                <w:rFonts w:cs="宋体" w:hint="eastAsia"/>
                <w:lang w:eastAsia="zh-CN"/>
              </w:rPr>
              <w:t>与投标人的单位负责人为同一人的单位</w:t>
            </w:r>
          </w:p>
        </w:tc>
        <w:tc>
          <w:tcPr>
            <w:tcW w:w="6470" w:type="dxa"/>
            <w:gridSpan w:val="6"/>
            <w:tcBorders>
              <w:top w:val="single" w:sz="2" w:space="0" w:color="auto"/>
              <w:left w:val="single" w:sz="2" w:space="0" w:color="auto"/>
              <w:bottom w:val="single" w:sz="2" w:space="0" w:color="auto"/>
              <w:right w:val="single" w:sz="2" w:space="0" w:color="auto"/>
            </w:tcBorders>
            <w:vAlign w:val="center"/>
          </w:tcPr>
          <w:p w14:paraId="31193A4E">
            <w:pPr>
              <w:rPr>
                <w:lang w:eastAsia="zh-CN"/>
              </w:rPr>
            </w:pPr>
          </w:p>
        </w:tc>
      </w:tr>
      <w:tr w14:paraId="68D04AC6">
        <w:tblPrEx>
          <w:tblW w:w="0" w:type="auto"/>
          <w:jc w:val="center"/>
          <w:tblLayout w:type="fixed"/>
          <w:tblCellMar>
            <w:top w:w="0" w:type="dxa"/>
            <w:left w:w="108" w:type="dxa"/>
            <w:bottom w:w="0" w:type="dxa"/>
            <w:right w:w="108" w:type="dxa"/>
          </w:tblCellMar>
        </w:tblPrEx>
        <w:trPr>
          <w:trHeight w:val="528"/>
          <w:jc w:val="center"/>
        </w:trPr>
        <w:tc>
          <w:tcPr>
            <w:tcW w:w="2311" w:type="dxa"/>
            <w:tcBorders>
              <w:top w:val="single" w:sz="2" w:space="0" w:color="auto"/>
              <w:left w:val="single" w:sz="2" w:space="0" w:color="auto"/>
              <w:bottom w:val="single" w:sz="2" w:space="0" w:color="auto"/>
              <w:right w:val="single" w:sz="2" w:space="0" w:color="auto"/>
            </w:tcBorders>
            <w:vAlign w:val="center"/>
          </w:tcPr>
          <w:p w14:paraId="0193ABD0">
            <w:pPr>
              <w:rPr>
                <w:rFonts w:ascii="Calibri" w:hAnsi="Calibri"/>
                <w:lang w:eastAsia="zh-CN"/>
              </w:rPr>
            </w:pPr>
            <w:r>
              <w:rPr>
                <w:rFonts w:hint="eastAsia"/>
                <w:lang w:eastAsia="zh-CN"/>
              </w:rPr>
              <w:t>与投标人存在控股关系的单位</w:t>
            </w:r>
          </w:p>
        </w:tc>
        <w:tc>
          <w:tcPr>
            <w:tcW w:w="6470" w:type="dxa"/>
            <w:gridSpan w:val="6"/>
            <w:tcBorders>
              <w:top w:val="single" w:sz="2" w:space="0" w:color="auto"/>
              <w:left w:val="single" w:sz="2" w:space="0" w:color="auto"/>
              <w:bottom w:val="single" w:sz="2" w:space="0" w:color="auto"/>
              <w:right w:val="single" w:sz="2" w:space="0" w:color="auto"/>
            </w:tcBorders>
            <w:vAlign w:val="center"/>
          </w:tcPr>
          <w:p w14:paraId="69E87513">
            <w:pPr>
              <w:rPr>
                <w:lang w:eastAsia="zh-CN"/>
              </w:rPr>
            </w:pPr>
          </w:p>
        </w:tc>
      </w:tr>
      <w:tr w14:paraId="08C71D6F">
        <w:tblPrEx>
          <w:tblW w:w="0" w:type="auto"/>
          <w:jc w:val="center"/>
          <w:tblLayout w:type="fixed"/>
          <w:tblCellMar>
            <w:top w:w="0" w:type="dxa"/>
            <w:left w:w="108" w:type="dxa"/>
            <w:bottom w:w="0" w:type="dxa"/>
            <w:right w:w="108" w:type="dxa"/>
          </w:tblCellMar>
        </w:tblPrEx>
        <w:trPr>
          <w:trHeight w:val="528"/>
          <w:jc w:val="center"/>
        </w:trPr>
        <w:tc>
          <w:tcPr>
            <w:tcW w:w="2311" w:type="dxa"/>
            <w:tcBorders>
              <w:top w:val="single" w:sz="2" w:space="0" w:color="auto"/>
              <w:left w:val="single" w:sz="2" w:space="0" w:color="auto"/>
              <w:bottom w:val="single" w:sz="2" w:space="0" w:color="auto"/>
              <w:right w:val="single" w:sz="2" w:space="0" w:color="auto"/>
            </w:tcBorders>
            <w:vAlign w:val="center"/>
          </w:tcPr>
          <w:p w14:paraId="37E3661D">
            <w:pPr>
              <w:rPr>
                <w:rFonts w:ascii="Calibri" w:hAnsi="Calibri"/>
                <w:lang w:eastAsia="zh-CN"/>
              </w:rPr>
            </w:pPr>
            <w:r>
              <w:rPr>
                <w:rFonts w:hint="eastAsia"/>
                <w:lang w:eastAsia="zh-CN"/>
              </w:rPr>
              <w:t>与投标人存在管理关系的单位</w:t>
            </w:r>
          </w:p>
        </w:tc>
        <w:tc>
          <w:tcPr>
            <w:tcW w:w="6470" w:type="dxa"/>
            <w:gridSpan w:val="6"/>
            <w:tcBorders>
              <w:top w:val="single" w:sz="2" w:space="0" w:color="auto"/>
              <w:left w:val="single" w:sz="2" w:space="0" w:color="auto"/>
              <w:bottom w:val="single" w:sz="2" w:space="0" w:color="auto"/>
              <w:right w:val="single" w:sz="2" w:space="0" w:color="auto"/>
            </w:tcBorders>
            <w:vAlign w:val="center"/>
          </w:tcPr>
          <w:p w14:paraId="10700971">
            <w:pPr>
              <w:rPr>
                <w:lang w:eastAsia="zh-CN"/>
              </w:rPr>
            </w:pPr>
          </w:p>
        </w:tc>
      </w:tr>
      <w:tr w14:paraId="4FA4E4AB">
        <w:tblPrEx>
          <w:tblW w:w="0" w:type="auto"/>
          <w:jc w:val="center"/>
          <w:tblLayout w:type="fixed"/>
          <w:tblCellMar>
            <w:top w:w="0" w:type="dxa"/>
            <w:left w:w="108" w:type="dxa"/>
            <w:bottom w:w="0" w:type="dxa"/>
            <w:right w:w="108" w:type="dxa"/>
          </w:tblCellMar>
        </w:tblPrEx>
        <w:trPr>
          <w:trHeight w:val="633"/>
          <w:jc w:val="center"/>
        </w:trPr>
        <w:tc>
          <w:tcPr>
            <w:tcW w:w="2311" w:type="dxa"/>
            <w:tcBorders>
              <w:top w:val="single" w:sz="2" w:space="0" w:color="auto"/>
              <w:left w:val="single" w:sz="2" w:space="0" w:color="auto"/>
              <w:bottom w:val="single" w:sz="2" w:space="0" w:color="auto"/>
              <w:right w:val="single" w:sz="2" w:space="0" w:color="auto"/>
            </w:tcBorders>
            <w:vAlign w:val="center"/>
          </w:tcPr>
          <w:p w14:paraId="4D5E2BDB">
            <w:r>
              <w:rPr>
                <w:rFonts w:hint="eastAsia"/>
              </w:rPr>
              <w:t>备注</w:t>
            </w:r>
          </w:p>
        </w:tc>
        <w:tc>
          <w:tcPr>
            <w:tcW w:w="6470" w:type="dxa"/>
            <w:gridSpan w:val="6"/>
            <w:tcBorders>
              <w:top w:val="single" w:sz="2" w:space="0" w:color="auto"/>
              <w:left w:val="single" w:sz="2" w:space="0" w:color="auto"/>
              <w:bottom w:val="single" w:sz="2" w:space="0" w:color="auto"/>
              <w:right w:val="single" w:sz="2" w:space="0" w:color="auto"/>
            </w:tcBorders>
            <w:vAlign w:val="center"/>
          </w:tcPr>
          <w:p w14:paraId="5358ACCD"/>
        </w:tc>
      </w:tr>
    </w:tbl>
    <w:p w14:paraId="37E8CA9C">
      <w:pPr>
        <w:spacing w:line="360" w:lineRule="auto"/>
        <w:rPr>
          <w:rFonts w:ascii="宋体" w:hAnsi="宋体" w:cs="宋体"/>
          <w:lang w:eastAsia="zh-CN"/>
        </w:rPr>
      </w:pPr>
      <w:r>
        <w:rPr>
          <w:rFonts w:ascii="宋体" w:hAnsi="宋体" w:cs="宋体" w:hint="eastAsia"/>
          <w:lang w:eastAsia="zh-CN"/>
        </w:rPr>
        <w:t>注：投标人应根据投标人须知第 3.5.1 项的要求在本表后附相关证明材料扫描件。</w:t>
      </w:r>
    </w:p>
    <w:p w14:paraId="7F403133">
      <w:pPr>
        <w:rPr>
          <w:rFonts w:ascii="宋体" w:hAnsi="宋体" w:cs="宋体"/>
          <w:lang w:eastAsia="zh-CN"/>
        </w:rPr>
      </w:pPr>
    </w:p>
    <w:p w14:paraId="733F358A">
      <w:pPr>
        <w:spacing w:line="360" w:lineRule="auto"/>
        <w:jc w:val="center"/>
        <w:rPr>
          <w:rFonts w:ascii="宋体" w:hAnsi="宋体" w:cs="Arial"/>
          <w:b/>
          <w:lang w:eastAsia="zh-CN"/>
        </w:rPr>
      </w:pPr>
      <w:bookmarkStart w:id="1542" w:name="_Toc17730_WPSOffice_Level1"/>
      <w:r>
        <w:rPr>
          <w:rFonts w:ascii="宋体" w:hAnsi="宋体" w:cs="Arial" w:hint="eastAsia"/>
          <w:b/>
          <w:lang w:eastAsia="zh-CN"/>
        </w:rPr>
        <w:t>基本情况表（成员单位）</w:t>
      </w:r>
      <w:bookmarkEnd w:id="1542"/>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2230"/>
        <w:gridCol w:w="1010"/>
        <w:gridCol w:w="729"/>
        <w:gridCol w:w="1276"/>
        <w:gridCol w:w="1418"/>
        <w:gridCol w:w="749"/>
        <w:gridCol w:w="1235"/>
      </w:tblGrid>
      <w:tr w14:paraId="34A15571">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677"/>
          <w:jc w:val="center"/>
        </w:trPr>
        <w:tc>
          <w:tcPr>
            <w:tcW w:w="2230" w:type="dxa"/>
            <w:tcBorders>
              <w:top w:val="single" w:sz="2" w:space="0" w:color="auto"/>
              <w:left w:val="single" w:sz="2" w:space="0" w:color="auto"/>
              <w:bottom w:val="single" w:sz="2" w:space="0" w:color="auto"/>
              <w:right w:val="single" w:sz="2" w:space="0" w:color="auto"/>
            </w:tcBorders>
            <w:vAlign w:val="center"/>
          </w:tcPr>
          <w:p w14:paraId="24F19F9F">
            <w:pPr>
              <w:spacing w:line="36" w:lineRule="auto"/>
              <w:jc w:val="center"/>
              <w:rPr>
                <w:rFonts w:ascii="宋体" w:hAnsi="宋体"/>
                <w:kern w:val="2"/>
              </w:rPr>
            </w:pPr>
            <w:r>
              <w:rPr>
                <w:rFonts w:ascii="宋体" w:hAnsi="宋体" w:hint="eastAsia"/>
              </w:rPr>
              <w:t>联合体成员名称</w:t>
            </w:r>
          </w:p>
        </w:tc>
        <w:tc>
          <w:tcPr>
            <w:tcW w:w="6417" w:type="dxa"/>
            <w:gridSpan w:val="6"/>
            <w:tcBorders>
              <w:top w:val="single" w:sz="2" w:space="0" w:color="auto"/>
              <w:left w:val="single" w:sz="2" w:space="0" w:color="auto"/>
              <w:bottom w:val="single" w:sz="2" w:space="0" w:color="auto"/>
              <w:right w:val="single" w:sz="2" w:space="0" w:color="auto"/>
            </w:tcBorders>
            <w:vAlign w:val="center"/>
          </w:tcPr>
          <w:p w14:paraId="7F08C4EF">
            <w:pPr>
              <w:spacing w:line="36" w:lineRule="auto"/>
              <w:jc w:val="center"/>
              <w:rPr>
                <w:rFonts w:ascii="宋体" w:hAnsi="宋体"/>
              </w:rPr>
            </w:pPr>
          </w:p>
        </w:tc>
      </w:tr>
      <w:tr w14:paraId="0088D9B7">
        <w:tblPrEx>
          <w:tblW w:w="0" w:type="auto"/>
          <w:jc w:val="center"/>
          <w:tblLayout w:type="fixed"/>
          <w:tblCellMar>
            <w:top w:w="0" w:type="dxa"/>
            <w:left w:w="108" w:type="dxa"/>
            <w:bottom w:w="0" w:type="dxa"/>
            <w:right w:w="108" w:type="dxa"/>
          </w:tblCellMar>
        </w:tblPrEx>
        <w:trPr>
          <w:trHeight w:val="572"/>
          <w:jc w:val="center"/>
        </w:trPr>
        <w:tc>
          <w:tcPr>
            <w:tcW w:w="2230" w:type="dxa"/>
            <w:tcBorders>
              <w:top w:val="single" w:sz="2" w:space="0" w:color="auto"/>
              <w:left w:val="single" w:sz="2" w:space="0" w:color="auto"/>
              <w:bottom w:val="single" w:sz="2" w:space="0" w:color="auto"/>
              <w:right w:val="single" w:sz="2" w:space="0" w:color="auto"/>
            </w:tcBorders>
            <w:vAlign w:val="center"/>
          </w:tcPr>
          <w:p w14:paraId="30C7CD47">
            <w:pPr>
              <w:spacing w:line="36" w:lineRule="auto"/>
              <w:jc w:val="center"/>
              <w:rPr>
                <w:rFonts w:ascii="宋体" w:hAnsi="宋体"/>
              </w:rPr>
            </w:pPr>
            <w:r>
              <w:rPr>
                <w:rFonts w:ascii="宋体" w:hAnsi="宋体" w:hint="eastAsia"/>
              </w:rPr>
              <w:t>注册地址</w:t>
            </w:r>
          </w:p>
        </w:tc>
        <w:tc>
          <w:tcPr>
            <w:tcW w:w="3015" w:type="dxa"/>
            <w:gridSpan w:val="3"/>
            <w:tcBorders>
              <w:top w:val="single" w:sz="2" w:space="0" w:color="auto"/>
              <w:left w:val="single" w:sz="2" w:space="0" w:color="auto"/>
              <w:bottom w:val="single" w:sz="2" w:space="0" w:color="auto"/>
              <w:right w:val="single" w:sz="2" w:space="0" w:color="auto"/>
            </w:tcBorders>
            <w:vAlign w:val="center"/>
          </w:tcPr>
          <w:p w14:paraId="4724A7CA">
            <w:pPr>
              <w:spacing w:line="36" w:lineRule="auto"/>
              <w:jc w:val="center"/>
              <w:rPr>
                <w:rFonts w:ascii="宋体" w:hAnsi="宋体"/>
              </w:rPr>
            </w:pPr>
          </w:p>
        </w:tc>
        <w:tc>
          <w:tcPr>
            <w:tcW w:w="1418" w:type="dxa"/>
            <w:tcBorders>
              <w:top w:val="single" w:sz="2" w:space="0" w:color="auto"/>
              <w:left w:val="single" w:sz="2" w:space="0" w:color="auto"/>
              <w:bottom w:val="single" w:sz="2" w:space="0" w:color="auto"/>
              <w:right w:val="single" w:sz="2" w:space="0" w:color="auto"/>
            </w:tcBorders>
            <w:vAlign w:val="center"/>
          </w:tcPr>
          <w:p w14:paraId="03BB1780">
            <w:pPr>
              <w:spacing w:line="36" w:lineRule="auto"/>
              <w:jc w:val="center"/>
              <w:rPr>
                <w:rFonts w:ascii="宋体" w:hAnsi="宋体"/>
              </w:rPr>
            </w:pPr>
            <w:r>
              <w:rPr>
                <w:rFonts w:ascii="宋体" w:hAnsi="宋体" w:hint="eastAsia"/>
              </w:rPr>
              <w:t>邮政编码</w:t>
            </w:r>
          </w:p>
        </w:tc>
        <w:tc>
          <w:tcPr>
            <w:tcW w:w="1984" w:type="dxa"/>
            <w:gridSpan w:val="2"/>
            <w:tcBorders>
              <w:top w:val="single" w:sz="2" w:space="0" w:color="auto"/>
              <w:left w:val="single" w:sz="2" w:space="0" w:color="auto"/>
              <w:bottom w:val="single" w:sz="2" w:space="0" w:color="auto"/>
              <w:right w:val="single" w:sz="2" w:space="0" w:color="auto"/>
            </w:tcBorders>
            <w:vAlign w:val="center"/>
          </w:tcPr>
          <w:p w14:paraId="5A3148E5">
            <w:pPr>
              <w:spacing w:line="36" w:lineRule="auto"/>
              <w:jc w:val="center"/>
              <w:rPr>
                <w:rFonts w:ascii="宋体" w:hAnsi="宋体"/>
              </w:rPr>
            </w:pPr>
          </w:p>
        </w:tc>
      </w:tr>
      <w:tr w14:paraId="49BBAA65">
        <w:tblPrEx>
          <w:tblW w:w="0" w:type="auto"/>
          <w:jc w:val="center"/>
          <w:tblLayout w:type="fixed"/>
          <w:tblCellMar>
            <w:top w:w="0" w:type="dxa"/>
            <w:left w:w="108" w:type="dxa"/>
            <w:bottom w:w="0" w:type="dxa"/>
            <w:right w:w="108" w:type="dxa"/>
          </w:tblCellMar>
        </w:tblPrEx>
        <w:trPr>
          <w:trHeight w:val="555"/>
          <w:jc w:val="center"/>
        </w:trPr>
        <w:tc>
          <w:tcPr>
            <w:tcW w:w="2230" w:type="dxa"/>
            <w:vMerge w:val="restart"/>
            <w:tcBorders>
              <w:top w:val="single" w:sz="2" w:space="0" w:color="auto"/>
              <w:left w:val="single" w:sz="2" w:space="0" w:color="auto"/>
              <w:bottom w:val="single" w:sz="2" w:space="0" w:color="auto"/>
              <w:right w:val="single" w:sz="2" w:space="0" w:color="auto"/>
            </w:tcBorders>
            <w:vAlign w:val="center"/>
          </w:tcPr>
          <w:p w14:paraId="3DD8A3E3">
            <w:pPr>
              <w:spacing w:line="36" w:lineRule="auto"/>
              <w:jc w:val="center"/>
              <w:rPr>
                <w:rFonts w:ascii="宋体" w:hAnsi="宋体"/>
              </w:rPr>
            </w:pPr>
            <w:r>
              <w:rPr>
                <w:rFonts w:ascii="宋体" w:hAnsi="宋体" w:hint="eastAsia"/>
              </w:rPr>
              <w:t>联系方式</w:t>
            </w:r>
          </w:p>
        </w:tc>
        <w:tc>
          <w:tcPr>
            <w:tcW w:w="1010" w:type="dxa"/>
            <w:tcBorders>
              <w:top w:val="single" w:sz="2" w:space="0" w:color="auto"/>
              <w:left w:val="single" w:sz="2" w:space="0" w:color="auto"/>
              <w:bottom w:val="single" w:sz="2" w:space="0" w:color="auto"/>
              <w:right w:val="single" w:sz="2" w:space="0" w:color="auto"/>
            </w:tcBorders>
            <w:vAlign w:val="center"/>
          </w:tcPr>
          <w:p w14:paraId="4FDCD540">
            <w:pPr>
              <w:spacing w:line="36" w:lineRule="auto"/>
              <w:jc w:val="center"/>
              <w:rPr>
                <w:rFonts w:ascii="宋体" w:hAnsi="宋体"/>
              </w:rPr>
            </w:pPr>
            <w:r>
              <w:rPr>
                <w:rFonts w:ascii="宋体" w:hAnsi="宋体" w:hint="eastAsia"/>
              </w:rPr>
              <w:t>联系人</w:t>
            </w:r>
          </w:p>
        </w:tc>
        <w:tc>
          <w:tcPr>
            <w:tcW w:w="2005" w:type="dxa"/>
            <w:gridSpan w:val="2"/>
            <w:tcBorders>
              <w:top w:val="single" w:sz="2" w:space="0" w:color="auto"/>
              <w:left w:val="single" w:sz="2" w:space="0" w:color="auto"/>
              <w:bottom w:val="single" w:sz="2" w:space="0" w:color="auto"/>
              <w:right w:val="single" w:sz="2" w:space="0" w:color="auto"/>
            </w:tcBorders>
            <w:vAlign w:val="center"/>
          </w:tcPr>
          <w:p w14:paraId="24410B38">
            <w:pPr>
              <w:spacing w:line="36" w:lineRule="auto"/>
              <w:jc w:val="center"/>
              <w:rPr>
                <w:rFonts w:ascii="宋体" w:hAnsi="宋体"/>
              </w:rPr>
            </w:pPr>
          </w:p>
        </w:tc>
        <w:tc>
          <w:tcPr>
            <w:tcW w:w="1418" w:type="dxa"/>
            <w:tcBorders>
              <w:top w:val="single" w:sz="2" w:space="0" w:color="auto"/>
              <w:left w:val="single" w:sz="2" w:space="0" w:color="auto"/>
              <w:bottom w:val="single" w:sz="2" w:space="0" w:color="auto"/>
              <w:right w:val="single" w:sz="2" w:space="0" w:color="auto"/>
            </w:tcBorders>
            <w:vAlign w:val="center"/>
          </w:tcPr>
          <w:p w14:paraId="7C637A6E">
            <w:pPr>
              <w:spacing w:line="36" w:lineRule="auto"/>
              <w:jc w:val="center"/>
              <w:rPr>
                <w:rFonts w:ascii="宋体" w:hAnsi="宋体"/>
              </w:rPr>
            </w:pPr>
            <w:r>
              <w:rPr>
                <w:rFonts w:ascii="宋体" w:hAnsi="宋体" w:hint="eastAsia"/>
              </w:rPr>
              <w:t>电话</w:t>
            </w:r>
          </w:p>
        </w:tc>
        <w:tc>
          <w:tcPr>
            <w:tcW w:w="1984" w:type="dxa"/>
            <w:gridSpan w:val="2"/>
            <w:tcBorders>
              <w:top w:val="single" w:sz="2" w:space="0" w:color="auto"/>
              <w:left w:val="single" w:sz="2" w:space="0" w:color="auto"/>
              <w:bottom w:val="single" w:sz="2" w:space="0" w:color="auto"/>
              <w:right w:val="single" w:sz="2" w:space="0" w:color="auto"/>
            </w:tcBorders>
            <w:vAlign w:val="center"/>
          </w:tcPr>
          <w:p w14:paraId="756B9919">
            <w:pPr>
              <w:spacing w:line="36" w:lineRule="auto"/>
              <w:jc w:val="center"/>
              <w:rPr>
                <w:rFonts w:ascii="宋体" w:hAnsi="宋体"/>
              </w:rPr>
            </w:pPr>
          </w:p>
        </w:tc>
      </w:tr>
      <w:tr w14:paraId="4ED91CAF">
        <w:tblPrEx>
          <w:tblW w:w="0" w:type="auto"/>
          <w:jc w:val="center"/>
          <w:tblLayout w:type="fixed"/>
          <w:tblCellMar>
            <w:top w:w="0" w:type="dxa"/>
            <w:left w:w="108" w:type="dxa"/>
            <w:bottom w:w="0" w:type="dxa"/>
            <w:right w:w="108" w:type="dxa"/>
          </w:tblCellMar>
        </w:tblPrEx>
        <w:trPr>
          <w:trHeight w:val="577"/>
          <w:jc w:val="center"/>
        </w:trPr>
        <w:tc>
          <w:tcPr>
            <w:tcW w:w="2230" w:type="dxa"/>
            <w:vMerge/>
            <w:tcBorders>
              <w:top w:val="single" w:sz="2" w:space="0" w:color="auto"/>
              <w:left w:val="single" w:sz="2" w:space="0" w:color="auto"/>
              <w:bottom w:val="single" w:sz="2" w:space="0" w:color="auto"/>
              <w:right w:val="single" w:sz="2" w:space="0" w:color="auto"/>
            </w:tcBorders>
            <w:vAlign w:val="center"/>
          </w:tcPr>
          <w:p w14:paraId="3BE1911E">
            <w:pPr>
              <w:rPr>
                <w:rFonts w:ascii="宋体" w:eastAsia="宋体" w:hAnsi="宋体"/>
                <w:kern w:val="2"/>
              </w:rPr>
            </w:pPr>
          </w:p>
        </w:tc>
        <w:tc>
          <w:tcPr>
            <w:tcW w:w="1010" w:type="dxa"/>
            <w:tcBorders>
              <w:top w:val="single" w:sz="2" w:space="0" w:color="auto"/>
              <w:left w:val="single" w:sz="2" w:space="0" w:color="auto"/>
              <w:bottom w:val="single" w:sz="2" w:space="0" w:color="auto"/>
              <w:right w:val="single" w:sz="2" w:space="0" w:color="auto"/>
            </w:tcBorders>
            <w:vAlign w:val="center"/>
          </w:tcPr>
          <w:p w14:paraId="70374A78">
            <w:pPr>
              <w:spacing w:line="36" w:lineRule="auto"/>
              <w:jc w:val="center"/>
              <w:rPr>
                <w:rFonts w:ascii="宋体" w:hAnsi="宋体"/>
              </w:rPr>
            </w:pPr>
            <w:r>
              <w:rPr>
                <w:rFonts w:ascii="宋体" w:hAnsi="宋体" w:hint="eastAsia"/>
              </w:rPr>
              <w:t>传真</w:t>
            </w:r>
          </w:p>
        </w:tc>
        <w:tc>
          <w:tcPr>
            <w:tcW w:w="2005" w:type="dxa"/>
            <w:gridSpan w:val="2"/>
            <w:tcBorders>
              <w:top w:val="single" w:sz="2" w:space="0" w:color="auto"/>
              <w:left w:val="single" w:sz="2" w:space="0" w:color="auto"/>
              <w:bottom w:val="single" w:sz="2" w:space="0" w:color="auto"/>
              <w:right w:val="single" w:sz="2" w:space="0" w:color="auto"/>
            </w:tcBorders>
            <w:vAlign w:val="center"/>
          </w:tcPr>
          <w:p w14:paraId="5ED94AA7">
            <w:pPr>
              <w:spacing w:line="36" w:lineRule="auto"/>
              <w:jc w:val="center"/>
              <w:rPr>
                <w:rFonts w:ascii="宋体" w:hAnsi="宋体"/>
              </w:rPr>
            </w:pPr>
          </w:p>
        </w:tc>
        <w:tc>
          <w:tcPr>
            <w:tcW w:w="1418" w:type="dxa"/>
            <w:tcBorders>
              <w:top w:val="single" w:sz="2" w:space="0" w:color="auto"/>
              <w:left w:val="single" w:sz="2" w:space="0" w:color="auto"/>
              <w:bottom w:val="single" w:sz="2" w:space="0" w:color="auto"/>
              <w:right w:val="single" w:sz="2" w:space="0" w:color="auto"/>
            </w:tcBorders>
            <w:vAlign w:val="center"/>
          </w:tcPr>
          <w:p w14:paraId="6D2049B2">
            <w:pPr>
              <w:spacing w:line="36" w:lineRule="auto"/>
              <w:jc w:val="center"/>
              <w:rPr>
                <w:rFonts w:ascii="宋体" w:hAnsi="宋体"/>
              </w:rPr>
            </w:pPr>
            <w:r>
              <w:rPr>
                <w:rFonts w:ascii="宋体" w:hAnsi="宋体" w:hint="eastAsia"/>
              </w:rPr>
              <w:t>网址</w:t>
            </w:r>
          </w:p>
        </w:tc>
        <w:tc>
          <w:tcPr>
            <w:tcW w:w="1984" w:type="dxa"/>
            <w:gridSpan w:val="2"/>
            <w:tcBorders>
              <w:top w:val="single" w:sz="2" w:space="0" w:color="auto"/>
              <w:left w:val="single" w:sz="2" w:space="0" w:color="auto"/>
              <w:bottom w:val="single" w:sz="2" w:space="0" w:color="auto"/>
              <w:right w:val="single" w:sz="2" w:space="0" w:color="auto"/>
            </w:tcBorders>
            <w:vAlign w:val="center"/>
          </w:tcPr>
          <w:p w14:paraId="32A90356">
            <w:pPr>
              <w:spacing w:line="36" w:lineRule="auto"/>
              <w:jc w:val="center"/>
              <w:rPr>
                <w:rFonts w:ascii="宋体" w:hAnsi="宋体"/>
              </w:rPr>
            </w:pPr>
          </w:p>
        </w:tc>
      </w:tr>
      <w:tr w14:paraId="074592E4">
        <w:tblPrEx>
          <w:tblW w:w="0" w:type="auto"/>
          <w:jc w:val="center"/>
          <w:tblLayout w:type="fixed"/>
          <w:tblCellMar>
            <w:top w:w="0" w:type="dxa"/>
            <w:left w:w="108" w:type="dxa"/>
            <w:bottom w:w="0" w:type="dxa"/>
            <w:right w:w="108" w:type="dxa"/>
          </w:tblCellMar>
        </w:tblPrEx>
        <w:trPr>
          <w:trHeight w:val="568"/>
          <w:jc w:val="center"/>
        </w:trPr>
        <w:tc>
          <w:tcPr>
            <w:tcW w:w="2230" w:type="dxa"/>
            <w:tcBorders>
              <w:top w:val="single" w:sz="2" w:space="0" w:color="auto"/>
              <w:left w:val="single" w:sz="2" w:space="0" w:color="auto"/>
              <w:bottom w:val="single" w:sz="2" w:space="0" w:color="auto"/>
              <w:right w:val="single" w:sz="2" w:space="0" w:color="auto"/>
            </w:tcBorders>
            <w:vAlign w:val="center"/>
          </w:tcPr>
          <w:p w14:paraId="5E31DEAC">
            <w:pPr>
              <w:spacing w:line="36" w:lineRule="auto"/>
              <w:jc w:val="center"/>
              <w:rPr>
                <w:rFonts w:ascii="宋体" w:hAnsi="宋体"/>
              </w:rPr>
            </w:pPr>
            <w:r>
              <w:rPr>
                <w:rFonts w:ascii="宋体" w:hAnsi="宋体" w:hint="eastAsia"/>
              </w:rPr>
              <w:t>组织结构</w:t>
            </w:r>
          </w:p>
        </w:tc>
        <w:tc>
          <w:tcPr>
            <w:tcW w:w="6417" w:type="dxa"/>
            <w:gridSpan w:val="6"/>
            <w:tcBorders>
              <w:top w:val="single" w:sz="2" w:space="0" w:color="auto"/>
              <w:left w:val="single" w:sz="2" w:space="0" w:color="auto"/>
              <w:bottom w:val="single" w:sz="2" w:space="0" w:color="auto"/>
              <w:right w:val="single" w:sz="2" w:space="0" w:color="auto"/>
            </w:tcBorders>
            <w:vAlign w:val="center"/>
          </w:tcPr>
          <w:p w14:paraId="08D7A35A">
            <w:pPr>
              <w:spacing w:line="36" w:lineRule="auto"/>
              <w:jc w:val="center"/>
              <w:rPr>
                <w:rFonts w:ascii="宋体" w:hAnsi="宋体"/>
              </w:rPr>
            </w:pPr>
          </w:p>
        </w:tc>
      </w:tr>
      <w:tr w14:paraId="67AEC9A3">
        <w:tblPrEx>
          <w:tblW w:w="0" w:type="auto"/>
          <w:jc w:val="center"/>
          <w:tblLayout w:type="fixed"/>
          <w:tblCellMar>
            <w:top w:w="0" w:type="dxa"/>
            <w:left w:w="108" w:type="dxa"/>
            <w:bottom w:w="0" w:type="dxa"/>
            <w:right w:w="108" w:type="dxa"/>
          </w:tblCellMar>
        </w:tblPrEx>
        <w:trPr>
          <w:trHeight w:val="861"/>
          <w:jc w:val="center"/>
        </w:trPr>
        <w:tc>
          <w:tcPr>
            <w:tcW w:w="2230" w:type="dxa"/>
            <w:tcBorders>
              <w:top w:val="single" w:sz="2" w:space="0" w:color="auto"/>
              <w:left w:val="single" w:sz="2" w:space="0" w:color="auto"/>
              <w:bottom w:val="single" w:sz="2" w:space="0" w:color="auto"/>
              <w:right w:val="single" w:sz="2" w:space="0" w:color="auto"/>
            </w:tcBorders>
            <w:vAlign w:val="center"/>
          </w:tcPr>
          <w:p w14:paraId="094E58B0">
            <w:pPr>
              <w:spacing w:line="36" w:lineRule="auto"/>
              <w:jc w:val="center"/>
              <w:rPr>
                <w:rFonts w:ascii="宋体" w:hAnsi="宋体"/>
              </w:rPr>
            </w:pPr>
            <w:r>
              <w:rPr>
                <w:rFonts w:ascii="宋体" w:hAnsi="宋体" w:hint="eastAsia"/>
              </w:rPr>
              <w:t>法定代表人</w:t>
            </w:r>
          </w:p>
        </w:tc>
        <w:tc>
          <w:tcPr>
            <w:tcW w:w="1010" w:type="dxa"/>
            <w:tcBorders>
              <w:top w:val="single" w:sz="2" w:space="0" w:color="auto"/>
              <w:left w:val="single" w:sz="2" w:space="0" w:color="auto"/>
              <w:bottom w:val="single" w:sz="2" w:space="0" w:color="auto"/>
              <w:right w:val="single" w:sz="2" w:space="0" w:color="auto"/>
            </w:tcBorders>
            <w:vAlign w:val="center"/>
          </w:tcPr>
          <w:p w14:paraId="3CE21861">
            <w:pPr>
              <w:spacing w:line="36" w:lineRule="auto"/>
              <w:jc w:val="center"/>
              <w:rPr>
                <w:rFonts w:ascii="宋体" w:hAnsi="宋体"/>
              </w:rPr>
            </w:pPr>
            <w:r>
              <w:rPr>
                <w:rFonts w:ascii="宋体" w:hAnsi="宋体" w:hint="eastAsia"/>
              </w:rPr>
              <w:t>姓名</w:t>
            </w:r>
          </w:p>
        </w:tc>
        <w:tc>
          <w:tcPr>
            <w:tcW w:w="729" w:type="dxa"/>
            <w:tcBorders>
              <w:top w:val="single" w:sz="2" w:space="0" w:color="auto"/>
              <w:left w:val="single" w:sz="2" w:space="0" w:color="auto"/>
              <w:bottom w:val="single" w:sz="2" w:space="0" w:color="auto"/>
              <w:right w:val="single" w:sz="2" w:space="0" w:color="auto"/>
            </w:tcBorders>
            <w:vAlign w:val="center"/>
          </w:tcPr>
          <w:p w14:paraId="6DBDFC1D">
            <w:pPr>
              <w:spacing w:line="36" w:lineRule="auto"/>
              <w:jc w:val="center"/>
              <w:rPr>
                <w:rFonts w:ascii="宋体" w:hAnsi="宋体"/>
              </w:rPr>
            </w:pPr>
          </w:p>
        </w:tc>
        <w:tc>
          <w:tcPr>
            <w:tcW w:w="1276" w:type="dxa"/>
            <w:tcBorders>
              <w:top w:val="single" w:sz="2" w:space="0" w:color="auto"/>
              <w:left w:val="single" w:sz="2" w:space="0" w:color="auto"/>
              <w:bottom w:val="single" w:sz="2" w:space="0" w:color="auto"/>
              <w:right w:val="single" w:sz="2" w:space="0" w:color="auto"/>
            </w:tcBorders>
            <w:vAlign w:val="center"/>
          </w:tcPr>
          <w:p w14:paraId="56D1B6D3">
            <w:pPr>
              <w:spacing w:line="36" w:lineRule="auto"/>
              <w:jc w:val="center"/>
              <w:rPr>
                <w:rFonts w:ascii="宋体" w:hAnsi="宋体"/>
              </w:rPr>
            </w:pPr>
            <w:r>
              <w:rPr>
                <w:rFonts w:ascii="宋体" w:hAnsi="宋体" w:hint="eastAsia"/>
              </w:rPr>
              <w:t>专业技术职称</w:t>
            </w:r>
          </w:p>
        </w:tc>
        <w:tc>
          <w:tcPr>
            <w:tcW w:w="1418" w:type="dxa"/>
            <w:tcBorders>
              <w:top w:val="single" w:sz="2" w:space="0" w:color="auto"/>
              <w:left w:val="single" w:sz="2" w:space="0" w:color="auto"/>
              <w:bottom w:val="single" w:sz="2" w:space="0" w:color="auto"/>
              <w:right w:val="single" w:sz="2" w:space="0" w:color="auto"/>
            </w:tcBorders>
            <w:vAlign w:val="center"/>
          </w:tcPr>
          <w:p w14:paraId="7A5A2EE3">
            <w:pPr>
              <w:spacing w:line="36" w:lineRule="auto"/>
              <w:jc w:val="center"/>
              <w:rPr>
                <w:rFonts w:ascii="宋体" w:hAnsi="宋体"/>
              </w:rPr>
            </w:pPr>
          </w:p>
        </w:tc>
        <w:tc>
          <w:tcPr>
            <w:tcW w:w="749" w:type="dxa"/>
            <w:tcBorders>
              <w:top w:val="single" w:sz="2" w:space="0" w:color="auto"/>
              <w:left w:val="single" w:sz="2" w:space="0" w:color="auto"/>
              <w:bottom w:val="single" w:sz="2" w:space="0" w:color="auto"/>
              <w:right w:val="single" w:sz="2" w:space="0" w:color="auto"/>
            </w:tcBorders>
            <w:vAlign w:val="center"/>
          </w:tcPr>
          <w:p w14:paraId="736C69C3">
            <w:pPr>
              <w:spacing w:line="36" w:lineRule="auto"/>
              <w:jc w:val="center"/>
              <w:rPr>
                <w:rFonts w:ascii="宋体" w:hAnsi="宋体"/>
              </w:rPr>
            </w:pPr>
            <w:r>
              <w:rPr>
                <w:rFonts w:ascii="宋体" w:hAnsi="宋体" w:hint="eastAsia"/>
              </w:rPr>
              <w:t>电话</w:t>
            </w:r>
          </w:p>
        </w:tc>
        <w:tc>
          <w:tcPr>
            <w:tcW w:w="1235" w:type="dxa"/>
            <w:tcBorders>
              <w:top w:val="single" w:sz="2" w:space="0" w:color="auto"/>
              <w:left w:val="single" w:sz="2" w:space="0" w:color="auto"/>
              <w:bottom w:val="single" w:sz="2" w:space="0" w:color="auto"/>
              <w:right w:val="single" w:sz="2" w:space="0" w:color="auto"/>
            </w:tcBorders>
            <w:vAlign w:val="center"/>
          </w:tcPr>
          <w:p w14:paraId="4BF03070">
            <w:pPr>
              <w:spacing w:line="36" w:lineRule="auto"/>
              <w:jc w:val="center"/>
              <w:rPr>
                <w:rFonts w:ascii="宋体" w:hAnsi="宋体"/>
              </w:rPr>
            </w:pPr>
          </w:p>
        </w:tc>
      </w:tr>
      <w:tr w14:paraId="5CBCC69E">
        <w:tblPrEx>
          <w:tblW w:w="0" w:type="auto"/>
          <w:jc w:val="center"/>
          <w:tblLayout w:type="fixed"/>
          <w:tblCellMar>
            <w:top w:w="0" w:type="dxa"/>
            <w:left w:w="108" w:type="dxa"/>
            <w:bottom w:w="0" w:type="dxa"/>
            <w:right w:w="108" w:type="dxa"/>
          </w:tblCellMar>
        </w:tblPrEx>
        <w:trPr>
          <w:trHeight w:val="859"/>
          <w:jc w:val="center"/>
        </w:trPr>
        <w:tc>
          <w:tcPr>
            <w:tcW w:w="2230" w:type="dxa"/>
            <w:tcBorders>
              <w:top w:val="single" w:sz="2" w:space="0" w:color="auto"/>
              <w:left w:val="single" w:sz="2" w:space="0" w:color="auto"/>
              <w:bottom w:val="single" w:sz="2" w:space="0" w:color="auto"/>
              <w:right w:val="single" w:sz="2" w:space="0" w:color="auto"/>
            </w:tcBorders>
            <w:vAlign w:val="center"/>
          </w:tcPr>
          <w:p w14:paraId="4519FC18">
            <w:pPr>
              <w:spacing w:line="36" w:lineRule="auto"/>
              <w:jc w:val="center"/>
              <w:rPr>
                <w:rFonts w:ascii="宋体" w:hAnsi="宋体"/>
              </w:rPr>
            </w:pPr>
            <w:r>
              <w:rPr>
                <w:rFonts w:ascii="宋体" w:hAnsi="宋体" w:hint="eastAsia"/>
              </w:rPr>
              <w:t>技术负责人</w:t>
            </w:r>
          </w:p>
        </w:tc>
        <w:tc>
          <w:tcPr>
            <w:tcW w:w="1010" w:type="dxa"/>
            <w:tcBorders>
              <w:top w:val="single" w:sz="2" w:space="0" w:color="auto"/>
              <w:left w:val="single" w:sz="2" w:space="0" w:color="auto"/>
              <w:bottom w:val="single" w:sz="2" w:space="0" w:color="auto"/>
              <w:right w:val="single" w:sz="2" w:space="0" w:color="auto"/>
            </w:tcBorders>
            <w:vAlign w:val="center"/>
          </w:tcPr>
          <w:p w14:paraId="40282040">
            <w:pPr>
              <w:spacing w:line="36" w:lineRule="auto"/>
              <w:jc w:val="center"/>
              <w:rPr>
                <w:rFonts w:ascii="宋体" w:hAnsi="宋体"/>
              </w:rPr>
            </w:pPr>
            <w:r>
              <w:rPr>
                <w:rFonts w:ascii="宋体" w:hAnsi="宋体" w:hint="eastAsia"/>
              </w:rPr>
              <w:t>姓名</w:t>
            </w:r>
          </w:p>
        </w:tc>
        <w:tc>
          <w:tcPr>
            <w:tcW w:w="729" w:type="dxa"/>
            <w:tcBorders>
              <w:top w:val="single" w:sz="2" w:space="0" w:color="auto"/>
              <w:left w:val="single" w:sz="2" w:space="0" w:color="auto"/>
              <w:bottom w:val="single" w:sz="2" w:space="0" w:color="auto"/>
              <w:right w:val="single" w:sz="2" w:space="0" w:color="auto"/>
            </w:tcBorders>
            <w:vAlign w:val="center"/>
          </w:tcPr>
          <w:p w14:paraId="3794454A">
            <w:pPr>
              <w:spacing w:line="36" w:lineRule="auto"/>
              <w:jc w:val="center"/>
              <w:rPr>
                <w:rFonts w:ascii="宋体" w:hAnsi="宋体"/>
              </w:rPr>
            </w:pPr>
          </w:p>
        </w:tc>
        <w:tc>
          <w:tcPr>
            <w:tcW w:w="1276" w:type="dxa"/>
            <w:tcBorders>
              <w:top w:val="single" w:sz="2" w:space="0" w:color="auto"/>
              <w:left w:val="single" w:sz="2" w:space="0" w:color="auto"/>
              <w:bottom w:val="single" w:sz="2" w:space="0" w:color="auto"/>
              <w:right w:val="single" w:sz="2" w:space="0" w:color="auto"/>
            </w:tcBorders>
            <w:vAlign w:val="center"/>
          </w:tcPr>
          <w:p w14:paraId="13933838">
            <w:pPr>
              <w:spacing w:line="36" w:lineRule="auto"/>
              <w:jc w:val="center"/>
              <w:rPr>
                <w:rFonts w:ascii="宋体" w:hAnsi="宋体"/>
              </w:rPr>
            </w:pPr>
            <w:r>
              <w:rPr>
                <w:rFonts w:ascii="宋体" w:hAnsi="宋体" w:hint="eastAsia"/>
              </w:rPr>
              <w:t>专业技术职称</w:t>
            </w:r>
          </w:p>
        </w:tc>
        <w:tc>
          <w:tcPr>
            <w:tcW w:w="1418" w:type="dxa"/>
            <w:tcBorders>
              <w:top w:val="single" w:sz="2" w:space="0" w:color="auto"/>
              <w:left w:val="single" w:sz="2" w:space="0" w:color="auto"/>
              <w:bottom w:val="single" w:sz="2" w:space="0" w:color="auto"/>
              <w:right w:val="single" w:sz="2" w:space="0" w:color="auto"/>
            </w:tcBorders>
            <w:vAlign w:val="center"/>
          </w:tcPr>
          <w:p w14:paraId="79FFE930">
            <w:pPr>
              <w:spacing w:line="36" w:lineRule="auto"/>
              <w:jc w:val="center"/>
              <w:rPr>
                <w:rFonts w:ascii="宋体" w:hAnsi="宋体"/>
              </w:rPr>
            </w:pPr>
          </w:p>
        </w:tc>
        <w:tc>
          <w:tcPr>
            <w:tcW w:w="749" w:type="dxa"/>
            <w:tcBorders>
              <w:top w:val="single" w:sz="2" w:space="0" w:color="auto"/>
              <w:left w:val="single" w:sz="2" w:space="0" w:color="auto"/>
              <w:bottom w:val="single" w:sz="2" w:space="0" w:color="auto"/>
              <w:right w:val="single" w:sz="2" w:space="0" w:color="auto"/>
            </w:tcBorders>
            <w:vAlign w:val="center"/>
          </w:tcPr>
          <w:p w14:paraId="7D23F8DE">
            <w:pPr>
              <w:spacing w:line="36" w:lineRule="auto"/>
              <w:jc w:val="center"/>
              <w:rPr>
                <w:rFonts w:ascii="宋体" w:hAnsi="宋体"/>
              </w:rPr>
            </w:pPr>
            <w:r>
              <w:rPr>
                <w:rFonts w:ascii="宋体" w:hAnsi="宋体" w:hint="eastAsia"/>
              </w:rPr>
              <w:t>电话</w:t>
            </w:r>
          </w:p>
        </w:tc>
        <w:tc>
          <w:tcPr>
            <w:tcW w:w="1235" w:type="dxa"/>
            <w:tcBorders>
              <w:top w:val="single" w:sz="2" w:space="0" w:color="auto"/>
              <w:left w:val="single" w:sz="2" w:space="0" w:color="auto"/>
              <w:bottom w:val="single" w:sz="2" w:space="0" w:color="auto"/>
              <w:right w:val="single" w:sz="2" w:space="0" w:color="auto"/>
            </w:tcBorders>
            <w:vAlign w:val="center"/>
          </w:tcPr>
          <w:p w14:paraId="05335295">
            <w:pPr>
              <w:spacing w:line="36" w:lineRule="auto"/>
              <w:jc w:val="center"/>
              <w:rPr>
                <w:rFonts w:ascii="宋体" w:hAnsi="宋体"/>
              </w:rPr>
            </w:pPr>
          </w:p>
        </w:tc>
      </w:tr>
      <w:tr w14:paraId="5932DC96">
        <w:tblPrEx>
          <w:tblW w:w="0" w:type="auto"/>
          <w:jc w:val="center"/>
          <w:tblLayout w:type="fixed"/>
          <w:tblCellMar>
            <w:top w:w="0" w:type="dxa"/>
            <w:left w:w="108" w:type="dxa"/>
            <w:bottom w:w="0" w:type="dxa"/>
            <w:right w:w="108" w:type="dxa"/>
          </w:tblCellMar>
        </w:tblPrEx>
        <w:trPr>
          <w:trHeight w:val="700"/>
          <w:jc w:val="center"/>
        </w:trPr>
        <w:tc>
          <w:tcPr>
            <w:tcW w:w="2230" w:type="dxa"/>
            <w:tcBorders>
              <w:top w:val="single" w:sz="2" w:space="0" w:color="auto"/>
              <w:left w:val="single" w:sz="2" w:space="0" w:color="auto"/>
              <w:bottom w:val="single" w:sz="2" w:space="0" w:color="auto"/>
              <w:right w:val="single" w:sz="2" w:space="0" w:color="auto"/>
            </w:tcBorders>
            <w:vAlign w:val="center"/>
          </w:tcPr>
          <w:p w14:paraId="1A440A0B">
            <w:pPr>
              <w:spacing w:line="36" w:lineRule="auto"/>
              <w:jc w:val="center"/>
              <w:rPr>
                <w:rFonts w:ascii="宋体" w:hAnsi="宋体"/>
              </w:rPr>
            </w:pPr>
            <w:r>
              <w:rPr>
                <w:rFonts w:ascii="宋体" w:hAnsi="宋体" w:hint="eastAsia"/>
              </w:rPr>
              <w:t>成立时间</w:t>
            </w:r>
          </w:p>
        </w:tc>
        <w:tc>
          <w:tcPr>
            <w:tcW w:w="1739" w:type="dxa"/>
            <w:gridSpan w:val="2"/>
            <w:tcBorders>
              <w:top w:val="single" w:sz="2" w:space="0" w:color="auto"/>
              <w:left w:val="single" w:sz="2" w:space="0" w:color="auto"/>
              <w:bottom w:val="single" w:sz="2" w:space="0" w:color="auto"/>
              <w:right w:val="single" w:sz="2" w:space="0" w:color="auto"/>
            </w:tcBorders>
            <w:vAlign w:val="center"/>
          </w:tcPr>
          <w:p w14:paraId="67114B8F">
            <w:pPr>
              <w:spacing w:line="36" w:lineRule="auto"/>
              <w:jc w:val="center"/>
              <w:rPr>
                <w:rFonts w:ascii="宋体" w:hAnsi="宋体"/>
              </w:rPr>
            </w:pPr>
          </w:p>
        </w:tc>
        <w:tc>
          <w:tcPr>
            <w:tcW w:w="4678" w:type="dxa"/>
            <w:gridSpan w:val="4"/>
            <w:tcBorders>
              <w:top w:val="single" w:sz="2" w:space="0" w:color="auto"/>
              <w:left w:val="single" w:sz="2" w:space="0" w:color="auto"/>
              <w:bottom w:val="single" w:sz="2" w:space="0" w:color="auto"/>
              <w:right w:val="single" w:sz="2" w:space="0" w:color="auto"/>
            </w:tcBorders>
            <w:vAlign w:val="center"/>
          </w:tcPr>
          <w:p w14:paraId="2D1E871F">
            <w:pPr>
              <w:spacing w:line="36" w:lineRule="auto"/>
              <w:rPr>
                <w:rFonts w:ascii="宋体" w:hAnsi="宋体"/>
              </w:rPr>
            </w:pPr>
            <w:r>
              <w:rPr>
                <w:rFonts w:ascii="宋体" w:hAnsi="宋体" w:hint="eastAsia"/>
              </w:rPr>
              <w:t>员工总人数：</w:t>
            </w:r>
          </w:p>
        </w:tc>
      </w:tr>
      <w:tr w14:paraId="6B72DEEC">
        <w:tblPrEx>
          <w:tblW w:w="0" w:type="auto"/>
          <w:jc w:val="center"/>
          <w:tblLayout w:type="fixed"/>
          <w:tblCellMar>
            <w:top w:w="0" w:type="dxa"/>
            <w:left w:w="108" w:type="dxa"/>
            <w:bottom w:w="0" w:type="dxa"/>
            <w:right w:w="108" w:type="dxa"/>
          </w:tblCellMar>
        </w:tblPrEx>
        <w:trPr>
          <w:trHeight w:val="725"/>
          <w:jc w:val="center"/>
        </w:trPr>
        <w:tc>
          <w:tcPr>
            <w:tcW w:w="2230" w:type="dxa"/>
            <w:tcBorders>
              <w:top w:val="single" w:sz="2" w:space="0" w:color="auto"/>
              <w:left w:val="single" w:sz="2" w:space="0" w:color="auto"/>
              <w:bottom w:val="single" w:sz="2" w:space="0" w:color="auto"/>
              <w:right w:val="single" w:sz="2" w:space="0" w:color="auto"/>
            </w:tcBorders>
            <w:vAlign w:val="center"/>
          </w:tcPr>
          <w:p w14:paraId="7172D123">
            <w:pPr>
              <w:spacing w:line="36" w:lineRule="auto"/>
              <w:jc w:val="center"/>
              <w:rPr>
                <w:rFonts w:ascii="宋体" w:hAnsi="宋体"/>
              </w:rPr>
            </w:pPr>
            <w:r>
              <w:rPr>
                <w:rFonts w:ascii="宋体" w:hAnsi="宋体" w:hint="eastAsia"/>
              </w:rPr>
              <w:t>企业资质等级</w:t>
            </w:r>
          </w:p>
        </w:tc>
        <w:tc>
          <w:tcPr>
            <w:tcW w:w="1739" w:type="dxa"/>
            <w:gridSpan w:val="2"/>
            <w:tcBorders>
              <w:top w:val="single" w:sz="2" w:space="0" w:color="auto"/>
              <w:left w:val="single" w:sz="2" w:space="0" w:color="auto"/>
              <w:bottom w:val="single" w:sz="2" w:space="0" w:color="auto"/>
              <w:right w:val="single" w:sz="2" w:space="0" w:color="auto"/>
            </w:tcBorders>
            <w:vAlign w:val="center"/>
          </w:tcPr>
          <w:p w14:paraId="209CD5E5">
            <w:pPr>
              <w:spacing w:line="36" w:lineRule="auto"/>
              <w:jc w:val="center"/>
              <w:rPr>
                <w:rFonts w:ascii="宋体" w:hAnsi="宋体"/>
              </w:rPr>
            </w:pPr>
          </w:p>
        </w:tc>
        <w:tc>
          <w:tcPr>
            <w:tcW w:w="1276" w:type="dxa"/>
            <w:vMerge w:val="restart"/>
            <w:tcBorders>
              <w:top w:val="single" w:sz="2" w:space="0" w:color="auto"/>
              <w:left w:val="single" w:sz="2" w:space="0" w:color="auto"/>
              <w:bottom w:val="single" w:sz="2" w:space="0" w:color="auto"/>
              <w:right w:val="single" w:sz="2" w:space="0" w:color="auto"/>
            </w:tcBorders>
            <w:vAlign w:val="center"/>
          </w:tcPr>
          <w:p w14:paraId="17B88284">
            <w:pPr>
              <w:spacing w:line="36" w:lineRule="auto"/>
              <w:jc w:val="center"/>
              <w:rPr>
                <w:rFonts w:ascii="宋体" w:hAnsi="宋体"/>
              </w:rPr>
            </w:pPr>
            <w:r>
              <w:rPr>
                <w:rFonts w:ascii="宋体" w:hAnsi="宋体" w:hint="eastAsia"/>
              </w:rPr>
              <w:t>其中</w:t>
            </w:r>
          </w:p>
        </w:tc>
        <w:tc>
          <w:tcPr>
            <w:tcW w:w="1418" w:type="dxa"/>
            <w:tcBorders>
              <w:top w:val="single" w:sz="2" w:space="0" w:color="auto"/>
              <w:left w:val="single" w:sz="2" w:space="0" w:color="auto"/>
              <w:bottom w:val="single" w:sz="2" w:space="0" w:color="auto"/>
              <w:right w:val="single" w:sz="2" w:space="0" w:color="auto"/>
            </w:tcBorders>
            <w:vAlign w:val="center"/>
          </w:tcPr>
          <w:p w14:paraId="6409CFED">
            <w:pPr>
              <w:spacing w:line="36" w:lineRule="auto"/>
              <w:jc w:val="center"/>
              <w:rPr>
                <w:rFonts w:ascii="宋体" w:hAnsi="宋体"/>
              </w:rPr>
            </w:pPr>
            <w:r>
              <w:rPr>
                <w:rFonts w:hint="eastAsia"/>
              </w:rPr>
              <w:t>注册建造师</w:t>
            </w:r>
          </w:p>
        </w:tc>
        <w:tc>
          <w:tcPr>
            <w:tcW w:w="1984" w:type="dxa"/>
            <w:gridSpan w:val="2"/>
            <w:tcBorders>
              <w:top w:val="single" w:sz="2" w:space="0" w:color="auto"/>
              <w:left w:val="single" w:sz="2" w:space="0" w:color="auto"/>
              <w:bottom w:val="single" w:sz="2" w:space="0" w:color="auto"/>
              <w:right w:val="single" w:sz="2" w:space="0" w:color="auto"/>
            </w:tcBorders>
            <w:vAlign w:val="center"/>
          </w:tcPr>
          <w:p w14:paraId="2068C6A1">
            <w:pPr>
              <w:spacing w:line="36" w:lineRule="auto"/>
              <w:jc w:val="center"/>
              <w:rPr>
                <w:rFonts w:ascii="宋体" w:hAnsi="宋体"/>
              </w:rPr>
            </w:pPr>
          </w:p>
        </w:tc>
      </w:tr>
      <w:tr w14:paraId="38E5607C">
        <w:tblPrEx>
          <w:tblW w:w="0" w:type="auto"/>
          <w:jc w:val="center"/>
          <w:tblLayout w:type="fixed"/>
          <w:tblCellMar>
            <w:top w:w="0" w:type="dxa"/>
            <w:left w:w="108" w:type="dxa"/>
            <w:bottom w:w="0" w:type="dxa"/>
            <w:right w:w="108" w:type="dxa"/>
          </w:tblCellMar>
        </w:tblPrEx>
        <w:trPr>
          <w:trHeight w:val="633"/>
          <w:jc w:val="center"/>
        </w:trPr>
        <w:tc>
          <w:tcPr>
            <w:tcW w:w="2230" w:type="dxa"/>
            <w:tcBorders>
              <w:top w:val="single" w:sz="2" w:space="0" w:color="auto"/>
              <w:left w:val="single" w:sz="2" w:space="0" w:color="auto"/>
              <w:bottom w:val="single" w:sz="2" w:space="0" w:color="auto"/>
              <w:right w:val="single" w:sz="2" w:space="0" w:color="auto"/>
            </w:tcBorders>
            <w:vAlign w:val="center"/>
          </w:tcPr>
          <w:p w14:paraId="797D48CD">
            <w:pPr>
              <w:spacing w:line="36" w:lineRule="auto"/>
              <w:jc w:val="center"/>
              <w:rPr>
                <w:rFonts w:ascii="宋体" w:hAnsi="宋体"/>
              </w:rPr>
            </w:pPr>
            <w:r>
              <w:rPr>
                <w:rFonts w:ascii="宋体" w:hAnsi="宋体" w:hint="eastAsia"/>
              </w:rPr>
              <w:t>营业执照号</w:t>
            </w:r>
          </w:p>
        </w:tc>
        <w:tc>
          <w:tcPr>
            <w:tcW w:w="1739" w:type="dxa"/>
            <w:gridSpan w:val="2"/>
            <w:tcBorders>
              <w:top w:val="single" w:sz="2" w:space="0" w:color="auto"/>
              <w:left w:val="single" w:sz="2" w:space="0" w:color="auto"/>
              <w:bottom w:val="single" w:sz="2" w:space="0" w:color="auto"/>
              <w:right w:val="single" w:sz="2" w:space="0" w:color="auto"/>
            </w:tcBorders>
            <w:vAlign w:val="center"/>
          </w:tcPr>
          <w:p w14:paraId="2B9B4C3C">
            <w:pPr>
              <w:spacing w:line="36" w:lineRule="auto"/>
              <w:jc w:val="center"/>
              <w:rPr>
                <w:rFonts w:ascii="宋体" w:hAnsi="宋体"/>
              </w:rPr>
            </w:pPr>
          </w:p>
        </w:tc>
        <w:tc>
          <w:tcPr>
            <w:tcW w:w="4678" w:type="dxa"/>
            <w:vMerge/>
            <w:tcBorders>
              <w:top w:val="single" w:sz="2" w:space="0" w:color="auto"/>
              <w:left w:val="single" w:sz="2" w:space="0" w:color="auto"/>
              <w:bottom w:val="single" w:sz="2" w:space="0" w:color="auto"/>
              <w:right w:val="single" w:sz="2" w:space="0" w:color="auto"/>
            </w:tcBorders>
            <w:vAlign w:val="center"/>
          </w:tcPr>
          <w:p w14:paraId="09196F4B">
            <w:pPr>
              <w:rPr>
                <w:rFonts w:ascii="宋体" w:eastAsia="宋体" w:hAnsi="宋体"/>
                <w:kern w:val="2"/>
              </w:rPr>
            </w:pPr>
          </w:p>
        </w:tc>
        <w:tc>
          <w:tcPr>
            <w:tcW w:w="1418" w:type="dxa"/>
            <w:tcBorders>
              <w:top w:val="single" w:sz="2" w:space="0" w:color="auto"/>
              <w:left w:val="single" w:sz="2" w:space="0" w:color="auto"/>
              <w:bottom w:val="single" w:sz="2" w:space="0" w:color="auto"/>
              <w:right w:val="single" w:sz="2" w:space="0" w:color="auto"/>
            </w:tcBorders>
            <w:vAlign w:val="center"/>
          </w:tcPr>
          <w:p w14:paraId="42BAB894">
            <w:pPr>
              <w:spacing w:line="36" w:lineRule="auto"/>
              <w:jc w:val="center"/>
              <w:rPr>
                <w:rFonts w:ascii="宋体" w:hAnsi="宋体"/>
                <w:lang w:eastAsia="zh-CN"/>
              </w:rPr>
            </w:pPr>
            <w:r>
              <w:rPr>
                <w:rFonts w:ascii="宋体" w:hAnsi="宋体" w:hint="eastAsia"/>
                <w:lang w:eastAsia="zh-CN"/>
              </w:rPr>
              <w:t>高级专业技术职称人员</w:t>
            </w:r>
          </w:p>
        </w:tc>
        <w:tc>
          <w:tcPr>
            <w:tcW w:w="1984" w:type="dxa"/>
            <w:gridSpan w:val="2"/>
            <w:tcBorders>
              <w:top w:val="single" w:sz="2" w:space="0" w:color="auto"/>
              <w:left w:val="single" w:sz="2" w:space="0" w:color="auto"/>
              <w:bottom w:val="single" w:sz="2" w:space="0" w:color="auto"/>
              <w:right w:val="single" w:sz="2" w:space="0" w:color="auto"/>
            </w:tcBorders>
            <w:vAlign w:val="center"/>
          </w:tcPr>
          <w:p w14:paraId="33B97F1E">
            <w:pPr>
              <w:spacing w:line="36" w:lineRule="auto"/>
              <w:jc w:val="center"/>
              <w:rPr>
                <w:rFonts w:ascii="宋体" w:hAnsi="宋体"/>
                <w:lang w:eastAsia="zh-CN"/>
              </w:rPr>
            </w:pPr>
          </w:p>
        </w:tc>
      </w:tr>
      <w:tr w14:paraId="7D387899">
        <w:tblPrEx>
          <w:tblW w:w="0" w:type="auto"/>
          <w:jc w:val="center"/>
          <w:tblLayout w:type="fixed"/>
          <w:tblCellMar>
            <w:top w:w="0" w:type="dxa"/>
            <w:left w:w="108" w:type="dxa"/>
            <w:bottom w:w="0" w:type="dxa"/>
            <w:right w:w="108" w:type="dxa"/>
          </w:tblCellMar>
        </w:tblPrEx>
        <w:trPr>
          <w:trHeight w:val="618"/>
          <w:jc w:val="center"/>
        </w:trPr>
        <w:tc>
          <w:tcPr>
            <w:tcW w:w="2230" w:type="dxa"/>
            <w:tcBorders>
              <w:top w:val="single" w:sz="2" w:space="0" w:color="auto"/>
              <w:left w:val="single" w:sz="2" w:space="0" w:color="auto"/>
              <w:bottom w:val="single" w:sz="2" w:space="0" w:color="auto"/>
              <w:right w:val="single" w:sz="2" w:space="0" w:color="auto"/>
            </w:tcBorders>
            <w:vAlign w:val="center"/>
          </w:tcPr>
          <w:p w14:paraId="62489420">
            <w:pPr>
              <w:spacing w:line="36" w:lineRule="auto"/>
              <w:jc w:val="center"/>
              <w:rPr>
                <w:rFonts w:ascii="宋体" w:hAnsi="宋体"/>
              </w:rPr>
            </w:pPr>
            <w:r>
              <w:rPr>
                <w:rFonts w:ascii="宋体" w:hAnsi="宋体" w:hint="eastAsia"/>
              </w:rPr>
              <w:t>注册资金</w:t>
            </w:r>
          </w:p>
        </w:tc>
        <w:tc>
          <w:tcPr>
            <w:tcW w:w="1739" w:type="dxa"/>
            <w:gridSpan w:val="2"/>
            <w:tcBorders>
              <w:top w:val="single" w:sz="2" w:space="0" w:color="auto"/>
              <w:left w:val="single" w:sz="2" w:space="0" w:color="auto"/>
              <w:bottom w:val="single" w:sz="2" w:space="0" w:color="auto"/>
              <w:right w:val="single" w:sz="2" w:space="0" w:color="auto"/>
            </w:tcBorders>
            <w:vAlign w:val="center"/>
          </w:tcPr>
          <w:p w14:paraId="2B7DD7EF">
            <w:pPr>
              <w:spacing w:line="36" w:lineRule="auto"/>
              <w:jc w:val="center"/>
              <w:rPr>
                <w:rFonts w:ascii="宋体" w:hAnsi="宋体"/>
              </w:rPr>
            </w:pPr>
          </w:p>
        </w:tc>
        <w:tc>
          <w:tcPr>
            <w:tcW w:w="4678" w:type="dxa"/>
            <w:vMerge/>
            <w:tcBorders>
              <w:top w:val="single" w:sz="2" w:space="0" w:color="auto"/>
              <w:left w:val="single" w:sz="2" w:space="0" w:color="auto"/>
              <w:bottom w:val="single" w:sz="2" w:space="0" w:color="auto"/>
              <w:right w:val="single" w:sz="2" w:space="0" w:color="auto"/>
            </w:tcBorders>
            <w:vAlign w:val="center"/>
          </w:tcPr>
          <w:p w14:paraId="46A5E848">
            <w:pPr>
              <w:rPr>
                <w:rFonts w:ascii="宋体" w:eastAsia="宋体" w:hAnsi="宋体"/>
                <w:kern w:val="2"/>
              </w:rPr>
            </w:pPr>
          </w:p>
        </w:tc>
        <w:tc>
          <w:tcPr>
            <w:tcW w:w="1418" w:type="dxa"/>
            <w:tcBorders>
              <w:top w:val="single" w:sz="2" w:space="0" w:color="auto"/>
              <w:left w:val="single" w:sz="2" w:space="0" w:color="auto"/>
              <w:bottom w:val="single" w:sz="2" w:space="0" w:color="auto"/>
              <w:right w:val="single" w:sz="2" w:space="0" w:color="auto"/>
            </w:tcBorders>
            <w:vAlign w:val="center"/>
          </w:tcPr>
          <w:p w14:paraId="00948565">
            <w:pPr>
              <w:spacing w:line="36" w:lineRule="auto"/>
              <w:jc w:val="center"/>
              <w:rPr>
                <w:rFonts w:ascii="宋体" w:hAnsi="宋体"/>
                <w:lang w:eastAsia="zh-CN"/>
              </w:rPr>
            </w:pPr>
            <w:r>
              <w:rPr>
                <w:rFonts w:ascii="宋体" w:hAnsi="宋体" w:hint="eastAsia"/>
                <w:lang w:eastAsia="zh-CN"/>
              </w:rPr>
              <w:t>中级专业技术职称人员</w:t>
            </w:r>
          </w:p>
        </w:tc>
        <w:tc>
          <w:tcPr>
            <w:tcW w:w="1984" w:type="dxa"/>
            <w:gridSpan w:val="2"/>
            <w:tcBorders>
              <w:top w:val="single" w:sz="2" w:space="0" w:color="auto"/>
              <w:left w:val="single" w:sz="2" w:space="0" w:color="auto"/>
              <w:bottom w:val="single" w:sz="2" w:space="0" w:color="auto"/>
              <w:right w:val="single" w:sz="2" w:space="0" w:color="auto"/>
            </w:tcBorders>
            <w:vAlign w:val="center"/>
          </w:tcPr>
          <w:p w14:paraId="7F012CF2">
            <w:pPr>
              <w:spacing w:line="36" w:lineRule="auto"/>
              <w:jc w:val="center"/>
              <w:rPr>
                <w:rFonts w:ascii="宋体" w:hAnsi="宋体"/>
                <w:lang w:eastAsia="zh-CN"/>
              </w:rPr>
            </w:pPr>
          </w:p>
        </w:tc>
      </w:tr>
      <w:tr w14:paraId="34B80A78">
        <w:tblPrEx>
          <w:tblW w:w="0" w:type="auto"/>
          <w:jc w:val="center"/>
          <w:tblLayout w:type="fixed"/>
          <w:tblCellMar>
            <w:top w:w="0" w:type="dxa"/>
            <w:left w:w="108" w:type="dxa"/>
            <w:bottom w:w="0" w:type="dxa"/>
            <w:right w:w="108" w:type="dxa"/>
          </w:tblCellMar>
        </w:tblPrEx>
        <w:trPr>
          <w:trHeight w:val="633"/>
          <w:jc w:val="center"/>
        </w:trPr>
        <w:tc>
          <w:tcPr>
            <w:tcW w:w="2230" w:type="dxa"/>
            <w:tcBorders>
              <w:top w:val="single" w:sz="2" w:space="0" w:color="auto"/>
              <w:left w:val="single" w:sz="2" w:space="0" w:color="auto"/>
              <w:bottom w:val="single" w:sz="2" w:space="0" w:color="auto"/>
              <w:right w:val="single" w:sz="2" w:space="0" w:color="auto"/>
            </w:tcBorders>
            <w:vAlign w:val="center"/>
          </w:tcPr>
          <w:p w14:paraId="1ADE4400">
            <w:pPr>
              <w:spacing w:line="36" w:lineRule="auto"/>
              <w:jc w:val="center"/>
              <w:rPr>
                <w:rFonts w:ascii="宋体" w:hAnsi="宋体"/>
              </w:rPr>
            </w:pPr>
            <w:r>
              <w:rPr>
                <w:rFonts w:ascii="宋体" w:hAnsi="宋体" w:hint="eastAsia"/>
              </w:rPr>
              <w:t>开户银行</w:t>
            </w:r>
          </w:p>
        </w:tc>
        <w:tc>
          <w:tcPr>
            <w:tcW w:w="1739" w:type="dxa"/>
            <w:gridSpan w:val="2"/>
            <w:tcBorders>
              <w:top w:val="single" w:sz="2" w:space="0" w:color="auto"/>
              <w:left w:val="single" w:sz="2" w:space="0" w:color="auto"/>
              <w:bottom w:val="single" w:sz="2" w:space="0" w:color="auto"/>
              <w:right w:val="single" w:sz="2" w:space="0" w:color="auto"/>
            </w:tcBorders>
            <w:vAlign w:val="center"/>
          </w:tcPr>
          <w:p w14:paraId="1EC00895">
            <w:pPr>
              <w:spacing w:line="36" w:lineRule="auto"/>
              <w:jc w:val="center"/>
              <w:rPr>
                <w:rFonts w:ascii="宋体" w:hAnsi="宋体"/>
              </w:rPr>
            </w:pPr>
          </w:p>
        </w:tc>
        <w:tc>
          <w:tcPr>
            <w:tcW w:w="4678" w:type="dxa"/>
            <w:vMerge/>
            <w:tcBorders>
              <w:top w:val="single" w:sz="2" w:space="0" w:color="auto"/>
              <w:left w:val="single" w:sz="2" w:space="0" w:color="auto"/>
              <w:bottom w:val="single" w:sz="2" w:space="0" w:color="auto"/>
              <w:right w:val="single" w:sz="2" w:space="0" w:color="auto"/>
            </w:tcBorders>
            <w:vAlign w:val="center"/>
          </w:tcPr>
          <w:p w14:paraId="201A43E8">
            <w:pPr>
              <w:rPr>
                <w:rFonts w:ascii="宋体" w:eastAsia="宋体" w:hAnsi="宋体"/>
                <w:kern w:val="2"/>
              </w:rPr>
            </w:pPr>
          </w:p>
        </w:tc>
        <w:tc>
          <w:tcPr>
            <w:tcW w:w="1418" w:type="dxa"/>
            <w:tcBorders>
              <w:top w:val="single" w:sz="2" w:space="0" w:color="auto"/>
              <w:left w:val="single" w:sz="2" w:space="0" w:color="auto"/>
              <w:bottom w:val="single" w:sz="2" w:space="0" w:color="auto"/>
              <w:right w:val="single" w:sz="2" w:space="0" w:color="auto"/>
            </w:tcBorders>
            <w:vAlign w:val="center"/>
          </w:tcPr>
          <w:p w14:paraId="7A6C9BAA">
            <w:pPr>
              <w:spacing w:line="36" w:lineRule="auto"/>
              <w:jc w:val="center"/>
              <w:rPr>
                <w:rFonts w:ascii="宋体" w:hAnsi="宋体"/>
                <w:lang w:eastAsia="zh-CN"/>
              </w:rPr>
            </w:pPr>
            <w:r>
              <w:rPr>
                <w:rFonts w:ascii="宋体" w:hAnsi="宋体" w:hint="eastAsia"/>
                <w:lang w:eastAsia="zh-CN"/>
              </w:rPr>
              <w:t>初级专业技术职称人员</w:t>
            </w:r>
          </w:p>
        </w:tc>
        <w:tc>
          <w:tcPr>
            <w:tcW w:w="1984" w:type="dxa"/>
            <w:gridSpan w:val="2"/>
            <w:tcBorders>
              <w:top w:val="single" w:sz="2" w:space="0" w:color="auto"/>
              <w:left w:val="single" w:sz="2" w:space="0" w:color="auto"/>
              <w:bottom w:val="single" w:sz="2" w:space="0" w:color="auto"/>
              <w:right w:val="single" w:sz="2" w:space="0" w:color="auto"/>
            </w:tcBorders>
            <w:vAlign w:val="center"/>
          </w:tcPr>
          <w:p w14:paraId="7B42BEF4">
            <w:pPr>
              <w:spacing w:line="36" w:lineRule="auto"/>
              <w:jc w:val="center"/>
              <w:rPr>
                <w:rFonts w:ascii="宋体" w:hAnsi="宋体"/>
                <w:lang w:eastAsia="zh-CN"/>
              </w:rPr>
            </w:pPr>
          </w:p>
        </w:tc>
      </w:tr>
      <w:tr w14:paraId="1C943C6A">
        <w:tblPrEx>
          <w:tblW w:w="0" w:type="auto"/>
          <w:jc w:val="center"/>
          <w:tblLayout w:type="fixed"/>
          <w:tblCellMar>
            <w:top w:w="0" w:type="dxa"/>
            <w:left w:w="108" w:type="dxa"/>
            <w:bottom w:w="0" w:type="dxa"/>
            <w:right w:w="108" w:type="dxa"/>
          </w:tblCellMar>
        </w:tblPrEx>
        <w:trPr>
          <w:trHeight w:val="676"/>
          <w:jc w:val="center"/>
        </w:trPr>
        <w:tc>
          <w:tcPr>
            <w:tcW w:w="2230" w:type="dxa"/>
            <w:tcBorders>
              <w:top w:val="single" w:sz="2" w:space="0" w:color="auto"/>
              <w:left w:val="single" w:sz="2" w:space="0" w:color="auto"/>
              <w:bottom w:val="single" w:sz="2" w:space="0" w:color="auto"/>
              <w:right w:val="single" w:sz="2" w:space="0" w:color="auto"/>
            </w:tcBorders>
            <w:vAlign w:val="center"/>
          </w:tcPr>
          <w:p w14:paraId="0ACDBCF7">
            <w:pPr>
              <w:spacing w:line="36" w:lineRule="auto"/>
              <w:jc w:val="center"/>
              <w:rPr>
                <w:rFonts w:ascii="宋体" w:hAnsi="宋体"/>
              </w:rPr>
            </w:pPr>
            <w:r>
              <w:rPr>
                <w:rFonts w:ascii="宋体" w:hAnsi="宋体" w:hint="eastAsia"/>
              </w:rPr>
              <w:t>账号</w:t>
            </w:r>
          </w:p>
        </w:tc>
        <w:tc>
          <w:tcPr>
            <w:tcW w:w="1739" w:type="dxa"/>
            <w:gridSpan w:val="2"/>
            <w:tcBorders>
              <w:top w:val="single" w:sz="2" w:space="0" w:color="auto"/>
              <w:left w:val="single" w:sz="2" w:space="0" w:color="auto"/>
              <w:bottom w:val="single" w:sz="2" w:space="0" w:color="auto"/>
              <w:right w:val="single" w:sz="2" w:space="0" w:color="auto"/>
            </w:tcBorders>
            <w:vAlign w:val="center"/>
          </w:tcPr>
          <w:p w14:paraId="3B264934">
            <w:pPr>
              <w:spacing w:line="36" w:lineRule="auto"/>
              <w:jc w:val="center"/>
              <w:rPr>
                <w:rFonts w:ascii="宋体" w:hAnsi="宋体"/>
              </w:rPr>
            </w:pPr>
          </w:p>
        </w:tc>
        <w:tc>
          <w:tcPr>
            <w:tcW w:w="4678" w:type="dxa"/>
            <w:vMerge/>
            <w:tcBorders>
              <w:top w:val="single" w:sz="2" w:space="0" w:color="auto"/>
              <w:left w:val="single" w:sz="2" w:space="0" w:color="auto"/>
              <w:bottom w:val="single" w:sz="2" w:space="0" w:color="auto"/>
              <w:right w:val="single" w:sz="2" w:space="0" w:color="auto"/>
            </w:tcBorders>
            <w:vAlign w:val="center"/>
          </w:tcPr>
          <w:p w14:paraId="02602067">
            <w:pPr>
              <w:rPr>
                <w:rFonts w:ascii="宋体" w:eastAsia="宋体" w:hAnsi="宋体"/>
                <w:kern w:val="2"/>
              </w:rPr>
            </w:pPr>
          </w:p>
        </w:tc>
        <w:tc>
          <w:tcPr>
            <w:tcW w:w="1418" w:type="dxa"/>
            <w:tcBorders>
              <w:top w:val="single" w:sz="2" w:space="0" w:color="auto"/>
              <w:left w:val="single" w:sz="2" w:space="0" w:color="auto"/>
              <w:bottom w:val="single" w:sz="2" w:space="0" w:color="auto"/>
              <w:right w:val="single" w:sz="2" w:space="0" w:color="auto"/>
            </w:tcBorders>
            <w:vAlign w:val="center"/>
          </w:tcPr>
          <w:p w14:paraId="5558FF08">
            <w:pPr>
              <w:spacing w:line="36" w:lineRule="auto"/>
              <w:jc w:val="center"/>
              <w:rPr>
                <w:rFonts w:ascii="宋体" w:hAnsi="宋体"/>
              </w:rPr>
            </w:pPr>
            <w:r>
              <w:rPr>
                <w:rFonts w:ascii="宋体" w:hAnsi="宋体" w:hint="eastAsia"/>
              </w:rPr>
              <w:t>技工</w:t>
            </w:r>
          </w:p>
        </w:tc>
        <w:tc>
          <w:tcPr>
            <w:tcW w:w="1984" w:type="dxa"/>
            <w:gridSpan w:val="2"/>
            <w:tcBorders>
              <w:top w:val="single" w:sz="2" w:space="0" w:color="auto"/>
              <w:left w:val="single" w:sz="2" w:space="0" w:color="auto"/>
              <w:bottom w:val="single" w:sz="2" w:space="0" w:color="auto"/>
              <w:right w:val="single" w:sz="2" w:space="0" w:color="auto"/>
            </w:tcBorders>
            <w:vAlign w:val="center"/>
          </w:tcPr>
          <w:p w14:paraId="42B48D7D">
            <w:pPr>
              <w:spacing w:line="36" w:lineRule="auto"/>
              <w:jc w:val="center"/>
              <w:rPr>
                <w:rFonts w:ascii="宋体" w:hAnsi="宋体"/>
              </w:rPr>
            </w:pPr>
          </w:p>
        </w:tc>
      </w:tr>
      <w:tr w14:paraId="22B1A397">
        <w:tblPrEx>
          <w:tblW w:w="0" w:type="auto"/>
          <w:jc w:val="center"/>
          <w:tblLayout w:type="fixed"/>
          <w:tblCellMar>
            <w:top w:w="0" w:type="dxa"/>
            <w:left w:w="108" w:type="dxa"/>
            <w:bottom w:w="0" w:type="dxa"/>
            <w:right w:w="108" w:type="dxa"/>
          </w:tblCellMar>
        </w:tblPrEx>
        <w:trPr>
          <w:trHeight w:val="640"/>
          <w:jc w:val="center"/>
        </w:trPr>
        <w:tc>
          <w:tcPr>
            <w:tcW w:w="2230" w:type="dxa"/>
            <w:tcBorders>
              <w:top w:val="single" w:sz="2" w:space="0" w:color="auto"/>
              <w:left w:val="single" w:sz="2" w:space="0" w:color="auto"/>
              <w:bottom w:val="single" w:sz="2" w:space="0" w:color="auto"/>
              <w:right w:val="single" w:sz="2" w:space="0" w:color="auto"/>
            </w:tcBorders>
            <w:vAlign w:val="center"/>
          </w:tcPr>
          <w:p w14:paraId="7ED294F9">
            <w:pPr>
              <w:spacing w:line="36" w:lineRule="auto"/>
              <w:jc w:val="center"/>
              <w:rPr>
                <w:rFonts w:ascii="宋体" w:hAnsi="宋体"/>
              </w:rPr>
            </w:pPr>
            <w:r>
              <w:rPr>
                <w:rFonts w:ascii="宋体" w:hAnsi="宋体" w:hint="eastAsia"/>
              </w:rPr>
              <w:t>经营范围</w:t>
            </w:r>
          </w:p>
        </w:tc>
        <w:tc>
          <w:tcPr>
            <w:tcW w:w="6417" w:type="dxa"/>
            <w:gridSpan w:val="6"/>
            <w:tcBorders>
              <w:top w:val="single" w:sz="2" w:space="0" w:color="auto"/>
              <w:left w:val="single" w:sz="2" w:space="0" w:color="auto"/>
              <w:bottom w:val="single" w:sz="2" w:space="0" w:color="auto"/>
              <w:right w:val="single" w:sz="2" w:space="0" w:color="auto"/>
            </w:tcBorders>
            <w:vAlign w:val="center"/>
          </w:tcPr>
          <w:p w14:paraId="0E13CA94">
            <w:pPr>
              <w:spacing w:line="36" w:lineRule="auto"/>
              <w:jc w:val="center"/>
              <w:rPr>
                <w:rFonts w:ascii="宋体" w:hAnsi="宋体"/>
              </w:rPr>
            </w:pPr>
          </w:p>
        </w:tc>
      </w:tr>
      <w:tr w14:paraId="0CE2D16D">
        <w:tblPrEx>
          <w:tblW w:w="0" w:type="auto"/>
          <w:jc w:val="center"/>
          <w:tblLayout w:type="fixed"/>
          <w:tblCellMar>
            <w:top w:w="0" w:type="dxa"/>
            <w:left w:w="108" w:type="dxa"/>
            <w:bottom w:w="0" w:type="dxa"/>
            <w:right w:w="108" w:type="dxa"/>
          </w:tblCellMar>
        </w:tblPrEx>
        <w:trPr>
          <w:trHeight w:val="640"/>
          <w:jc w:val="center"/>
        </w:trPr>
        <w:tc>
          <w:tcPr>
            <w:tcW w:w="2230" w:type="dxa"/>
            <w:tcBorders>
              <w:top w:val="single" w:sz="2" w:space="0" w:color="auto"/>
              <w:left w:val="single" w:sz="2" w:space="0" w:color="auto"/>
              <w:bottom w:val="single" w:sz="2" w:space="0" w:color="auto"/>
              <w:right w:val="single" w:sz="2" w:space="0" w:color="auto"/>
            </w:tcBorders>
            <w:vAlign w:val="center"/>
          </w:tcPr>
          <w:p w14:paraId="7A0992C8">
            <w:pPr>
              <w:spacing w:line="36" w:lineRule="auto"/>
              <w:jc w:val="center"/>
              <w:rPr>
                <w:rFonts w:ascii="宋体" w:hAnsi="宋体"/>
                <w:lang w:eastAsia="zh-CN"/>
              </w:rPr>
            </w:pPr>
            <w:r>
              <w:rPr>
                <w:rFonts w:ascii="宋体" w:hAnsi="宋体" w:cs="宋体" w:hint="eastAsia"/>
                <w:lang w:eastAsia="zh-CN"/>
              </w:rPr>
              <w:t>与投标人的单位负责人为同一人的单位</w:t>
            </w:r>
          </w:p>
        </w:tc>
        <w:tc>
          <w:tcPr>
            <w:tcW w:w="6417" w:type="dxa"/>
            <w:gridSpan w:val="6"/>
            <w:tcBorders>
              <w:top w:val="single" w:sz="2" w:space="0" w:color="auto"/>
              <w:left w:val="single" w:sz="2" w:space="0" w:color="auto"/>
              <w:bottom w:val="single" w:sz="2" w:space="0" w:color="auto"/>
              <w:right w:val="single" w:sz="2" w:space="0" w:color="auto"/>
            </w:tcBorders>
            <w:vAlign w:val="center"/>
          </w:tcPr>
          <w:p w14:paraId="0F2A6C9D">
            <w:pPr>
              <w:spacing w:line="36" w:lineRule="auto"/>
              <w:jc w:val="center"/>
              <w:rPr>
                <w:rFonts w:ascii="宋体" w:hAnsi="宋体"/>
                <w:lang w:eastAsia="zh-CN"/>
              </w:rPr>
            </w:pPr>
          </w:p>
        </w:tc>
      </w:tr>
      <w:tr w14:paraId="0A2E08D9">
        <w:tblPrEx>
          <w:tblW w:w="0" w:type="auto"/>
          <w:jc w:val="center"/>
          <w:tblLayout w:type="fixed"/>
          <w:tblCellMar>
            <w:top w:w="0" w:type="dxa"/>
            <w:left w:w="108" w:type="dxa"/>
            <w:bottom w:w="0" w:type="dxa"/>
            <w:right w:w="108" w:type="dxa"/>
          </w:tblCellMar>
        </w:tblPrEx>
        <w:trPr>
          <w:trHeight w:val="640"/>
          <w:jc w:val="center"/>
        </w:trPr>
        <w:tc>
          <w:tcPr>
            <w:tcW w:w="2230" w:type="dxa"/>
            <w:tcBorders>
              <w:top w:val="single" w:sz="2" w:space="0" w:color="auto"/>
              <w:left w:val="single" w:sz="2" w:space="0" w:color="auto"/>
              <w:bottom w:val="single" w:sz="2" w:space="0" w:color="auto"/>
              <w:right w:val="single" w:sz="2" w:space="0" w:color="auto"/>
            </w:tcBorders>
            <w:vAlign w:val="center"/>
          </w:tcPr>
          <w:p w14:paraId="52928F6D">
            <w:pPr>
              <w:spacing w:line="36" w:lineRule="auto"/>
              <w:jc w:val="center"/>
              <w:rPr>
                <w:rFonts w:ascii="Calibri" w:hAnsi="Calibri"/>
                <w:lang w:eastAsia="zh-CN"/>
              </w:rPr>
            </w:pPr>
            <w:r>
              <w:rPr>
                <w:rFonts w:hint="eastAsia"/>
                <w:lang w:eastAsia="zh-CN"/>
              </w:rPr>
              <w:t>与投标人存在控股关系的单位</w:t>
            </w:r>
          </w:p>
        </w:tc>
        <w:tc>
          <w:tcPr>
            <w:tcW w:w="6417" w:type="dxa"/>
            <w:gridSpan w:val="6"/>
            <w:tcBorders>
              <w:top w:val="single" w:sz="2" w:space="0" w:color="auto"/>
              <w:left w:val="single" w:sz="2" w:space="0" w:color="auto"/>
              <w:bottom w:val="single" w:sz="2" w:space="0" w:color="auto"/>
              <w:right w:val="single" w:sz="2" w:space="0" w:color="auto"/>
            </w:tcBorders>
            <w:vAlign w:val="center"/>
          </w:tcPr>
          <w:p w14:paraId="3465D1C4">
            <w:pPr>
              <w:spacing w:line="36" w:lineRule="auto"/>
              <w:jc w:val="center"/>
              <w:rPr>
                <w:rFonts w:ascii="宋体" w:hAnsi="宋体"/>
                <w:lang w:eastAsia="zh-CN"/>
              </w:rPr>
            </w:pPr>
          </w:p>
        </w:tc>
      </w:tr>
      <w:tr w14:paraId="1F3D63C6">
        <w:tblPrEx>
          <w:tblW w:w="0" w:type="auto"/>
          <w:jc w:val="center"/>
          <w:tblLayout w:type="fixed"/>
          <w:tblCellMar>
            <w:top w:w="0" w:type="dxa"/>
            <w:left w:w="108" w:type="dxa"/>
            <w:bottom w:w="0" w:type="dxa"/>
            <w:right w:w="108" w:type="dxa"/>
          </w:tblCellMar>
        </w:tblPrEx>
        <w:trPr>
          <w:trHeight w:val="640"/>
          <w:jc w:val="center"/>
        </w:trPr>
        <w:tc>
          <w:tcPr>
            <w:tcW w:w="2230" w:type="dxa"/>
            <w:tcBorders>
              <w:top w:val="single" w:sz="2" w:space="0" w:color="auto"/>
              <w:left w:val="single" w:sz="2" w:space="0" w:color="auto"/>
              <w:bottom w:val="single" w:sz="2" w:space="0" w:color="auto"/>
              <w:right w:val="single" w:sz="2" w:space="0" w:color="auto"/>
            </w:tcBorders>
            <w:vAlign w:val="center"/>
          </w:tcPr>
          <w:p w14:paraId="72AFB87E">
            <w:pPr>
              <w:spacing w:line="36" w:lineRule="auto"/>
              <w:jc w:val="center"/>
              <w:rPr>
                <w:rFonts w:ascii="Calibri" w:hAnsi="Calibri"/>
                <w:lang w:eastAsia="zh-CN"/>
              </w:rPr>
            </w:pPr>
            <w:r>
              <w:rPr>
                <w:rFonts w:hint="eastAsia"/>
                <w:lang w:eastAsia="zh-CN"/>
              </w:rPr>
              <w:t>与投标人存在管理关系的单位</w:t>
            </w:r>
          </w:p>
        </w:tc>
        <w:tc>
          <w:tcPr>
            <w:tcW w:w="6417" w:type="dxa"/>
            <w:gridSpan w:val="6"/>
            <w:tcBorders>
              <w:top w:val="single" w:sz="2" w:space="0" w:color="auto"/>
              <w:left w:val="single" w:sz="2" w:space="0" w:color="auto"/>
              <w:bottom w:val="single" w:sz="2" w:space="0" w:color="auto"/>
              <w:right w:val="single" w:sz="2" w:space="0" w:color="auto"/>
            </w:tcBorders>
            <w:vAlign w:val="center"/>
          </w:tcPr>
          <w:p w14:paraId="2F006041">
            <w:pPr>
              <w:spacing w:line="36" w:lineRule="auto"/>
              <w:jc w:val="center"/>
              <w:rPr>
                <w:rFonts w:ascii="宋体" w:hAnsi="宋体"/>
                <w:lang w:eastAsia="zh-CN"/>
              </w:rPr>
            </w:pPr>
          </w:p>
        </w:tc>
      </w:tr>
      <w:tr w14:paraId="4F682226">
        <w:tblPrEx>
          <w:tblW w:w="0" w:type="auto"/>
          <w:jc w:val="center"/>
          <w:tblLayout w:type="fixed"/>
          <w:tblCellMar>
            <w:top w:w="0" w:type="dxa"/>
            <w:left w:w="108" w:type="dxa"/>
            <w:bottom w:w="0" w:type="dxa"/>
            <w:right w:w="108" w:type="dxa"/>
          </w:tblCellMar>
        </w:tblPrEx>
        <w:trPr>
          <w:trHeight w:val="633"/>
          <w:jc w:val="center"/>
        </w:trPr>
        <w:tc>
          <w:tcPr>
            <w:tcW w:w="2230" w:type="dxa"/>
            <w:tcBorders>
              <w:top w:val="single" w:sz="2" w:space="0" w:color="auto"/>
              <w:left w:val="single" w:sz="2" w:space="0" w:color="auto"/>
              <w:bottom w:val="single" w:sz="2" w:space="0" w:color="auto"/>
              <w:right w:val="single" w:sz="2" w:space="0" w:color="auto"/>
            </w:tcBorders>
            <w:vAlign w:val="center"/>
          </w:tcPr>
          <w:p w14:paraId="372C2ED4">
            <w:pPr>
              <w:spacing w:line="36" w:lineRule="auto"/>
              <w:jc w:val="center"/>
              <w:rPr>
                <w:rFonts w:ascii="宋体" w:hAnsi="宋体"/>
              </w:rPr>
            </w:pPr>
            <w:r>
              <w:rPr>
                <w:rFonts w:ascii="宋体" w:hAnsi="宋体" w:hint="eastAsia"/>
              </w:rPr>
              <w:t>备注</w:t>
            </w:r>
          </w:p>
        </w:tc>
        <w:tc>
          <w:tcPr>
            <w:tcW w:w="6417" w:type="dxa"/>
            <w:gridSpan w:val="6"/>
            <w:tcBorders>
              <w:top w:val="single" w:sz="2" w:space="0" w:color="auto"/>
              <w:left w:val="single" w:sz="2" w:space="0" w:color="auto"/>
              <w:bottom w:val="single" w:sz="2" w:space="0" w:color="auto"/>
              <w:right w:val="single" w:sz="2" w:space="0" w:color="auto"/>
            </w:tcBorders>
            <w:vAlign w:val="center"/>
          </w:tcPr>
          <w:p w14:paraId="4BC8F4FE">
            <w:pPr>
              <w:spacing w:line="36" w:lineRule="auto"/>
              <w:jc w:val="center"/>
              <w:rPr>
                <w:rFonts w:ascii="宋体" w:hAnsi="宋体"/>
              </w:rPr>
            </w:pPr>
          </w:p>
        </w:tc>
      </w:tr>
    </w:tbl>
    <w:p w14:paraId="3F04B4DB">
      <w:pPr>
        <w:topLinePunct/>
        <w:spacing w:line="360" w:lineRule="auto"/>
        <w:rPr>
          <w:rFonts w:ascii="宋体" w:hAnsi="宋体" w:cs="宋体"/>
          <w:lang w:eastAsia="zh-CN"/>
        </w:rPr>
      </w:pPr>
      <w:r>
        <w:rPr>
          <w:rFonts w:ascii="宋体" w:hAnsi="宋体" w:cs="宋体" w:hint="eastAsia"/>
          <w:lang w:eastAsia="zh-CN"/>
        </w:rPr>
        <w:t>注：投标人应根据投标人须知第 3.5.1 项的要求在本表后附相关证明材料扫描件。</w:t>
      </w:r>
    </w:p>
    <w:p w14:paraId="64A33000">
      <w:pPr>
        <w:topLinePunct/>
        <w:spacing w:line="360" w:lineRule="auto"/>
        <w:ind w:firstLine="240" w:firstLineChars="100"/>
        <w:rPr>
          <w:rFonts w:ascii="宋体" w:hAnsi="宋体" w:cs="Arial"/>
          <w:lang w:eastAsia="zh-CN"/>
        </w:rPr>
      </w:pPr>
      <w:r>
        <w:rPr>
          <w:rFonts w:ascii="宋体" w:hAnsi="宋体" w:cs="Arial" w:hint="eastAsia"/>
          <w:lang w:eastAsia="zh-CN"/>
        </w:rPr>
        <w:t>非联合体投标时无需填写。</w:t>
      </w:r>
    </w:p>
    <w:p w14:paraId="0AE6F06F">
      <w:pPr>
        <w:rPr>
          <w:rFonts w:ascii="宋体" w:hAnsi="宋体" w:cs="宋体"/>
          <w:lang w:eastAsia="zh-CN"/>
        </w:rPr>
      </w:pPr>
    </w:p>
    <w:p w14:paraId="45A04E52">
      <w:pPr>
        <w:spacing w:beforeAutospacing="1" w:afterAutospacing="1" w:line="360" w:lineRule="auto"/>
        <w:rPr>
          <w:rFonts w:ascii="宋体" w:hAnsi="宋体" w:cs="宋体"/>
          <w:lang w:eastAsia="zh-CN"/>
        </w:rPr>
        <w:sectPr>
          <w:type w:val="continuous"/>
          <w:pgSz w:w="11906" w:h="16838"/>
          <w:pgMar w:top="1417" w:right="1417" w:bottom="1417" w:left="1417" w:header="851" w:footer="850" w:gutter="0"/>
          <w:cols w:num="1" w:space="720"/>
          <w:docGrid w:type="lines" w:linePitch="312" w:charSpace="0"/>
        </w:sectPr>
      </w:pPr>
    </w:p>
    <w:p w14:paraId="393FDF01">
      <w:pPr>
        <w:pStyle w:val="Heading3"/>
        <w:spacing w:line="36" w:lineRule="auto"/>
        <w:jc w:val="center"/>
        <w:rPr>
          <w:rFonts w:ascii="宋体" w:hAnsi="宋体"/>
          <w:sz w:val="27"/>
        </w:rPr>
      </w:pPr>
      <w:bookmarkStart w:id="1543" w:name="_Toc256000111"/>
      <w:r>
        <w:rPr>
          <w:rFonts w:ascii="宋体" w:hAnsi="宋体" w:hint="eastAsia"/>
          <w:sz w:val="27"/>
        </w:rPr>
        <w:t>（二）近年财务状况表</w:t>
      </w:r>
      <w:bookmarkEnd w:id="1543"/>
    </w:p>
    <w:p w14:paraId="7AA1B4A9">
      <w:pPr>
        <w:spacing w:line="36" w:lineRule="auto"/>
        <w:rPr>
          <w:rFonts w:ascii="宋体" w:hAnsi="宋体"/>
          <w:sz w:val="27"/>
          <w:lang w:eastAsia="zh-CN"/>
        </w:rPr>
      </w:pPr>
    </w:p>
    <w:p w14:paraId="7C94568B">
      <w:pPr>
        <w:spacing w:line="36" w:lineRule="auto"/>
        <w:rPr>
          <w:rFonts w:ascii="宋体" w:hAnsi="宋体"/>
          <w:sz w:val="25"/>
          <w:lang w:eastAsia="zh-CN"/>
        </w:rPr>
      </w:pPr>
    </w:p>
    <w:p w14:paraId="319165EB">
      <w:pPr>
        <w:rPr>
          <w:rFonts w:ascii="宋体" w:hAnsi="宋体"/>
          <w:sz w:val="18"/>
          <w:lang w:eastAsia="zh-CN"/>
        </w:rPr>
      </w:pPr>
    </w:p>
    <w:p w14:paraId="75C03CB0">
      <w:pPr>
        <w:rPr>
          <w:rFonts w:ascii="宋体" w:hAnsi="宋体"/>
          <w:sz w:val="18"/>
          <w:lang w:eastAsia="zh-CN"/>
        </w:rPr>
      </w:pPr>
    </w:p>
    <w:p w14:paraId="4DC3680A">
      <w:pPr>
        <w:rPr>
          <w:rFonts w:ascii="宋体" w:hAnsi="宋体"/>
          <w:sz w:val="18"/>
          <w:lang w:eastAsia="zh-CN"/>
        </w:rPr>
      </w:pPr>
    </w:p>
    <w:p w14:paraId="6E0321C1">
      <w:pPr>
        <w:rPr>
          <w:rFonts w:ascii="宋体" w:hAnsi="宋体"/>
          <w:sz w:val="18"/>
          <w:lang w:eastAsia="zh-CN"/>
        </w:rPr>
      </w:pPr>
    </w:p>
    <w:p w14:paraId="119183B0">
      <w:pPr>
        <w:spacing w:line="360" w:lineRule="auto"/>
        <w:rPr>
          <w:rFonts w:ascii="宋体" w:hAnsi="宋体" w:cs="宋体"/>
          <w:lang w:eastAsia="zh-CN"/>
        </w:rPr>
      </w:pPr>
      <w:r>
        <w:rPr>
          <w:lang w:eastAsia="zh-CN"/>
        </w:rPr>
        <w:t xml:space="preserve">    </w:t>
      </w:r>
      <w:r>
        <w:rPr>
          <w:rFonts w:ascii="宋体" w:hAnsi="宋体" w:cs="宋体" w:hint="eastAsia"/>
          <w:lang w:eastAsia="zh-CN"/>
        </w:rPr>
        <w:t>注：（1）投标人应按照第二章“投标人须知”3.5.2提供相应年份的财务状况表扫描件，可以不含财务情况说明书。</w:t>
      </w:r>
    </w:p>
    <w:p w14:paraId="569B0EE6">
      <w:pPr>
        <w:spacing w:line="360" w:lineRule="auto"/>
        <w:ind w:firstLine="480"/>
        <w:rPr>
          <w:rFonts w:ascii="宋体" w:eastAsia="宋体" w:hAnsi="宋体" w:cs="宋体" w:hint="eastAsia"/>
          <w:sz w:val="24"/>
          <w:szCs w:val="24"/>
          <w:highlight w:val="yellow"/>
          <w:lang w:val="en-US" w:eastAsia="zh-CN"/>
        </w:rPr>
      </w:pPr>
      <w:r>
        <w:rPr>
          <w:rFonts w:ascii="宋体" w:hAnsi="宋体" w:cs="宋体" w:hint="eastAsia"/>
          <w:lang w:eastAsia="zh-CN"/>
        </w:rPr>
        <w:t xml:space="preserve">  </w:t>
      </w:r>
      <w:r>
        <w:rPr>
          <w:rFonts w:ascii="宋体" w:eastAsia="宋体" w:hAnsi="宋体" w:cs="宋体" w:hint="eastAsia"/>
          <w:sz w:val="24"/>
          <w:szCs w:val="24"/>
          <w:highlight w:val="none"/>
          <w:lang w:val="en-US" w:eastAsia="zh-CN"/>
        </w:rPr>
        <w:t>“近年财务状况表”分两种情况。例：招标文件开始下载的时间在6月1日以前的，若投标人须知前附表规定为“近3年”，“近3年”是指当年之前的3个年度或当年的上一年之前的3个年度。如某项目招标，招标文件开始下载的时间是2020年5 月1日，“近年财务状况表”是指 2017 年、2018 年、2019 年的财务状况，或 2016 年、2017 年、2018 年的财务状况，采用哪3个年度，由投标人选择；招标文件开始下载的时间在6 月 1 日以后（含6月1日）的，“近3 年”是指当年之前的3个年度，如某项目招标，招标文件开始下载的时间是 2020 年 6月5日，“近年财务状况表”是指 2017 年、2018 年、2019年的财务状况。投标人须知前附表规定的时间不足3年的，以此类推。</w:t>
      </w:r>
    </w:p>
    <w:p w14:paraId="55342432">
      <w:pPr>
        <w:spacing w:line="360" w:lineRule="auto"/>
        <w:rPr>
          <w:rFonts w:ascii="宋体" w:hAnsi="宋体" w:cs="宋体"/>
          <w:lang w:eastAsia="zh-CN"/>
        </w:rPr>
      </w:pPr>
    </w:p>
    <w:p w14:paraId="784652E9">
      <w:pPr>
        <w:pStyle w:val="ListParagraph"/>
        <w:spacing w:line="360" w:lineRule="auto"/>
        <w:ind w:left="240" w:firstLine="0" w:firstLineChars="0"/>
        <w:rPr>
          <w:rFonts w:ascii="宋体" w:hAnsi="宋体" w:eastAsiaTheme="minorEastAsia" w:cs="宋体"/>
          <w:kern w:val="0"/>
          <w:sz w:val="24"/>
          <w:szCs w:val="24"/>
        </w:rPr>
      </w:pPr>
      <w:r>
        <w:rPr>
          <w:rFonts w:ascii="宋体" w:hAnsi="宋体" w:eastAsiaTheme="minorEastAsia" w:cs="宋体" w:hint="eastAsia"/>
          <w:kern w:val="0"/>
          <w:sz w:val="24"/>
          <w:szCs w:val="24"/>
        </w:rPr>
        <w:t>（2）新设立企业只提供设立以来的财务状况表，破产重整企业视为新设立企业。</w:t>
      </w:r>
    </w:p>
    <w:p w14:paraId="63EC1977">
      <w:pPr>
        <w:pStyle w:val="ListParagraph"/>
        <w:numPr>
          <w:ilvl w:val="0"/>
          <w:numId w:val="10"/>
        </w:numPr>
        <w:spacing w:line="360" w:lineRule="auto"/>
        <w:ind w:firstLine="240" w:firstLineChars="0"/>
        <w:rPr>
          <w:rFonts w:ascii="宋体" w:hAnsi="宋体" w:cs="宋体"/>
          <w:sz w:val="24"/>
        </w:rPr>
      </w:pPr>
      <w:r>
        <w:rPr>
          <w:rFonts w:ascii="宋体" w:hAnsi="宋体" w:cs="宋体" w:hint="eastAsia"/>
          <w:sz w:val="24"/>
        </w:rPr>
        <w:t>若为联合体投标，所有成员单位均须提供。</w:t>
      </w:r>
    </w:p>
    <w:p w14:paraId="6127ABC2">
      <w:pPr>
        <w:spacing w:line="360" w:lineRule="auto"/>
        <w:ind w:firstLine="240" w:firstLineChars="100"/>
        <w:rPr>
          <w:rFonts w:ascii="宋体" w:hAnsi="宋体" w:cs="宋体"/>
          <w:lang w:eastAsia="zh-CN"/>
        </w:rPr>
      </w:pPr>
      <w:r>
        <w:rPr>
          <w:rFonts w:ascii="宋体" w:hAnsi="宋体" w:cs="宋体" w:hint="eastAsia"/>
          <w:lang w:eastAsia="zh-CN"/>
        </w:rPr>
        <w:t>（4）若无要求，无需填写。</w:t>
      </w:r>
    </w:p>
    <w:p w14:paraId="7D11AB31">
      <w:pPr>
        <w:spacing w:beforeAutospacing="1" w:afterAutospacing="1" w:line="360" w:lineRule="auto"/>
        <w:rPr>
          <w:rFonts w:ascii="宋体" w:hAnsi="宋体" w:cs="宋体"/>
          <w:lang w:eastAsia="zh-CN"/>
        </w:rPr>
        <w:sectPr>
          <w:type w:val="continuous"/>
          <w:pgSz w:w="11906" w:h="16838"/>
          <w:pgMar w:top="1417" w:right="1417" w:bottom="1417" w:left="1417" w:header="851" w:footer="850" w:gutter="0"/>
          <w:cols w:num="1" w:space="720"/>
          <w:docGrid w:type="lines" w:linePitch="312" w:charSpace="0"/>
        </w:sectPr>
      </w:pPr>
    </w:p>
    <w:p w14:paraId="6D398133">
      <w:pPr>
        <w:spacing w:line="360" w:lineRule="auto"/>
        <w:rPr>
          <w:rFonts w:ascii="Calibri" w:hAnsi="Calibri"/>
          <w:sz w:val="21"/>
          <w:lang w:eastAsia="zh-CN"/>
        </w:rPr>
      </w:pPr>
      <w:r>
        <w:rPr>
          <w:lang w:eastAsia="zh-CN"/>
        </w:rPr>
        <w:t xml:space="preserve">    </w:t>
      </w:r>
    </w:p>
    <w:p w14:paraId="6EFD3F56">
      <w:pPr>
        <w:rPr>
          <w:lang w:eastAsia="zh-CN"/>
        </w:rPr>
      </w:pPr>
      <w:r>
        <w:rPr>
          <w:lang w:eastAsia="zh-CN"/>
        </w:rPr>
        <w:br w:type="page"/>
      </w:r>
    </w:p>
    <w:p w14:paraId="0D237258">
      <w:pPr>
        <w:pStyle w:val="Heading3"/>
        <w:spacing w:line="36" w:lineRule="auto"/>
        <w:jc w:val="center"/>
        <w:rPr>
          <w:rFonts w:ascii="宋体" w:hAnsi="宋体"/>
          <w:sz w:val="27"/>
        </w:rPr>
      </w:pPr>
      <w:bookmarkStart w:id="1544" w:name="_Toc256000112"/>
      <w:r>
        <w:rPr>
          <w:rFonts w:ascii="宋体" w:hAnsi="宋体" w:hint="eastAsia"/>
          <w:sz w:val="27"/>
        </w:rPr>
        <w:t>（三）近年完成的类似项目情况</w:t>
      </w:r>
      <w:bookmarkEnd w:id="1544"/>
    </w:p>
    <w:p w14:paraId="794F82DD">
      <w:pPr>
        <w:spacing w:line="36" w:lineRule="auto"/>
        <w:rPr>
          <w:rFonts w:ascii="宋体" w:hAnsi="宋体"/>
          <w:b/>
        </w:rPr>
      </w:pPr>
      <w:r>
        <w:rPr>
          <w:rFonts w:ascii="宋体" w:hAnsi="宋体" w:hint="eastAsia"/>
          <w:b/>
        </w:rPr>
        <w:t xml:space="preserve">序号：     </w:t>
      </w:r>
    </w:p>
    <w:tbl>
      <w:tblPr>
        <w:tblStyle w:val="TableNorm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2448"/>
        <w:gridCol w:w="6624"/>
      </w:tblGrid>
      <w:tr w14:paraId="6960E2FB">
        <w:tblPrEx>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504"/>
          <w:jc w:val="center"/>
        </w:trPr>
        <w:tc>
          <w:tcPr>
            <w:tcW w:w="2448" w:type="dxa"/>
            <w:tcBorders>
              <w:top w:val="single" w:sz="2" w:space="0" w:color="auto"/>
              <w:left w:val="single" w:sz="2" w:space="0" w:color="auto"/>
              <w:bottom w:val="single" w:sz="2" w:space="0" w:color="auto"/>
              <w:right w:val="single" w:sz="2" w:space="0" w:color="auto"/>
            </w:tcBorders>
            <w:vAlign w:val="center"/>
          </w:tcPr>
          <w:p w14:paraId="373E20EB">
            <w:r>
              <w:rPr>
                <w:rFonts w:hint="eastAsia"/>
              </w:rPr>
              <w:t>项目名称</w:t>
            </w:r>
          </w:p>
        </w:tc>
        <w:tc>
          <w:tcPr>
            <w:tcW w:w="6624" w:type="dxa"/>
            <w:tcBorders>
              <w:top w:val="single" w:sz="2" w:space="0" w:color="auto"/>
              <w:left w:val="single" w:sz="2" w:space="0" w:color="auto"/>
              <w:bottom w:val="single" w:sz="2" w:space="0" w:color="auto"/>
              <w:right w:val="single" w:sz="2" w:space="0" w:color="auto"/>
            </w:tcBorders>
            <w:vAlign w:val="center"/>
          </w:tcPr>
          <w:p w14:paraId="57F7491F">
            <w:pPr>
              <w:rPr>
                <w:sz w:val="27"/>
                <w:szCs w:val="22"/>
              </w:rPr>
            </w:pPr>
          </w:p>
        </w:tc>
      </w:tr>
      <w:tr w14:paraId="6E162656">
        <w:tblPrEx>
          <w:tblW w:w="0" w:type="auto"/>
          <w:jc w:val="center"/>
          <w:tblLayout w:type="fixed"/>
          <w:tblCellMar>
            <w:top w:w="0" w:type="dxa"/>
            <w:left w:w="108" w:type="dxa"/>
            <w:bottom w:w="0" w:type="dxa"/>
            <w:right w:w="108" w:type="dxa"/>
          </w:tblCellMar>
        </w:tblPrEx>
        <w:trPr>
          <w:trHeight w:val="411"/>
          <w:jc w:val="center"/>
        </w:trPr>
        <w:tc>
          <w:tcPr>
            <w:tcW w:w="2448" w:type="dxa"/>
            <w:tcBorders>
              <w:top w:val="single" w:sz="2" w:space="0" w:color="auto"/>
              <w:left w:val="single" w:sz="2" w:space="0" w:color="auto"/>
              <w:bottom w:val="single" w:sz="2" w:space="0" w:color="auto"/>
              <w:right w:val="single" w:sz="2" w:space="0" w:color="auto"/>
            </w:tcBorders>
            <w:vAlign w:val="center"/>
          </w:tcPr>
          <w:p w14:paraId="76D4A00E">
            <w:r>
              <w:rPr>
                <w:rFonts w:hint="eastAsia"/>
              </w:rPr>
              <w:t>项目所在地</w:t>
            </w:r>
          </w:p>
        </w:tc>
        <w:tc>
          <w:tcPr>
            <w:tcW w:w="6624" w:type="dxa"/>
            <w:tcBorders>
              <w:top w:val="single" w:sz="2" w:space="0" w:color="auto"/>
              <w:left w:val="single" w:sz="2" w:space="0" w:color="auto"/>
              <w:bottom w:val="single" w:sz="2" w:space="0" w:color="auto"/>
              <w:right w:val="single" w:sz="2" w:space="0" w:color="auto"/>
            </w:tcBorders>
            <w:vAlign w:val="center"/>
          </w:tcPr>
          <w:p w14:paraId="72078655">
            <w:pPr>
              <w:rPr>
                <w:sz w:val="27"/>
                <w:szCs w:val="22"/>
              </w:rPr>
            </w:pPr>
          </w:p>
        </w:tc>
      </w:tr>
      <w:tr w14:paraId="20D03FAA">
        <w:tblPrEx>
          <w:tblW w:w="0" w:type="auto"/>
          <w:jc w:val="center"/>
          <w:tblLayout w:type="fixed"/>
          <w:tblCellMar>
            <w:top w:w="0" w:type="dxa"/>
            <w:left w:w="108" w:type="dxa"/>
            <w:bottom w:w="0" w:type="dxa"/>
            <w:right w:w="108" w:type="dxa"/>
          </w:tblCellMar>
        </w:tblPrEx>
        <w:trPr>
          <w:trHeight w:val="417"/>
          <w:jc w:val="center"/>
        </w:trPr>
        <w:tc>
          <w:tcPr>
            <w:tcW w:w="2448" w:type="dxa"/>
            <w:tcBorders>
              <w:top w:val="single" w:sz="2" w:space="0" w:color="auto"/>
              <w:left w:val="single" w:sz="2" w:space="0" w:color="auto"/>
              <w:bottom w:val="single" w:sz="2" w:space="0" w:color="auto"/>
              <w:right w:val="single" w:sz="2" w:space="0" w:color="auto"/>
            </w:tcBorders>
            <w:vAlign w:val="center"/>
          </w:tcPr>
          <w:p w14:paraId="4BFFC6C4">
            <w:r>
              <w:rPr>
                <w:rFonts w:hint="eastAsia"/>
              </w:rPr>
              <w:t>发包人名称</w:t>
            </w:r>
          </w:p>
        </w:tc>
        <w:tc>
          <w:tcPr>
            <w:tcW w:w="6624" w:type="dxa"/>
            <w:tcBorders>
              <w:top w:val="single" w:sz="2" w:space="0" w:color="auto"/>
              <w:left w:val="single" w:sz="2" w:space="0" w:color="auto"/>
              <w:bottom w:val="single" w:sz="2" w:space="0" w:color="auto"/>
              <w:right w:val="single" w:sz="2" w:space="0" w:color="auto"/>
            </w:tcBorders>
            <w:vAlign w:val="center"/>
          </w:tcPr>
          <w:p w14:paraId="5BAE3003">
            <w:pPr>
              <w:rPr>
                <w:sz w:val="27"/>
                <w:szCs w:val="22"/>
              </w:rPr>
            </w:pPr>
          </w:p>
        </w:tc>
      </w:tr>
      <w:tr w14:paraId="2756993D">
        <w:tblPrEx>
          <w:tblW w:w="0" w:type="auto"/>
          <w:jc w:val="center"/>
          <w:tblLayout w:type="fixed"/>
          <w:tblCellMar>
            <w:top w:w="0" w:type="dxa"/>
            <w:left w:w="108" w:type="dxa"/>
            <w:bottom w:w="0" w:type="dxa"/>
            <w:right w:w="108" w:type="dxa"/>
          </w:tblCellMar>
        </w:tblPrEx>
        <w:trPr>
          <w:trHeight w:val="422"/>
          <w:jc w:val="center"/>
        </w:trPr>
        <w:tc>
          <w:tcPr>
            <w:tcW w:w="2448" w:type="dxa"/>
            <w:tcBorders>
              <w:top w:val="single" w:sz="2" w:space="0" w:color="auto"/>
              <w:left w:val="single" w:sz="2" w:space="0" w:color="auto"/>
              <w:bottom w:val="single" w:sz="2" w:space="0" w:color="auto"/>
              <w:right w:val="single" w:sz="2" w:space="0" w:color="auto"/>
            </w:tcBorders>
            <w:vAlign w:val="center"/>
          </w:tcPr>
          <w:p w14:paraId="213CF054">
            <w:r>
              <w:rPr>
                <w:rFonts w:hint="eastAsia"/>
              </w:rPr>
              <w:t>发包人地址</w:t>
            </w:r>
          </w:p>
        </w:tc>
        <w:tc>
          <w:tcPr>
            <w:tcW w:w="6624" w:type="dxa"/>
            <w:tcBorders>
              <w:top w:val="single" w:sz="2" w:space="0" w:color="auto"/>
              <w:left w:val="single" w:sz="2" w:space="0" w:color="auto"/>
              <w:bottom w:val="single" w:sz="2" w:space="0" w:color="auto"/>
              <w:right w:val="single" w:sz="2" w:space="0" w:color="auto"/>
            </w:tcBorders>
            <w:vAlign w:val="center"/>
          </w:tcPr>
          <w:p w14:paraId="4A1E3E81">
            <w:pPr>
              <w:rPr>
                <w:sz w:val="27"/>
                <w:szCs w:val="22"/>
              </w:rPr>
            </w:pPr>
          </w:p>
        </w:tc>
      </w:tr>
      <w:tr w14:paraId="15F191F8">
        <w:tblPrEx>
          <w:tblW w:w="0" w:type="auto"/>
          <w:jc w:val="center"/>
          <w:tblLayout w:type="fixed"/>
          <w:tblCellMar>
            <w:top w:w="0" w:type="dxa"/>
            <w:left w:w="108" w:type="dxa"/>
            <w:bottom w:w="0" w:type="dxa"/>
            <w:right w:w="108" w:type="dxa"/>
          </w:tblCellMar>
        </w:tblPrEx>
        <w:trPr>
          <w:trHeight w:val="428"/>
          <w:jc w:val="center"/>
        </w:trPr>
        <w:tc>
          <w:tcPr>
            <w:tcW w:w="2448" w:type="dxa"/>
            <w:tcBorders>
              <w:top w:val="single" w:sz="2" w:space="0" w:color="auto"/>
              <w:left w:val="single" w:sz="2" w:space="0" w:color="auto"/>
              <w:bottom w:val="single" w:sz="2" w:space="0" w:color="auto"/>
              <w:right w:val="single" w:sz="2" w:space="0" w:color="auto"/>
            </w:tcBorders>
            <w:vAlign w:val="center"/>
          </w:tcPr>
          <w:p w14:paraId="3ED63160">
            <w:r>
              <w:rPr>
                <w:rFonts w:hint="eastAsia"/>
              </w:rPr>
              <w:t>发包人电话</w:t>
            </w:r>
          </w:p>
        </w:tc>
        <w:tc>
          <w:tcPr>
            <w:tcW w:w="6624" w:type="dxa"/>
            <w:tcBorders>
              <w:top w:val="single" w:sz="2" w:space="0" w:color="auto"/>
              <w:left w:val="single" w:sz="2" w:space="0" w:color="auto"/>
              <w:bottom w:val="single" w:sz="2" w:space="0" w:color="auto"/>
              <w:right w:val="single" w:sz="2" w:space="0" w:color="auto"/>
            </w:tcBorders>
            <w:vAlign w:val="center"/>
          </w:tcPr>
          <w:p w14:paraId="77C5C1DE">
            <w:pPr>
              <w:rPr>
                <w:sz w:val="27"/>
                <w:szCs w:val="22"/>
              </w:rPr>
            </w:pPr>
          </w:p>
        </w:tc>
      </w:tr>
      <w:tr w14:paraId="741505CC">
        <w:tblPrEx>
          <w:tblW w:w="0" w:type="auto"/>
          <w:jc w:val="center"/>
          <w:tblLayout w:type="fixed"/>
          <w:tblCellMar>
            <w:top w:w="0" w:type="dxa"/>
            <w:left w:w="108" w:type="dxa"/>
            <w:bottom w:w="0" w:type="dxa"/>
            <w:right w:w="108" w:type="dxa"/>
          </w:tblCellMar>
        </w:tblPrEx>
        <w:trPr>
          <w:trHeight w:val="407"/>
          <w:jc w:val="center"/>
        </w:trPr>
        <w:tc>
          <w:tcPr>
            <w:tcW w:w="2448" w:type="dxa"/>
            <w:tcBorders>
              <w:top w:val="single" w:sz="2" w:space="0" w:color="auto"/>
              <w:left w:val="single" w:sz="2" w:space="0" w:color="auto"/>
              <w:bottom w:val="single" w:sz="2" w:space="0" w:color="auto"/>
              <w:right w:val="single" w:sz="2" w:space="0" w:color="auto"/>
            </w:tcBorders>
            <w:vAlign w:val="center"/>
          </w:tcPr>
          <w:p w14:paraId="1B359760">
            <w:r>
              <w:rPr>
                <w:rFonts w:hint="eastAsia"/>
              </w:rPr>
              <w:t>合同价格</w:t>
            </w:r>
          </w:p>
        </w:tc>
        <w:tc>
          <w:tcPr>
            <w:tcW w:w="6624" w:type="dxa"/>
            <w:tcBorders>
              <w:top w:val="single" w:sz="2" w:space="0" w:color="auto"/>
              <w:left w:val="single" w:sz="2" w:space="0" w:color="auto"/>
              <w:bottom w:val="single" w:sz="2" w:space="0" w:color="auto"/>
              <w:right w:val="single" w:sz="2" w:space="0" w:color="auto"/>
            </w:tcBorders>
            <w:vAlign w:val="center"/>
          </w:tcPr>
          <w:p w14:paraId="6F68EAB1">
            <w:pPr>
              <w:rPr>
                <w:sz w:val="27"/>
                <w:szCs w:val="22"/>
              </w:rPr>
            </w:pPr>
          </w:p>
        </w:tc>
      </w:tr>
      <w:tr w14:paraId="121B3B7A">
        <w:tblPrEx>
          <w:tblW w:w="0" w:type="auto"/>
          <w:jc w:val="center"/>
          <w:tblLayout w:type="fixed"/>
          <w:tblCellMar>
            <w:top w:w="0" w:type="dxa"/>
            <w:left w:w="108" w:type="dxa"/>
            <w:bottom w:w="0" w:type="dxa"/>
            <w:right w:w="108" w:type="dxa"/>
          </w:tblCellMar>
        </w:tblPrEx>
        <w:trPr>
          <w:trHeight w:val="427"/>
          <w:jc w:val="center"/>
        </w:trPr>
        <w:tc>
          <w:tcPr>
            <w:tcW w:w="2448" w:type="dxa"/>
            <w:tcBorders>
              <w:top w:val="single" w:sz="2" w:space="0" w:color="auto"/>
              <w:left w:val="single" w:sz="2" w:space="0" w:color="auto"/>
              <w:bottom w:val="single" w:sz="2" w:space="0" w:color="auto"/>
              <w:right w:val="single" w:sz="2" w:space="0" w:color="auto"/>
            </w:tcBorders>
            <w:vAlign w:val="center"/>
          </w:tcPr>
          <w:p w14:paraId="7DB3BA3A">
            <w:r>
              <w:rPr>
                <w:rFonts w:hint="eastAsia"/>
              </w:rPr>
              <w:t>开工日期</w:t>
            </w:r>
          </w:p>
        </w:tc>
        <w:tc>
          <w:tcPr>
            <w:tcW w:w="6624" w:type="dxa"/>
            <w:tcBorders>
              <w:top w:val="single" w:sz="2" w:space="0" w:color="auto"/>
              <w:left w:val="single" w:sz="2" w:space="0" w:color="auto"/>
              <w:bottom w:val="single" w:sz="2" w:space="0" w:color="auto"/>
              <w:right w:val="single" w:sz="2" w:space="0" w:color="auto"/>
            </w:tcBorders>
            <w:vAlign w:val="center"/>
          </w:tcPr>
          <w:p w14:paraId="6BECA1EA">
            <w:pPr>
              <w:rPr>
                <w:sz w:val="27"/>
                <w:szCs w:val="22"/>
              </w:rPr>
            </w:pPr>
          </w:p>
        </w:tc>
      </w:tr>
      <w:tr w14:paraId="36549CEA">
        <w:tblPrEx>
          <w:tblW w:w="0" w:type="auto"/>
          <w:jc w:val="center"/>
          <w:tblLayout w:type="fixed"/>
          <w:tblCellMar>
            <w:top w:w="0" w:type="dxa"/>
            <w:left w:w="108" w:type="dxa"/>
            <w:bottom w:w="0" w:type="dxa"/>
            <w:right w:w="108" w:type="dxa"/>
          </w:tblCellMar>
        </w:tblPrEx>
        <w:trPr>
          <w:trHeight w:val="419"/>
          <w:jc w:val="center"/>
        </w:trPr>
        <w:tc>
          <w:tcPr>
            <w:tcW w:w="2448" w:type="dxa"/>
            <w:tcBorders>
              <w:top w:val="single" w:sz="2" w:space="0" w:color="auto"/>
              <w:left w:val="single" w:sz="2" w:space="0" w:color="auto"/>
              <w:bottom w:val="single" w:sz="2" w:space="0" w:color="auto"/>
              <w:right w:val="single" w:sz="2" w:space="0" w:color="auto"/>
            </w:tcBorders>
            <w:vAlign w:val="center"/>
          </w:tcPr>
          <w:p w14:paraId="66DC96BF">
            <w:r>
              <w:rPr>
                <w:rFonts w:hint="eastAsia"/>
              </w:rPr>
              <w:t>竣工日期</w:t>
            </w:r>
          </w:p>
        </w:tc>
        <w:tc>
          <w:tcPr>
            <w:tcW w:w="6624" w:type="dxa"/>
            <w:tcBorders>
              <w:top w:val="single" w:sz="2" w:space="0" w:color="auto"/>
              <w:left w:val="single" w:sz="2" w:space="0" w:color="auto"/>
              <w:bottom w:val="single" w:sz="2" w:space="0" w:color="auto"/>
              <w:right w:val="single" w:sz="2" w:space="0" w:color="auto"/>
            </w:tcBorders>
            <w:vAlign w:val="center"/>
          </w:tcPr>
          <w:p w14:paraId="0EA85A94">
            <w:pPr>
              <w:rPr>
                <w:sz w:val="27"/>
                <w:szCs w:val="22"/>
              </w:rPr>
            </w:pPr>
          </w:p>
        </w:tc>
      </w:tr>
      <w:tr w14:paraId="389D7B96">
        <w:tblPrEx>
          <w:tblW w:w="0" w:type="auto"/>
          <w:jc w:val="center"/>
          <w:tblLayout w:type="fixed"/>
          <w:tblCellMar>
            <w:top w:w="0" w:type="dxa"/>
            <w:left w:w="108" w:type="dxa"/>
            <w:bottom w:w="0" w:type="dxa"/>
            <w:right w:w="108" w:type="dxa"/>
          </w:tblCellMar>
        </w:tblPrEx>
        <w:trPr>
          <w:trHeight w:val="425"/>
          <w:jc w:val="center"/>
        </w:trPr>
        <w:tc>
          <w:tcPr>
            <w:tcW w:w="2448" w:type="dxa"/>
            <w:tcBorders>
              <w:top w:val="single" w:sz="2" w:space="0" w:color="auto"/>
              <w:left w:val="single" w:sz="2" w:space="0" w:color="auto"/>
              <w:bottom w:val="single" w:sz="2" w:space="0" w:color="auto"/>
              <w:right w:val="single" w:sz="2" w:space="0" w:color="auto"/>
            </w:tcBorders>
            <w:vAlign w:val="center"/>
          </w:tcPr>
          <w:p w14:paraId="386FABF9">
            <w:r>
              <w:rPr>
                <w:rFonts w:hint="eastAsia"/>
              </w:rPr>
              <w:t>承担的工作</w:t>
            </w:r>
          </w:p>
        </w:tc>
        <w:tc>
          <w:tcPr>
            <w:tcW w:w="6624" w:type="dxa"/>
            <w:tcBorders>
              <w:top w:val="single" w:sz="2" w:space="0" w:color="auto"/>
              <w:left w:val="single" w:sz="2" w:space="0" w:color="auto"/>
              <w:bottom w:val="single" w:sz="2" w:space="0" w:color="auto"/>
              <w:right w:val="single" w:sz="2" w:space="0" w:color="auto"/>
            </w:tcBorders>
            <w:vAlign w:val="center"/>
          </w:tcPr>
          <w:p w14:paraId="6213E861">
            <w:pPr>
              <w:rPr>
                <w:sz w:val="27"/>
                <w:szCs w:val="22"/>
              </w:rPr>
            </w:pPr>
          </w:p>
        </w:tc>
      </w:tr>
      <w:tr w14:paraId="3D0B1AD0">
        <w:tblPrEx>
          <w:tblW w:w="0" w:type="auto"/>
          <w:jc w:val="center"/>
          <w:tblLayout w:type="fixed"/>
          <w:tblCellMar>
            <w:top w:w="0" w:type="dxa"/>
            <w:left w:w="108" w:type="dxa"/>
            <w:bottom w:w="0" w:type="dxa"/>
            <w:right w:w="108" w:type="dxa"/>
          </w:tblCellMar>
        </w:tblPrEx>
        <w:trPr>
          <w:trHeight w:val="417"/>
          <w:jc w:val="center"/>
        </w:trPr>
        <w:tc>
          <w:tcPr>
            <w:tcW w:w="2448" w:type="dxa"/>
            <w:tcBorders>
              <w:top w:val="single" w:sz="2" w:space="0" w:color="auto"/>
              <w:left w:val="single" w:sz="2" w:space="0" w:color="auto"/>
              <w:bottom w:val="single" w:sz="2" w:space="0" w:color="auto"/>
              <w:right w:val="single" w:sz="2" w:space="0" w:color="auto"/>
            </w:tcBorders>
            <w:vAlign w:val="center"/>
          </w:tcPr>
          <w:p w14:paraId="3E74978B">
            <w:r>
              <w:rPr>
                <w:rFonts w:hint="eastAsia"/>
              </w:rPr>
              <w:t>工程质量</w:t>
            </w:r>
          </w:p>
        </w:tc>
        <w:tc>
          <w:tcPr>
            <w:tcW w:w="6624" w:type="dxa"/>
            <w:tcBorders>
              <w:top w:val="single" w:sz="2" w:space="0" w:color="auto"/>
              <w:left w:val="single" w:sz="2" w:space="0" w:color="auto"/>
              <w:bottom w:val="single" w:sz="2" w:space="0" w:color="auto"/>
              <w:right w:val="single" w:sz="2" w:space="0" w:color="auto"/>
            </w:tcBorders>
            <w:vAlign w:val="center"/>
          </w:tcPr>
          <w:p w14:paraId="5D2F76D3">
            <w:pPr>
              <w:rPr>
                <w:sz w:val="27"/>
                <w:szCs w:val="22"/>
              </w:rPr>
            </w:pPr>
          </w:p>
        </w:tc>
      </w:tr>
      <w:tr w14:paraId="7C790118">
        <w:tblPrEx>
          <w:tblW w:w="0" w:type="auto"/>
          <w:jc w:val="center"/>
          <w:tblLayout w:type="fixed"/>
          <w:tblCellMar>
            <w:top w:w="0" w:type="dxa"/>
            <w:left w:w="108" w:type="dxa"/>
            <w:bottom w:w="0" w:type="dxa"/>
            <w:right w:w="108" w:type="dxa"/>
          </w:tblCellMar>
        </w:tblPrEx>
        <w:trPr>
          <w:jc w:val="center"/>
        </w:trPr>
        <w:tc>
          <w:tcPr>
            <w:tcW w:w="2448" w:type="dxa"/>
            <w:tcBorders>
              <w:top w:val="single" w:sz="2" w:space="0" w:color="auto"/>
              <w:left w:val="single" w:sz="2" w:space="0" w:color="auto"/>
              <w:bottom w:val="single" w:sz="2" w:space="0" w:color="auto"/>
              <w:right w:val="single" w:sz="2" w:space="0" w:color="auto"/>
            </w:tcBorders>
            <w:vAlign w:val="center"/>
          </w:tcPr>
          <w:p w14:paraId="51A37645">
            <w:r>
              <w:rPr>
                <w:rFonts w:hint="eastAsia"/>
              </w:rPr>
              <w:t>项目经理</w:t>
            </w:r>
          </w:p>
        </w:tc>
        <w:tc>
          <w:tcPr>
            <w:tcW w:w="6624" w:type="dxa"/>
            <w:tcBorders>
              <w:top w:val="single" w:sz="2" w:space="0" w:color="auto"/>
              <w:left w:val="single" w:sz="2" w:space="0" w:color="auto"/>
              <w:bottom w:val="single" w:sz="2" w:space="0" w:color="auto"/>
              <w:right w:val="single" w:sz="2" w:space="0" w:color="auto"/>
            </w:tcBorders>
            <w:vAlign w:val="center"/>
          </w:tcPr>
          <w:p w14:paraId="4B6BDA5A">
            <w:pPr>
              <w:rPr>
                <w:sz w:val="27"/>
                <w:szCs w:val="22"/>
              </w:rPr>
            </w:pPr>
          </w:p>
        </w:tc>
      </w:tr>
      <w:tr w14:paraId="5CAFAB60">
        <w:tblPrEx>
          <w:tblW w:w="0" w:type="auto"/>
          <w:jc w:val="center"/>
          <w:tblLayout w:type="fixed"/>
          <w:tblCellMar>
            <w:top w:w="0" w:type="dxa"/>
            <w:left w:w="108" w:type="dxa"/>
            <w:bottom w:w="0" w:type="dxa"/>
            <w:right w:w="108" w:type="dxa"/>
          </w:tblCellMar>
        </w:tblPrEx>
        <w:trPr>
          <w:jc w:val="center"/>
        </w:trPr>
        <w:tc>
          <w:tcPr>
            <w:tcW w:w="2448" w:type="dxa"/>
            <w:tcBorders>
              <w:top w:val="single" w:sz="2" w:space="0" w:color="auto"/>
              <w:left w:val="single" w:sz="2" w:space="0" w:color="auto"/>
              <w:bottom w:val="single" w:sz="2" w:space="0" w:color="auto"/>
              <w:right w:val="single" w:sz="2" w:space="0" w:color="auto"/>
            </w:tcBorders>
            <w:vAlign w:val="center"/>
          </w:tcPr>
          <w:p w14:paraId="569FA275">
            <w:r>
              <w:rPr>
                <w:rFonts w:hint="eastAsia"/>
              </w:rPr>
              <w:t>技术负责人</w:t>
            </w:r>
          </w:p>
        </w:tc>
        <w:tc>
          <w:tcPr>
            <w:tcW w:w="6624" w:type="dxa"/>
            <w:tcBorders>
              <w:top w:val="single" w:sz="2" w:space="0" w:color="auto"/>
              <w:left w:val="single" w:sz="2" w:space="0" w:color="auto"/>
              <w:bottom w:val="single" w:sz="2" w:space="0" w:color="auto"/>
              <w:right w:val="single" w:sz="2" w:space="0" w:color="auto"/>
            </w:tcBorders>
            <w:vAlign w:val="center"/>
          </w:tcPr>
          <w:p w14:paraId="57EF3111">
            <w:pPr>
              <w:rPr>
                <w:sz w:val="27"/>
                <w:szCs w:val="22"/>
              </w:rPr>
            </w:pPr>
          </w:p>
        </w:tc>
      </w:tr>
      <w:tr w14:paraId="560F5CFB">
        <w:tblPrEx>
          <w:tblW w:w="0" w:type="auto"/>
          <w:jc w:val="center"/>
          <w:tblLayout w:type="fixed"/>
          <w:tblCellMar>
            <w:top w:w="0" w:type="dxa"/>
            <w:left w:w="108" w:type="dxa"/>
            <w:bottom w:w="0" w:type="dxa"/>
            <w:right w:w="108" w:type="dxa"/>
          </w:tblCellMar>
        </w:tblPrEx>
        <w:trPr>
          <w:jc w:val="center"/>
        </w:trPr>
        <w:tc>
          <w:tcPr>
            <w:tcW w:w="2448" w:type="dxa"/>
            <w:tcBorders>
              <w:top w:val="single" w:sz="2" w:space="0" w:color="auto"/>
              <w:left w:val="single" w:sz="2" w:space="0" w:color="auto"/>
              <w:bottom w:val="single" w:sz="2" w:space="0" w:color="auto"/>
              <w:right w:val="single" w:sz="2" w:space="0" w:color="auto"/>
            </w:tcBorders>
            <w:vAlign w:val="center"/>
          </w:tcPr>
          <w:p w14:paraId="7C23B530">
            <w:r>
              <w:rPr>
                <w:rFonts w:hint="eastAsia"/>
              </w:rPr>
              <w:t>总监理工程师及电话</w:t>
            </w:r>
          </w:p>
        </w:tc>
        <w:tc>
          <w:tcPr>
            <w:tcW w:w="6624" w:type="dxa"/>
            <w:tcBorders>
              <w:top w:val="single" w:sz="2" w:space="0" w:color="auto"/>
              <w:left w:val="single" w:sz="2" w:space="0" w:color="auto"/>
              <w:bottom w:val="single" w:sz="2" w:space="0" w:color="auto"/>
              <w:right w:val="single" w:sz="2" w:space="0" w:color="auto"/>
            </w:tcBorders>
            <w:vAlign w:val="center"/>
          </w:tcPr>
          <w:p w14:paraId="23DEE4B3">
            <w:pPr>
              <w:rPr>
                <w:sz w:val="27"/>
                <w:szCs w:val="22"/>
              </w:rPr>
            </w:pPr>
          </w:p>
        </w:tc>
      </w:tr>
      <w:tr w14:paraId="16BC1817">
        <w:tblPrEx>
          <w:tblW w:w="0" w:type="auto"/>
          <w:jc w:val="center"/>
          <w:tblLayout w:type="fixed"/>
          <w:tblCellMar>
            <w:top w:w="0" w:type="dxa"/>
            <w:left w:w="108" w:type="dxa"/>
            <w:bottom w:w="0" w:type="dxa"/>
            <w:right w:w="108" w:type="dxa"/>
          </w:tblCellMar>
        </w:tblPrEx>
        <w:trPr>
          <w:jc w:val="center"/>
        </w:trPr>
        <w:tc>
          <w:tcPr>
            <w:tcW w:w="2448" w:type="dxa"/>
            <w:tcBorders>
              <w:top w:val="single" w:sz="2" w:space="0" w:color="auto"/>
              <w:left w:val="single" w:sz="2" w:space="0" w:color="auto"/>
              <w:bottom w:val="single" w:sz="2" w:space="0" w:color="auto"/>
              <w:right w:val="single" w:sz="2" w:space="0" w:color="auto"/>
            </w:tcBorders>
            <w:vAlign w:val="center"/>
          </w:tcPr>
          <w:p w14:paraId="28D6C0C4">
            <w:r>
              <w:rPr>
                <w:rFonts w:hint="eastAsia"/>
              </w:rPr>
              <w:t>项目描述</w:t>
            </w:r>
          </w:p>
        </w:tc>
        <w:tc>
          <w:tcPr>
            <w:tcW w:w="6624" w:type="dxa"/>
            <w:tcBorders>
              <w:top w:val="single" w:sz="2" w:space="0" w:color="auto"/>
              <w:left w:val="single" w:sz="2" w:space="0" w:color="auto"/>
              <w:bottom w:val="single" w:sz="2" w:space="0" w:color="auto"/>
              <w:right w:val="single" w:sz="2" w:space="0" w:color="auto"/>
            </w:tcBorders>
            <w:vAlign w:val="center"/>
          </w:tcPr>
          <w:p w14:paraId="6533E81E">
            <w:pPr>
              <w:rPr>
                <w:sz w:val="27"/>
                <w:szCs w:val="22"/>
              </w:rPr>
            </w:pPr>
          </w:p>
        </w:tc>
      </w:tr>
      <w:tr w14:paraId="6397D64A">
        <w:tblPrEx>
          <w:tblW w:w="0" w:type="auto"/>
          <w:jc w:val="center"/>
          <w:tblLayout w:type="fixed"/>
          <w:tblCellMar>
            <w:top w:w="0" w:type="dxa"/>
            <w:left w:w="108" w:type="dxa"/>
            <w:bottom w:w="0" w:type="dxa"/>
            <w:right w:w="108" w:type="dxa"/>
          </w:tblCellMar>
        </w:tblPrEx>
        <w:trPr>
          <w:jc w:val="center"/>
        </w:trPr>
        <w:tc>
          <w:tcPr>
            <w:tcW w:w="2448" w:type="dxa"/>
            <w:tcBorders>
              <w:top w:val="single" w:sz="2" w:space="0" w:color="auto"/>
              <w:left w:val="single" w:sz="2" w:space="0" w:color="auto"/>
              <w:bottom w:val="single" w:sz="2" w:space="0" w:color="auto"/>
              <w:right w:val="single" w:sz="2" w:space="0" w:color="auto"/>
            </w:tcBorders>
            <w:vAlign w:val="center"/>
          </w:tcPr>
          <w:p w14:paraId="69CD592F">
            <w:r>
              <w:rPr>
                <w:rFonts w:hint="eastAsia"/>
              </w:rPr>
              <w:t>备注</w:t>
            </w:r>
          </w:p>
        </w:tc>
        <w:tc>
          <w:tcPr>
            <w:tcW w:w="6624" w:type="dxa"/>
            <w:tcBorders>
              <w:top w:val="single" w:sz="2" w:space="0" w:color="auto"/>
              <w:left w:val="single" w:sz="2" w:space="0" w:color="auto"/>
              <w:bottom w:val="single" w:sz="2" w:space="0" w:color="auto"/>
              <w:right w:val="single" w:sz="2" w:space="0" w:color="auto"/>
            </w:tcBorders>
            <w:vAlign w:val="center"/>
          </w:tcPr>
          <w:p w14:paraId="73469021">
            <w:pPr>
              <w:rPr>
                <w:sz w:val="27"/>
                <w:szCs w:val="22"/>
              </w:rPr>
            </w:pPr>
          </w:p>
        </w:tc>
      </w:tr>
    </w:tbl>
    <w:p w14:paraId="1C8BF07D">
      <w:pPr>
        <w:spacing w:line="360" w:lineRule="auto"/>
        <w:ind w:right="-170" w:rightChars="-71"/>
        <w:rPr>
          <w:rFonts w:ascii="宋体" w:hAnsi="宋体" w:cs="宋体"/>
          <w:lang w:eastAsia="zh-CN"/>
        </w:rPr>
      </w:pPr>
      <w:r>
        <w:rPr>
          <w:rFonts w:ascii="宋体" w:hAnsi="宋体" w:cs="宋体" w:hint="eastAsia"/>
          <w:lang w:eastAsia="zh-CN"/>
        </w:rPr>
        <w:t>注:（1）投标人应根据投标人须知第3.5.3项的要求在本表后附相关证明材料扫描件。</w:t>
      </w:r>
    </w:p>
    <w:p w14:paraId="5661FD15">
      <w:pPr>
        <w:spacing w:line="360" w:lineRule="auto"/>
        <w:ind w:firstLine="480" w:firstLineChars="200"/>
        <w:rPr>
          <w:rFonts w:ascii="宋体" w:hAnsi="宋体" w:cs="宋体" w:hint="eastAsia"/>
          <w:kern w:val="0"/>
          <w:sz w:val="24"/>
          <w:szCs w:val="24"/>
          <w:highlight w:val="none"/>
        </w:rPr>
      </w:pPr>
      <w:r>
        <w:rPr>
          <w:rFonts w:ascii="宋体" w:hAnsi="宋体" w:cs="宋体" w:hint="eastAsia"/>
          <w:kern w:val="0"/>
          <w:sz w:val="24"/>
          <w:szCs w:val="24"/>
          <w:highlight w:val="none"/>
        </w:rPr>
        <w:t>（2）类似项目业绩是指:详见资格条件及评标办法要求，证明材料为合同协议书、竣工验收证明材料（总承包工程是指竣工验收报告，专业承包工程是指专业工程竣工报告或专业工程验收表或发包人&lt;总承包人&gt;出具的证明文件等材料）</w:t>
      </w:r>
      <w:r>
        <w:rPr>
          <w:rFonts w:ascii="宋体" w:hAnsi="宋体" w:cs="宋体" w:hint="eastAsia"/>
          <w:kern w:val="0"/>
          <w:sz w:val="24"/>
          <w:szCs w:val="24"/>
          <w:highlight w:val="none"/>
          <w:lang w:val="en-US" w:eastAsia="zh-CN"/>
        </w:rPr>
        <w:t>。提供的业绩为总承包工程的，还须提供全国建筑市场监管公共服务平台(四库一平台)或四川省建筑市场监管公共服务平台（以下简称“两平台”）业绩信息网页截图，截图内容需确保截图页面内容完整清晰，且体现网站名称、查询网址等关键要素，至少包括“工程基本信息”中的“详细信息”（数据等级应为C级及以上），专业承包工程业绩无需提供“两平台”业绩信息网页截图。</w:t>
      </w:r>
      <w:r>
        <w:rPr>
          <w:rFonts w:ascii="宋体" w:hAnsi="宋体" w:cs="宋体" w:hint="eastAsia"/>
          <w:kern w:val="0"/>
          <w:sz w:val="24"/>
          <w:szCs w:val="24"/>
          <w:highlight w:val="none"/>
        </w:rPr>
        <w:t>类似项目业绩时间以竣工验收证明材料上的竣工时间为准。</w:t>
      </w:r>
    </w:p>
    <w:p w14:paraId="307F4207">
      <w:pPr>
        <w:spacing w:line="360" w:lineRule="auto"/>
        <w:ind w:firstLine="240" w:firstLineChars="100"/>
        <w:rPr>
          <w:rFonts w:ascii="宋体" w:hAnsi="宋体" w:cs="宋体"/>
          <w:kern w:val="0"/>
          <w:sz w:val="24"/>
          <w:szCs w:val="24"/>
          <w:highlight w:val="none"/>
        </w:rPr>
      </w:pPr>
      <w:r>
        <w:rPr>
          <w:rFonts w:ascii="宋体" w:hAnsi="宋体" w:cs="宋体" w:hint="eastAsia"/>
          <w:kern w:val="0"/>
          <w:sz w:val="24"/>
          <w:szCs w:val="24"/>
          <w:highlight w:val="none"/>
        </w:rPr>
        <w:t>（3）</w:t>
      </w:r>
      <w:r>
        <w:rPr>
          <w:rFonts w:ascii="宋体" w:hAnsi="宋体" w:cs="宋体" w:hint="eastAsia"/>
          <w:kern w:val="0"/>
          <w:sz w:val="24"/>
          <w:szCs w:val="24"/>
          <w:highlight w:val="none"/>
          <w:lang w:val="en-US" w:eastAsia="zh-CN"/>
        </w:rPr>
        <w:t>招标文件要求的</w:t>
      </w:r>
      <w:r>
        <w:rPr>
          <w:rFonts w:ascii="宋体" w:hAnsi="宋体" w:cs="宋体" w:hint="eastAsia"/>
          <w:kern w:val="0"/>
          <w:sz w:val="24"/>
          <w:szCs w:val="24"/>
          <w:highlight w:val="none"/>
        </w:rPr>
        <w:t>类似项目业绩的</w:t>
      </w:r>
      <w:r>
        <w:rPr>
          <w:rFonts w:ascii="宋体" w:hAnsi="宋体" w:cs="宋体" w:hint="eastAsia"/>
          <w:kern w:val="0"/>
          <w:sz w:val="24"/>
          <w:szCs w:val="24"/>
          <w:highlight w:val="none"/>
          <w:lang w:val="en-US" w:eastAsia="zh-CN"/>
        </w:rPr>
        <w:t>建设规模或技术指标以</w:t>
      </w:r>
      <w:r>
        <w:rPr>
          <w:rFonts w:ascii="宋体" w:hAnsi="宋体" w:cs="宋体" w:hint="eastAsia"/>
          <w:kern w:val="0"/>
          <w:sz w:val="24"/>
          <w:szCs w:val="24"/>
          <w:highlight w:val="none"/>
        </w:rPr>
        <w:t>合同协议书和除发包人（总承包人）出具的证明文件以外的竣工验收证明材料</w:t>
      </w:r>
      <w:r>
        <w:rPr>
          <w:rFonts w:ascii="宋体" w:hAnsi="宋体" w:cs="宋体" w:hint="eastAsia"/>
          <w:kern w:val="0"/>
          <w:sz w:val="24"/>
          <w:szCs w:val="24"/>
          <w:highlight w:val="none"/>
          <w:lang w:val="en-US" w:eastAsia="zh-CN"/>
        </w:rPr>
        <w:t>为准，若</w:t>
      </w:r>
      <w:r>
        <w:rPr>
          <w:rFonts w:ascii="宋体" w:hAnsi="宋体" w:cs="宋体" w:hint="eastAsia"/>
          <w:kern w:val="0"/>
          <w:sz w:val="24"/>
          <w:szCs w:val="24"/>
          <w:highlight w:val="none"/>
        </w:rPr>
        <w:t>合同协议书和除发包人（总承包人）出具的证明文件以外的竣工验收证明材料无法体现招标文件要求的建设规模或技术指标的，则投标人还需提供发包人（总承包人）出具的证明文件。</w:t>
      </w:r>
    </w:p>
    <w:p w14:paraId="79FBC2F5">
      <w:pPr>
        <w:spacing w:line="360" w:lineRule="auto"/>
        <w:ind w:firstLine="360" w:firstLineChars="150"/>
        <w:rPr>
          <w:rFonts w:ascii="宋体" w:hAnsi="宋体" w:cs="宋体"/>
          <w:lang w:eastAsia="zh-CN"/>
        </w:rPr>
      </w:pPr>
      <w:r>
        <w:rPr>
          <w:rFonts w:ascii="宋体" w:hAnsi="宋体" w:cs="宋体" w:hint="eastAsia"/>
          <w:lang w:eastAsia="zh-CN"/>
        </w:rPr>
        <w:t>（4）若无要求，无需填写。</w:t>
      </w:r>
    </w:p>
    <w:p w14:paraId="3E74BC97">
      <w:pPr>
        <w:spacing w:line="360" w:lineRule="auto"/>
        <w:rPr>
          <w:rFonts w:ascii="宋体" w:hAnsi="宋体" w:cs="宋体"/>
          <w:lang w:eastAsia="zh-CN"/>
        </w:rPr>
        <w:sectPr>
          <w:type w:val="continuous"/>
          <w:pgSz w:w="11906" w:h="16838"/>
          <w:pgMar w:top="1417" w:right="1417" w:bottom="1417" w:left="1417" w:header="851" w:footer="850" w:gutter="0"/>
          <w:cols w:num="1" w:space="720"/>
          <w:docGrid w:type="lines" w:linePitch="312" w:charSpace="0"/>
        </w:sectPr>
      </w:pPr>
    </w:p>
    <w:p w14:paraId="6B3A778C">
      <w:pPr>
        <w:spacing w:beforeAutospacing="1" w:afterAutospacing="1" w:line="360" w:lineRule="auto"/>
        <w:rPr>
          <w:rFonts w:ascii="宋体" w:hAnsi="宋体" w:cs="宋体"/>
          <w:lang w:eastAsia="zh-CN"/>
        </w:rPr>
        <w:sectPr>
          <w:type w:val="continuous"/>
          <w:pgSz w:w="11906" w:h="16838"/>
          <w:pgMar w:top="1417" w:right="1417" w:bottom="1417" w:left="1417" w:header="851" w:footer="850" w:gutter="0"/>
          <w:cols w:num="1" w:space="720"/>
          <w:docGrid w:type="lines" w:linePitch="312" w:charSpace="0"/>
        </w:sectPr>
      </w:pPr>
    </w:p>
    <w:p w14:paraId="0BCAC4FD">
      <w:pPr>
        <w:pStyle w:val="Heading3"/>
        <w:bidi w:val="0"/>
        <w:jc w:val="center"/>
        <w:rPr>
          <w:sz w:val="24"/>
          <w:szCs w:val="24"/>
        </w:rPr>
      </w:pPr>
      <w:r>
        <w:rPr>
          <w:rFonts w:hint="eastAsia"/>
          <w:sz w:val="24"/>
          <w:szCs w:val="24"/>
        </w:rPr>
        <w:t>（四）正在施工和新承接的项目情况表</w:t>
      </w:r>
    </w:p>
    <w:p w14:paraId="1EB2039F">
      <w:pPr>
        <w:bidi w:val="0"/>
        <w:outlineLvl w:val="9"/>
        <w:rPr>
          <w:rFonts w:ascii="宋体" w:hAnsi="宋体"/>
          <w:b/>
        </w:rPr>
      </w:pPr>
      <w:r>
        <w:rPr>
          <w:rFonts w:hint="eastAsia"/>
        </w:rPr>
        <w:t>序号：</w:t>
      </w:r>
      <w:r>
        <w:rPr>
          <w:rFonts w:ascii="宋体" w:hAnsi="宋体" w:hint="eastAsia"/>
          <w:b/>
        </w:rPr>
        <w:t xml:space="preserve">     </w:t>
      </w:r>
    </w:p>
    <w:tbl>
      <w:tblPr>
        <w:tblStyle w:val="TableNormal"/>
        <w:tblpPr w:leftFromText="180" w:rightFromText="180" w:vertAnchor="text" w:horzAnchor="page" w:tblpX="1860" w:tblpY="253"/>
        <w:tblOverlap w:val="never"/>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2448"/>
        <w:gridCol w:w="6076"/>
      </w:tblGrid>
      <w:tr w14:paraId="72983715">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379"/>
        </w:trPr>
        <w:tc>
          <w:tcPr>
            <w:tcW w:w="2448" w:type="dxa"/>
            <w:tcBorders>
              <w:top w:val="single" w:sz="2" w:space="0" w:color="auto"/>
              <w:left w:val="single" w:sz="2" w:space="0" w:color="auto"/>
              <w:bottom w:val="single" w:sz="2" w:space="0" w:color="auto"/>
              <w:right w:val="single" w:sz="2" w:space="0" w:color="auto"/>
            </w:tcBorders>
            <w:vAlign w:val="center"/>
          </w:tcPr>
          <w:p w14:paraId="492EA0F1">
            <w:pPr>
              <w:spacing w:line="360" w:lineRule="auto"/>
              <w:ind w:left="-240" w:right="-240" w:leftChars="-100" w:rightChars="-100"/>
              <w:jc w:val="center"/>
              <w:rPr>
                <w:rFonts w:ascii="宋体" w:hAnsi="宋体"/>
              </w:rPr>
            </w:pPr>
            <w:r>
              <w:rPr>
                <w:rFonts w:ascii="宋体" w:hAnsi="宋体" w:hint="eastAsia"/>
              </w:rPr>
              <w:t>项目名称</w:t>
            </w:r>
          </w:p>
        </w:tc>
        <w:tc>
          <w:tcPr>
            <w:tcW w:w="6076" w:type="dxa"/>
            <w:tcBorders>
              <w:top w:val="single" w:sz="2" w:space="0" w:color="auto"/>
              <w:left w:val="single" w:sz="2" w:space="0" w:color="auto"/>
              <w:bottom w:val="single" w:sz="2" w:space="0" w:color="auto"/>
              <w:right w:val="single" w:sz="2" w:space="0" w:color="auto"/>
            </w:tcBorders>
            <w:vAlign w:val="center"/>
          </w:tcPr>
          <w:p w14:paraId="5AB48A98">
            <w:pPr>
              <w:spacing w:line="360" w:lineRule="auto"/>
              <w:ind w:left="-240" w:right="-240" w:leftChars="-100" w:rightChars="-100"/>
              <w:jc w:val="center"/>
              <w:rPr>
                <w:rFonts w:ascii="宋体" w:hAnsi="宋体"/>
                <w:sz w:val="27"/>
                <w:szCs w:val="22"/>
              </w:rPr>
            </w:pPr>
          </w:p>
        </w:tc>
      </w:tr>
      <w:tr w14:paraId="0058B3CA">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6084FD10">
            <w:pPr>
              <w:spacing w:line="360" w:lineRule="auto"/>
              <w:ind w:left="-240" w:right="-240" w:leftChars="-100" w:rightChars="-100"/>
              <w:jc w:val="center"/>
              <w:rPr>
                <w:rFonts w:ascii="宋体" w:hAnsi="宋体"/>
              </w:rPr>
            </w:pPr>
            <w:r>
              <w:rPr>
                <w:rFonts w:ascii="宋体" w:hAnsi="宋体" w:hint="eastAsia"/>
              </w:rPr>
              <w:t>项目所在地</w:t>
            </w:r>
          </w:p>
        </w:tc>
        <w:tc>
          <w:tcPr>
            <w:tcW w:w="6076" w:type="dxa"/>
            <w:tcBorders>
              <w:top w:val="single" w:sz="2" w:space="0" w:color="auto"/>
              <w:left w:val="single" w:sz="2" w:space="0" w:color="auto"/>
              <w:bottom w:val="single" w:sz="2" w:space="0" w:color="auto"/>
              <w:right w:val="single" w:sz="2" w:space="0" w:color="auto"/>
            </w:tcBorders>
            <w:vAlign w:val="center"/>
          </w:tcPr>
          <w:p w14:paraId="46CBB77A">
            <w:pPr>
              <w:spacing w:line="360" w:lineRule="auto"/>
              <w:ind w:left="-240" w:right="-240" w:leftChars="-100" w:rightChars="-100"/>
              <w:jc w:val="center"/>
              <w:rPr>
                <w:rFonts w:ascii="宋体" w:hAnsi="宋体"/>
                <w:sz w:val="27"/>
                <w:szCs w:val="22"/>
              </w:rPr>
            </w:pPr>
          </w:p>
        </w:tc>
      </w:tr>
      <w:tr w14:paraId="0FA8FB8D">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607AF0EA">
            <w:pPr>
              <w:spacing w:line="360" w:lineRule="auto"/>
              <w:ind w:left="-240" w:right="-240" w:leftChars="-100" w:rightChars="-100"/>
              <w:jc w:val="center"/>
              <w:rPr>
                <w:rFonts w:ascii="宋体" w:hAnsi="宋体"/>
              </w:rPr>
            </w:pPr>
            <w:r>
              <w:rPr>
                <w:rFonts w:ascii="宋体" w:hAnsi="宋体" w:hint="eastAsia"/>
              </w:rPr>
              <w:t>发包人名称</w:t>
            </w:r>
          </w:p>
        </w:tc>
        <w:tc>
          <w:tcPr>
            <w:tcW w:w="6076" w:type="dxa"/>
            <w:tcBorders>
              <w:top w:val="single" w:sz="2" w:space="0" w:color="auto"/>
              <w:left w:val="single" w:sz="2" w:space="0" w:color="auto"/>
              <w:bottom w:val="single" w:sz="2" w:space="0" w:color="auto"/>
              <w:right w:val="single" w:sz="2" w:space="0" w:color="auto"/>
            </w:tcBorders>
            <w:vAlign w:val="center"/>
          </w:tcPr>
          <w:p w14:paraId="19D08BEC">
            <w:pPr>
              <w:spacing w:line="360" w:lineRule="auto"/>
              <w:ind w:left="-240" w:right="-240" w:leftChars="-100" w:rightChars="-100"/>
              <w:jc w:val="center"/>
              <w:rPr>
                <w:rFonts w:ascii="宋体" w:hAnsi="宋体"/>
                <w:sz w:val="27"/>
                <w:szCs w:val="22"/>
              </w:rPr>
            </w:pPr>
          </w:p>
        </w:tc>
      </w:tr>
      <w:tr w14:paraId="7E39FF02">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09397E5D">
            <w:pPr>
              <w:spacing w:line="360" w:lineRule="auto"/>
              <w:ind w:left="-240" w:right="-240" w:leftChars="-100" w:rightChars="-100"/>
              <w:jc w:val="center"/>
              <w:rPr>
                <w:rFonts w:ascii="宋体" w:hAnsi="宋体"/>
              </w:rPr>
            </w:pPr>
            <w:r>
              <w:rPr>
                <w:rFonts w:ascii="宋体" w:hAnsi="宋体" w:hint="eastAsia"/>
              </w:rPr>
              <w:t>发包人地址</w:t>
            </w:r>
          </w:p>
        </w:tc>
        <w:tc>
          <w:tcPr>
            <w:tcW w:w="6076" w:type="dxa"/>
            <w:tcBorders>
              <w:top w:val="single" w:sz="2" w:space="0" w:color="auto"/>
              <w:left w:val="single" w:sz="2" w:space="0" w:color="auto"/>
              <w:bottom w:val="single" w:sz="2" w:space="0" w:color="auto"/>
              <w:right w:val="single" w:sz="2" w:space="0" w:color="auto"/>
            </w:tcBorders>
            <w:vAlign w:val="center"/>
          </w:tcPr>
          <w:p w14:paraId="110A62C2">
            <w:pPr>
              <w:spacing w:line="360" w:lineRule="auto"/>
              <w:ind w:left="-240" w:right="-240" w:leftChars="-100" w:rightChars="-100"/>
              <w:jc w:val="center"/>
              <w:rPr>
                <w:rFonts w:ascii="宋体" w:hAnsi="宋体"/>
                <w:sz w:val="27"/>
                <w:szCs w:val="22"/>
              </w:rPr>
            </w:pPr>
          </w:p>
        </w:tc>
      </w:tr>
      <w:tr w14:paraId="58F6CF9C">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01483DE1">
            <w:pPr>
              <w:spacing w:line="360" w:lineRule="auto"/>
              <w:ind w:left="-240" w:right="-240" w:leftChars="-100" w:rightChars="-100"/>
              <w:jc w:val="center"/>
              <w:rPr>
                <w:rFonts w:ascii="宋体" w:hAnsi="宋体"/>
              </w:rPr>
            </w:pPr>
            <w:r>
              <w:rPr>
                <w:rFonts w:ascii="宋体" w:hAnsi="宋体" w:hint="eastAsia"/>
              </w:rPr>
              <w:t>发包人电话</w:t>
            </w:r>
          </w:p>
        </w:tc>
        <w:tc>
          <w:tcPr>
            <w:tcW w:w="6076" w:type="dxa"/>
            <w:tcBorders>
              <w:top w:val="single" w:sz="2" w:space="0" w:color="auto"/>
              <w:left w:val="single" w:sz="2" w:space="0" w:color="auto"/>
              <w:bottom w:val="single" w:sz="2" w:space="0" w:color="auto"/>
              <w:right w:val="single" w:sz="2" w:space="0" w:color="auto"/>
            </w:tcBorders>
            <w:vAlign w:val="center"/>
          </w:tcPr>
          <w:p w14:paraId="52097F63">
            <w:pPr>
              <w:spacing w:line="360" w:lineRule="auto"/>
              <w:ind w:left="-240" w:right="-240" w:leftChars="-100" w:rightChars="-100"/>
              <w:jc w:val="center"/>
              <w:rPr>
                <w:rFonts w:ascii="宋体" w:hAnsi="宋体"/>
                <w:sz w:val="27"/>
                <w:szCs w:val="22"/>
              </w:rPr>
            </w:pPr>
          </w:p>
        </w:tc>
      </w:tr>
      <w:tr w14:paraId="011FE058">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4AFFD1AA">
            <w:pPr>
              <w:spacing w:line="360" w:lineRule="auto"/>
              <w:ind w:left="-240" w:right="-240" w:leftChars="-100" w:rightChars="-100"/>
              <w:jc w:val="center"/>
              <w:rPr>
                <w:rFonts w:ascii="宋体" w:hAnsi="宋体"/>
              </w:rPr>
            </w:pPr>
            <w:r>
              <w:rPr>
                <w:rFonts w:ascii="宋体" w:hAnsi="宋体" w:hint="eastAsia"/>
              </w:rPr>
              <w:t>签约合同价</w:t>
            </w:r>
          </w:p>
        </w:tc>
        <w:tc>
          <w:tcPr>
            <w:tcW w:w="6076" w:type="dxa"/>
            <w:tcBorders>
              <w:top w:val="single" w:sz="2" w:space="0" w:color="auto"/>
              <w:left w:val="single" w:sz="2" w:space="0" w:color="auto"/>
              <w:bottom w:val="single" w:sz="2" w:space="0" w:color="auto"/>
              <w:right w:val="single" w:sz="2" w:space="0" w:color="auto"/>
            </w:tcBorders>
            <w:vAlign w:val="center"/>
          </w:tcPr>
          <w:p w14:paraId="0B9F1F52">
            <w:pPr>
              <w:spacing w:line="360" w:lineRule="auto"/>
              <w:ind w:left="-240" w:right="-240" w:leftChars="-100" w:rightChars="-100"/>
              <w:jc w:val="center"/>
              <w:rPr>
                <w:rFonts w:ascii="宋体" w:hAnsi="宋体"/>
                <w:sz w:val="27"/>
                <w:szCs w:val="22"/>
              </w:rPr>
            </w:pPr>
          </w:p>
        </w:tc>
      </w:tr>
      <w:tr w14:paraId="658BB84F">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29B2125B">
            <w:pPr>
              <w:spacing w:line="360" w:lineRule="auto"/>
              <w:ind w:left="-240" w:right="-240" w:leftChars="-100" w:rightChars="-100"/>
              <w:jc w:val="center"/>
              <w:rPr>
                <w:rFonts w:ascii="宋体" w:hAnsi="宋体"/>
              </w:rPr>
            </w:pPr>
            <w:r>
              <w:rPr>
                <w:rFonts w:ascii="宋体" w:hAnsi="宋体" w:hint="eastAsia"/>
              </w:rPr>
              <w:t>开工日期</w:t>
            </w:r>
          </w:p>
        </w:tc>
        <w:tc>
          <w:tcPr>
            <w:tcW w:w="6076" w:type="dxa"/>
            <w:tcBorders>
              <w:top w:val="single" w:sz="2" w:space="0" w:color="auto"/>
              <w:left w:val="single" w:sz="2" w:space="0" w:color="auto"/>
              <w:bottom w:val="single" w:sz="2" w:space="0" w:color="auto"/>
              <w:right w:val="single" w:sz="2" w:space="0" w:color="auto"/>
            </w:tcBorders>
            <w:vAlign w:val="center"/>
          </w:tcPr>
          <w:p w14:paraId="4F2E76FC">
            <w:pPr>
              <w:spacing w:line="360" w:lineRule="auto"/>
              <w:ind w:left="-240" w:right="-240" w:leftChars="-100" w:rightChars="-100"/>
              <w:jc w:val="center"/>
              <w:rPr>
                <w:rFonts w:ascii="宋体" w:hAnsi="宋体"/>
                <w:sz w:val="27"/>
                <w:szCs w:val="22"/>
              </w:rPr>
            </w:pPr>
          </w:p>
        </w:tc>
      </w:tr>
      <w:tr w14:paraId="693E5682">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7DBFCA59">
            <w:pPr>
              <w:spacing w:line="360" w:lineRule="auto"/>
              <w:ind w:left="-240" w:right="-240" w:leftChars="-100" w:rightChars="-100"/>
              <w:jc w:val="center"/>
              <w:rPr>
                <w:rFonts w:ascii="宋体" w:hAnsi="宋体"/>
              </w:rPr>
            </w:pPr>
            <w:r>
              <w:rPr>
                <w:rFonts w:ascii="宋体" w:hAnsi="宋体" w:hint="eastAsia"/>
              </w:rPr>
              <w:t>计划竣工日期</w:t>
            </w:r>
          </w:p>
        </w:tc>
        <w:tc>
          <w:tcPr>
            <w:tcW w:w="6076" w:type="dxa"/>
            <w:tcBorders>
              <w:top w:val="single" w:sz="2" w:space="0" w:color="auto"/>
              <w:left w:val="single" w:sz="2" w:space="0" w:color="auto"/>
              <w:bottom w:val="single" w:sz="2" w:space="0" w:color="auto"/>
              <w:right w:val="single" w:sz="2" w:space="0" w:color="auto"/>
            </w:tcBorders>
            <w:vAlign w:val="center"/>
          </w:tcPr>
          <w:p w14:paraId="1769C0FA">
            <w:pPr>
              <w:spacing w:line="360" w:lineRule="auto"/>
              <w:ind w:left="-240" w:right="-240" w:leftChars="-100" w:rightChars="-100"/>
              <w:jc w:val="center"/>
              <w:rPr>
                <w:rFonts w:ascii="宋体" w:hAnsi="宋体"/>
                <w:sz w:val="27"/>
                <w:szCs w:val="22"/>
              </w:rPr>
            </w:pPr>
          </w:p>
        </w:tc>
      </w:tr>
      <w:tr w14:paraId="62AFBAD8">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37B36140">
            <w:pPr>
              <w:spacing w:line="360" w:lineRule="auto"/>
              <w:ind w:left="-240" w:right="-240" w:leftChars="-100" w:rightChars="-100"/>
              <w:jc w:val="center"/>
              <w:rPr>
                <w:rFonts w:ascii="宋体" w:hAnsi="宋体"/>
              </w:rPr>
            </w:pPr>
            <w:r>
              <w:rPr>
                <w:rFonts w:ascii="宋体" w:hAnsi="宋体" w:hint="eastAsia"/>
              </w:rPr>
              <w:t>承担的工作</w:t>
            </w:r>
          </w:p>
        </w:tc>
        <w:tc>
          <w:tcPr>
            <w:tcW w:w="6076" w:type="dxa"/>
            <w:tcBorders>
              <w:top w:val="single" w:sz="2" w:space="0" w:color="auto"/>
              <w:left w:val="single" w:sz="2" w:space="0" w:color="auto"/>
              <w:bottom w:val="single" w:sz="2" w:space="0" w:color="auto"/>
              <w:right w:val="single" w:sz="2" w:space="0" w:color="auto"/>
            </w:tcBorders>
            <w:vAlign w:val="center"/>
          </w:tcPr>
          <w:p w14:paraId="759981A5">
            <w:pPr>
              <w:spacing w:line="360" w:lineRule="auto"/>
              <w:ind w:left="-240" w:right="-240" w:leftChars="-100" w:rightChars="-100"/>
              <w:jc w:val="center"/>
              <w:rPr>
                <w:rFonts w:ascii="宋体" w:hAnsi="宋体"/>
                <w:sz w:val="27"/>
                <w:szCs w:val="22"/>
              </w:rPr>
            </w:pPr>
          </w:p>
        </w:tc>
      </w:tr>
      <w:tr w14:paraId="3C92BB35">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765D9BAE">
            <w:pPr>
              <w:spacing w:line="360" w:lineRule="auto"/>
              <w:ind w:left="-240" w:right="-240" w:leftChars="-100" w:rightChars="-100"/>
              <w:jc w:val="center"/>
              <w:rPr>
                <w:rFonts w:ascii="宋体" w:hAnsi="宋体"/>
              </w:rPr>
            </w:pPr>
            <w:r>
              <w:rPr>
                <w:rFonts w:ascii="宋体" w:hAnsi="宋体" w:hint="eastAsia"/>
              </w:rPr>
              <w:t>工程质量</w:t>
            </w:r>
          </w:p>
        </w:tc>
        <w:tc>
          <w:tcPr>
            <w:tcW w:w="6076" w:type="dxa"/>
            <w:tcBorders>
              <w:top w:val="single" w:sz="2" w:space="0" w:color="auto"/>
              <w:left w:val="single" w:sz="2" w:space="0" w:color="auto"/>
              <w:bottom w:val="single" w:sz="2" w:space="0" w:color="auto"/>
              <w:right w:val="single" w:sz="2" w:space="0" w:color="auto"/>
            </w:tcBorders>
            <w:vAlign w:val="center"/>
          </w:tcPr>
          <w:p w14:paraId="4BDB2F0E">
            <w:pPr>
              <w:spacing w:line="360" w:lineRule="auto"/>
              <w:ind w:left="-240" w:right="-240" w:leftChars="-100" w:rightChars="-100"/>
              <w:jc w:val="center"/>
              <w:rPr>
                <w:rFonts w:ascii="宋体" w:hAnsi="宋体"/>
                <w:sz w:val="27"/>
                <w:szCs w:val="22"/>
              </w:rPr>
            </w:pPr>
          </w:p>
        </w:tc>
      </w:tr>
      <w:tr w14:paraId="6B9F169A">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372A9AEF">
            <w:pPr>
              <w:spacing w:line="360" w:lineRule="auto"/>
              <w:ind w:left="-240" w:right="-240" w:leftChars="-100" w:rightChars="-100"/>
              <w:jc w:val="center"/>
              <w:rPr>
                <w:rFonts w:ascii="宋体" w:hAnsi="宋体"/>
              </w:rPr>
            </w:pPr>
            <w:r>
              <w:rPr>
                <w:rFonts w:ascii="宋体" w:hAnsi="宋体" w:hint="eastAsia"/>
              </w:rPr>
              <w:t>项目经理</w:t>
            </w:r>
          </w:p>
        </w:tc>
        <w:tc>
          <w:tcPr>
            <w:tcW w:w="6076" w:type="dxa"/>
            <w:tcBorders>
              <w:top w:val="single" w:sz="2" w:space="0" w:color="auto"/>
              <w:left w:val="single" w:sz="2" w:space="0" w:color="auto"/>
              <w:bottom w:val="single" w:sz="2" w:space="0" w:color="auto"/>
              <w:right w:val="single" w:sz="2" w:space="0" w:color="auto"/>
            </w:tcBorders>
            <w:vAlign w:val="center"/>
          </w:tcPr>
          <w:p w14:paraId="0B11E712">
            <w:pPr>
              <w:spacing w:line="360" w:lineRule="auto"/>
              <w:ind w:left="-240" w:right="-240" w:leftChars="-100" w:rightChars="-100"/>
              <w:jc w:val="center"/>
              <w:rPr>
                <w:rFonts w:ascii="宋体" w:hAnsi="宋体"/>
                <w:sz w:val="27"/>
                <w:szCs w:val="22"/>
              </w:rPr>
            </w:pPr>
          </w:p>
        </w:tc>
      </w:tr>
      <w:tr w14:paraId="5392BA0F">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4EA4B627">
            <w:pPr>
              <w:spacing w:line="360" w:lineRule="auto"/>
              <w:ind w:left="-240" w:right="-240" w:leftChars="-100" w:rightChars="-100"/>
              <w:jc w:val="center"/>
              <w:rPr>
                <w:rFonts w:ascii="宋体" w:hAnsi="宋体"/>
              </w:rPr>
            </w:pPr>
            <w:r>
              <w:rPr>
                <w:rFonts w:ascii="宋体" w:hAnsi="宋体" w:hint="eastAsia"/>
              </w:rPr>
              <w:t>技术负责人</w:t>
            </w:r>
          </w:p>
        </w:tc>
        <w:tc>
          <w:tcPr>
            <w:tcW w:w="6076" w:type="dxa"/>
            <w:tcBorders>
              <w:top w:val="single" w:sz="2" w:space="0" w:color="auto"/>
              <w:left w:val="single" w:sz="2" w:space="0" w:color="auto"/>
              <w:bottom w:val="single" w:sz="2" w:space="0" w:color="auto"/>
              <w:right w:val="single" w:sz="2" w:space="0" w:color="auto"/>
            </w:tcBorders>
            <w:vAlign w:val="center"/>
          </w:tcPr>
          <w:p w14:paraId="1594D8EA">
            <w:pPr>
              <w:spacing w:line="360" w:lineRule="auto"/>
              <w:ind w:left="-240" w:right="-240" w:leftChars="-100" w:rightChars="-100"/>
              <w:jc w:val="center"/>
              <w:rPr>
                <w:rFonts w:ascii="宋体" w:hAnsi="宋体"/>
                <w:sz w:val="27"/>
                <w:szCs w:val="22"/>
              </w:rPr>
            </w:pPr>
          </w:p>
        </w:tc>
      </w:tr>
      <w:tr w14:paraId="070AD6C0">
        <w:tblPrEx>
          <w:tblW w:w="0" w:type="auto"/>
          <w:tblInd w:w="0" w:type="dxa"/>
          <w:tblLayout w:type="fixed"/>
          <w:tblCellMar>
            <w:top w:w="0" w:type="dxa"/>
            <w:left w:w="108" w:type="dxa"/>
            <w:bottom w:w="0" w:type="dxa"/>
            <w:right w:w="108" w:type="dxa"/>
          </w:tblCellMar>
        </w:tblPrEx>
        <w:trPr>
          <w:trHeight w:val="259"/>
        </w:trPr>
        <w:tc>
          <w:tcPr>
            <w:tcW w:w="2448" w:type="dxa"/>
            <w:tcBorders>
              <w:top w:val="single" w:sz="2" w:space="0" w:color="auto"/>
              <w:left w:val="single" w:sz="2" w:space="0" w:color="auto"/>
              <w:bottom w:val="single" w:sz="2" w:space="0" w:color="auto"/>
              <w:right w:val="single" w:sz="2" w:space="0" w:color="auto"/>
            </w:tcBorders>
            <w:vAlign w:val="center"/>
          </w:tcPr>
          <w:p w14:paraId="6D3A58F7">
            <w:pPr>
              <w:spacing w:line="360" w:lineRule="auto"/>
              <w:ind w:left="-240" w:right="-240" w:leftChars="-100" w:rightChars="-100"/>
              <w:jc w:val="center"/>
              <w:rPr>
                <w:rFonts w:ascii="宋体" w:hAnsi="宋体"/>
              </w:rPr>
            </w:pPr>
            <w:r>
              <w:rPr>
                <w:rFonts w:ascii="宋体" w:hAnsi="宋体" w:hint="eastAsia"/>
              </w:rPr>
              <w:t>总监理工程师及电话</w:t>
            </w:r>
          </w:p>
        </w:tc>
        <w:tc>
          <w:tcPr>
            <w:tcW w:w="6076" w:type="dxa"/>
            <w:tcBorders>
              <w:top w:val="single" w:sz="2" w:space="0" w:color="auto"/>
              <w:left w:val="single" w:sz="2" w:space="0" w:color="auto"/>
              <w:bottom w:val="single" w:sz="2" w:space="0" w:color="auto"/>
              <w:right w:val="single" w:sz="2" w:space="0" w:color="auto"/>
            </w:tcBorders>
            <w:vAlign w:val="center"/>
          </w:tcPr>
          <w:p w14:paraId="523F7384">
            <w:pPr>
              <w:spacing w:line="360" w:lineRule="auto"/>
              <w:ind w:left="-240" w:right="-240" w:leftChars="-100" w:rightChars="-100"/>
              <w:jc w:val="center"/>
              <w:rPr>
                <w:rFonts w:ascii="宋体" w:hAnsi="宋体"/>
                <w:sz w:val="27"/>
                <w:szCs w:val="22"/>
              </w:rPr>
            </w:pPr>
          </w:p>
        </w:tc>
      </w:tr>
      <w:tr w14:paraId="1961F365">
        <w:tblPrEx>
          <w:tblW w:w="0" w:type="auto"/>
          <w:tblInd w:w="0" w:type="dxa"/>
          <w:tblLayout w:type="fixed"/>
          <w:tblCellMar>
            <w:top w:w="0" w:type="dxa"/>
            <w:left w:w="108" w:type="dxa"/>
            <w:bottom w:w="0" w:type="dxa"/>
            <w:right w:w="108" w:type="dxa"/>
          </w:tblCellMar>
        </w:tblPrEx>
        <w:trPr>
          <w:trHeight w:val="454"/>
        </w:trPr>
        <w:tc>
          <w:tcPr>
            <w:tcW w:w="2448" w:type="dxa"/>
            <w:tcBorders>
              <w:top w:val="single" w:sz="2" w:space="0" w:color="auto"/>
              <w:left w:val="single" w:sz="2" w:space="0" w:color="auto"/>
              <w:bottom w:val="single" w:sz="2" w:space="0" w:color="auto"/>
              <w:right w:val="single" w:sz="2" w:space="0" w:color="auto"/>
            </w:tcBorders>
            <w:vAlign w:val="center"/>
          </w:tcPr>
          <w:p w14:paraId="32F81728">
            <w:pPr>
              <w:spacing w:line="360" w:lineRule="auto"/>
              <w:ind w:left="-240" w:right="-240" w:leftChars="-100" w:rightChars="-100"/>
              <w:jc w:val="center"/>
              <w:rPr>
                <w:rFonts w:ascii="宋体" w:hAnsi="宋体"/>
              </w:rPr>
            </w:pPr>
            <w:r>
              <w:rPr>
                <w:rFonts w:ascii="宋体" w:hAnsi="宋体" w:hint="eastAsia"/>
              </w:rPr>
              <w:t>项目描述</w:t>
            </w:r>
          </w:p>
        </w:tc>
        <w:tc>
          <w:tcPr>
            <w:tcW w:w="6076" w:type="dxa"/>
            <w:tcBorders>
              <w:top w:val="single" w:sz="2" w:space="0" w:color="auto"/>
              <w:left w:val="single" w:sz="2" w:space="0" w:color="auto"/>
              <w:bottom w:val="single" w:sz="2" w:space="0" w:color="auto"/>
              <w:right w:val="single" w:sz="2" w:space="0" w:color="auto"/>
            </w:tcBorders>
            <w:vAlign w:val="center"/>
          </w:tcPr>
          <w:p w14:paraId="0C371CD4">
            <w:pPr>
              <w:spacing w:line="360" w:lineRule="auto"/>
              <w:ind w:left="-240" w:right="-240" w:leftChars="-100" w:rightChars="-100"/>
              <w:rPr>
                <w:rFonts w:ascii="宋体" w:hAnsi="宋体"/>
                <w:sz w:val="27"/>
                <w:szCs w:val="22"/>
              </w:rPr>
            </w:pPr>
          </w:p>
        </w:tc>
      </w:tr>
      <w:tr w14:paraId="0D8FE1F5">
        <w:tblPrEx>
          <w:tblW w:w="0" w:type="auto"/>
          <w:tblInd w:w="0" w:type="dxa"/>
          <w:tblLayout w:type="fixed"/>
          <w:tblCellMar>
            <w:top w:w="0" w:type="dxa"/>
            <w:left w:w="108" w:type="dxa"/>
            <w:bottom w:w="0" w:type="dxa"/>
            <w:right w:w="108" w:type="dxa"/>
          </w:tblCellMar>
        </w:tblPrEx>
        <w:tc>
          <w:tcPr>
            <w:tcW w:w="2448" w:type="dxa"/>
            <w:tcBorders>
              <w:top w:val="single" w:sz="2" w:space="0" w:color="auto"/>
              <w:left w:val="single" w:sz="2" w:space="0" w:color="auto"/>
              <w:bottom w:val="single" w:sz="2" w:space="0" w:color="auto"/>
              <w:right w:val="single" w:sz="2" w:space="0" w:color="auto"/>
            </w:tcBorders>
            <w:vAlign w:val="center"/>
          </w:tcPr>
          <w:p w14:paraId="5D4EF441">
            <w:pPr>
              <w:spacing w:line="360" w:lineRule="auto"/>
              <w:ind w:left="-240" w:right="-240" w:leftChars="-100" w:rightChars="-100"/>
              <w:jc w:val="center"/>
              <w:rPr>
                <w:rFonts w:ascii="宋体" w:hAnsi="宋体"/>
              </w:rPr>
            </w:pPr>
            <w:r>
              <w:rPr>
                <w:rFonts w:ascii="宋体" w:hAnsi="宋体" w:hint="eastAsia"/>
              </w:rPr>
              <w:t>备注</w:t>
            </w:r>
          </w:p>
        </w:tc>
        <w:tc>
          <w:tcPr>
            <w:tcW w:w="6076" w:type="dxa"/>
            <w:tcBorders>
              <w:top w:val="single" w:sz="2" w:space="0" w:color="auto"/>
              <w:left w:val="single" w:sz="2" w:space="0" w:color="auto"/>
              <w:bottom w:val="single" w:sz="2" w:space="0" w:color="auto"/>
              <w:right w:val="single" w:sz="2" w:space="0" w:color="auto"/>
            </w:tcBorders>
            <w:vAlign w:val="center"/>
          </w:tcPr>
          <w:p w14:paraId="09B29F69">
            <w:pPr>
              <w:spacing w:line="360" w:lineRule="auto"/>
              <w:ind w:left="-240" w:right="-240" w:leftChars="-100" w:rightChars="-100"/>
              <w:rPr>
                <w:rFonts w:ascii="宋体" w:hAnsi="宋体"/>
                <w:sz w:val="27"/>
                <w:szCs w:val="22"/>
              </w:rPr>
            </w:pPr>
          </w:p>
        </w:tc>
      </w:tr>
    </w:tbl>
    <w:p w14:paraId="4BA2B091">
      <w:pPr>
        <w:spacing w:line="336" w:lineRule="auto"/>
        <w:ind w:right="-170" w:rightChars="-71"/>
        <w:rPr>
          <w:rFonts w:ascii="宋体" w:hAnsi="宋体" w:cs="宋体"/>
          <w:lang w:eastAsia="zh-CN"/>
        </w:rPr>
      </w:pPr>
      <w:r>
        <w:rPr>
          <w:rFonts w:ascii="宋体" w:hAnsi="宋体" w:cs="宋体" w:hint="eastAsia"/>
          <w:lang w:eastAsia="zh-CN"/>
        </w:rPr>
        <w:t>注:（1）投标人应根据投标人须知第3.5.4项的要求在本表后附相关证明材料扫描件。</w:t>
      </w:r>
    </w:p>
    <w:p w14:paraId="1E4B2BE5">
      <w:pPr>
        <w:spacing w:line="336" w:lineRule="auto"/>
        <w:ind w:firstLine="360" w:firstLineChars="150"/>
        <w:rPr>
          <w:rFonts w:ascii="宋体" w:hAnsi="宋体" w:cs="宋体"/>
          <w:lang w:eastAsia="zh-CN"/>
        </w:rPr>
      </w:pPr>
      <w:r>
        <w:rPr>
          <w:rFonts w:ascii="宋体" w:hAnsi="宋体" w:cs="宋体" w:hint="eastAsia"/>
          <w:lang w:eastAsia="zh-CN"/>
        </w:rPr>
        <w:t>（2）类似项目业绩是指:详见资格条件及评标办法要求，证明材料为合同协议书。类似项目业绩时间以合同协议书签订时间为准。</w:t>
      </w:r>
    </w:p>
    <w:p w14:paraId="3F75D42A">
      <w:pPr>
        <w:spacing w:line="336" w:lineRule="auto"/>
        <w:ind w:firstLine="360" w:firstLineChars="150"/>
        <w:rPr>
          <w:rFonts w:ascii="宋体" w:hAnsi="宋体" w:cs="宋体"/>
          <w:lang w:eastAsia="zh-CN"/>
        </w:rPr>
      </w:pPr>
      <w:r>
        <w:rPr>
          <w:rFonts w:ascii="宋体" w:hAnsi="宋体" w:cs="宋体" w:hint="eastAsia"/>
          <w:lang w:eastAsia="zh-CN"/>
        </w:rPr>
        <w:t>（3）类似项目业绩的合同协议书无法体现招标文件要求的建设规模或技术指标的，则投标人还需提交发包人出具的证明文件。</w:t>
      </w:r>
    </w:p>
    <w:p w14:paraId="1874A9A5">
      <w:pPr>
        <w:spacing w:line="336" w:lineRule="auto"/>
        <w:ind w:firstLine="360" w:firstLineChars="150"/>
        <w:rPr>
          <w:rFonts w:ascii="宋体" w:hAnsi="宋体" w:cs="宋体"/>
          <w:lang w:eastAsia="zh-CN"/>
        </w:rPr>
      </w:pPr>
      <w:r>
        <w:rPr>
          <w:rFonts w:ascii="宋体" w:hAnsi="宋体" w:cs="宋体" w:hint="eastAsia"/>
          <w:lang w:eastAsia="zh-CN"/>
        </w:rPr>
        <w:t>（4）若无要求，无需填写。</w:t>
      </w:r>
    </w:p>
    <w:p w14:paraId="3CF76AD8">
      <w:pPr>
        <w:rPr>
          <w:rFonts w:ascii="宋体" w:hAnsi="宋体" w:cs="宋体"/>
          <w:lang w:eastAsia="zh-CN"/>
        </w:rPr>
      </w:pPr>
    </w:p>
    <w:p w14:paraId="329143A8">
      <w:pPr>
        <w:tabs>
          <w:tab w:val="left" w:pos="1002"/>
        </w:tabs>
        <w:rPr>
          <w:rFonts w:ascii="宋体" w:hAnsi="宋体"/>
          <w:sz w:val="27"/>
          <w:szCs w:val="22"/>
          <w:lang w:eastAsia="zh-CN"/>
        </w:rPr>
      </w:pPr>
      <w:r>
        <w:rPr>
          <w:rFonts w:ascii="宋体" w:hAnsi="宋体"/>
          <w:sz w:val="27"/>
          <w:szCs w:val="22"/>
          <w:lang w:eastAsia="zh-CN"/>
        </w:rPr>
        <w:tab/>
      </w:r>
    </w:p>
    <w:p w14:paraId="7E322CC1">
      <w:pPr>
        <w:tabs>
          <w:tab w:val="left" w:pos="1002"/>
        </w:tabs>
        <w:rPr>
          <w:rFonts w:ascii="宋体" w:hAnsi="宋体"/>
          <w:sz w:val="27"/>
          <w:szCs w:val="22"/>
          <w:lang w:eastAsia="zh-CN"/>
        </w:rPr>
      </w:pPr>
    </w:p>
    <w:p w14:paraId="403D4F3D">
      <w:pPr>
        <w:tabs>
          <w:tab w:val="left" w:pos="1002"/>
        </w:tabs>
        <w:rPr>
          <w:rFonts w:ascii="宋体" w:hAnsi="宋体"/>
          <w:sz w:val="27"/>
          <w:szCs w:val="22"/>
          <w:lang w:eastAsia="zh-CN"/>
        </w:rPr>
      </w:pPr>
    </w:p>
    <w:p w14:paraId="49D9F6F8">
      <w:pPr>
        <w:tabs>
          <w:tab w:val="left" w:pos="1002"/>
        </w:tabs>
        <w:rPr>
          <w:rFonts w:ascii="宋体" w:hAnsi="宋体"/>
          <w:sz w:val="27"/>
          <w:szCs w:val="22"/>
          <w:lang w:eastAsia="zh-CN"/>
        </w:rPr>
      </w:pPr>
    </w:p>
    <w:p w14:paraId="372A14B1">
      <w:pPr>
        <w:pStyle w:val="Heading3"/>
        <w:spacing w:line="36" w:lineRule="auto"/>
        <w:jc w:val="center"/>
        <w:rPr>
          <w:rFonts w:ascii="宋体" w:hAnsi="宋体"/>
          <w:sz w:val="27"/>
        </w:rPr>
      </w:pPr>
      <w:bookmarkStart w:id="1545" w:name="_Toc256000113"/>
      <w:r>
        <w:rPr>
          <w:rFonts w:ascii="宋体" w:hAnsi="宋体" w:hint="eastAsia"/>
          <w:sz w:val="27"/>
        </w:rPr>
        <w:t>（五）近年发生的诉讼及仲裁情况</w:t>
      </w:r>
      <w:bookmarkEnd w:id="1545"/>
    </w:p>
    <w:tbl>
      <w:tblPr>
        <w:tblStyle w:val="TableNormal"/>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
      <w:tblGrid>
        <w:gridCol w:w="993"/>
        <w:gridCol w:w="1712"/>
        <w:gridCol w:w="2976"/>
        <w:gridCol w:w="2842"/>
      </w:tblGrid>
      <w:tr w14:paraId="168FF397">
        <w:tblPrEx>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PrEx>
        <w:trPr>
          <w:trHeight w:val="1042"/>
        </w:trPr>
        <w:tc>
          <w:tcPr>
            <w:tcW w:w="993" w:type="dxa"/>
            <w:tcBorders>
              <w:top w:val="single" w:sz="2" w:space="0" w:color="auto"/>
              <w:left w:val="single" w:sz="2" w:space="0" w:color="auto"/>
              <w:bottom w:val="single" w:sz="2" w:space="0" w:color="auto"/>
              <w:right w:val="single" w:sz="2" w:space="0" w:color="auto"/>
            </w:tcBorders>
            <w:vAlign w:val="center"/>
          </w:tcPr>
          <w:p w14:paraId="0BA05486">
            <w:pPr>
              <w:rPr>
                <w:lang w:eastAsia="zh-CN"/>
              </w:rPr>
            </w:pPr>
            <w:r>
              <w:rPr>
                <w:rFonts w:hint="eastAsia"/>
                <w:lang w:eastAsia="zh-CN"/>
              </w:rPr>
              <w:t>序号</w:t>
            </w:r>
          </w:p>
        </w:tc>
        <w:tc>
          <w:tcPr>
            <w:tcW w:w="1712" w:type="dxa"/>
            <w:tcBorders>
              <w:top w:val="single" w:sz="2" w:space="0" w:color="auto"/>
              <w:left w:val="single" w:sz="2" w:space="0" w:color="auto"/>
              <w:bottom w:val="single" w:sz="2" w:space="0" w:color="auto"/>
              <w:right w:val="single" w:sz="2" w:space="0" w:color="auto"/>
            </w:tcBorders>
            <w:vAlign w:val="center"/>
          </w:tcPr>
          <w:p w14:paraId="37B21D08">
            <w:pPr>
              <w:rPr>
                <w:lang w:eastAsia="zh-CN"/>
              </w:rPr>
            </w:pPr>
            <w:r>
              <w:rPr>
                <w:rFonts w:hint="eastAsia"/>
                <w:lang w:eastAsia="zh-CN"/>
              </w:rPr>
              <w:t>案由</w:t>
            </w:r>
          </w:p>
        </w:tc>
        <w:tc>
          <w:tcPr>
            <w:tcW w:w="2976" w:type="dxa"/>
            <w:tcBorders>
              <w:top w:val="single" w:sz="2" w:space="0" w:color="auto"/>
              <w:left w:val="single" w:sz="2" w:space="0" w:color="auto"/>
              <w:bottom w:val="single" w:sz="2" w:space="0" w:color="auto"/>
              <w:right w:val="single" w:sz="2" w:space="0" w:color="auto"/>
            </w:tcBorders>
            <w:vAlign w:val="center"/>
          </w:tcPr>
          <w:p w14:paraId="64BDDD3C">
            <w:pPr>
              <w:rPr>
                <w:lang w:eastAsia="zh-CN"/>
              </w:rPr>
            </w:pPr>
            <w:r>
              <w:rPr>
                <w:rFonts w:hint="eastAsia"/>
                <w:lang w:eastAsia="zh-CN"/>
              </w:rPr>
              <w:t>双方当事人名称</w:t>
            </w:r>
          </w:p>
        </w:tc>
        <w:tc>
          <w:tcPr>
            <w:tcW w:w="2842" w:type="dxa"/>
            <w:tcBorders>
              <w:top w:val="single" w:sz="2" w:space="0" w:color="auto"/>
              <w:left w:val="single" w:sz="2" w:space="0" w:color="auto"/>
              <w:bottom w:val="single" w:sz="2" w:space="0" w:color="auto"/>
              <w:right w:val="single" w:sz="2" w:space="0" w:color="auto"/>
            </w:tcBorders>
            <w:vAlign w:val="center"/>
          </w:tcPr>
          <w:p w14:paraId="2C5BAD70">
            <w:pPr>
              <w:rPr>
                <w:lang w:eastAsia="zh-CN"/>
              </w:rPr>
            </w:pPr>
            <w:r>
              <w:rPr>
                <w:rFonts w:hint="eastAsia"/>
                <w:lang w:eastAsia="zh-CN"/>
              </w:rPr>
              <w:t>判决、裁决时间</w:t>
            </w:r>
          </w:p>
        </w:tc>
      </w:tr>
      <w:tr w14:paraId="2A00ED37">
        <w:tblPrEx>
          <w:tblW w:w="0" w:type="auto"/>
          <w:tblInd w:w="0" w:type="dxa"/>
          <w:tblLayout w:type="fixed"/>
          <w:tblCellMar>
            <w:top w:w="0" w:type="dxa"/>
            <w:left w:w="108" w:type="dxa"/>
            <w:bottom w:w="0" w:type="dxa"/>
            <w:right w:w="108" w:type="dxa"/>
          </w:tblCellMar>
        </w:tblPrEx>
        <w:tc>
          <w:tcPr>
            <w:tcW w:w="993" w:type="dxa"/>
            <w:tcBorders>
              <w:top w:val="single" w:sz="2" w:space="0" w:color="auto"/>
              <w:left w:val="single" w:sz="2" w:space="0" w:color="auto"/>
              <w:bottom w:val="single" w:sz="2" w:space="0" w:color="auto"/>
              <w:right w:val="single" w:sz="2" w:space="0" w:color="auto"/>
            </w:tcBorders>
            <w:vAlign w:val="center"/>
          </w:tcPr>
          <w:p w14:paraId="2891F1E1">
            <w:pPr>
              <w:rPr>
                <w:lang w:eastAsia="zh-CN"/>
              </w:rPr>
            </w:pPr>
            <w:r>
              <w:rPr>
                <w:rFonts w:hint="eastAsia"/>
                <w:lang w:eastAsia="zh-CN"/>
              </w:rPr>
              <w:t>1</w:t>
            </w:r>
          </w:p>
        </w:tc>
        <w:tc>
          <w:tcPr>
            <w:tcW w:w="1712" w:type="dxa"/>
            <w:tcBorders>
              <w:top w:val="single" w:sz="2" w:space="0" w:color="auto"/>
              <w:left w:val="single" w:sz="2" w:space="0" w:color="auto"/>
              <w:bottom w:val="single" w:sz="2" w:space="0" w:color="auto"/>
              <w:right w:val="single" w:sz="2" w:space="0" w:color="auto"/>
            </w:tcBorders>
            <w:vAlign w:val="center"/>
          </w:tcPr>
          <w:p w14:paraId="2476B8AC">
            <w:pPr>
              <w:rPr>
                <w:lang w:eastAsia="zh-CN"/>
              </w:rPr>
            </w:pPr>
            <w:r>
              <w:rPr>
                <w:rFonts w:hint="eastAsia"/>
                <w:lang w:eastAsia="zh-CN"/>
              </w:rPr>
              <w:t>……</w:t>
            </w:r>
          </w:p>
        </w:tc>
        <w:tc>
          <w:tcPr>
            <w:tcW w:w="2976" w:type="dxa"/>
            <w:tcBorders>
              <w:top w:val="single" w:sz="2" w:space="0" w:color="auto"/>
              <w:left w:val="single" w:sz="2" w:space="0" w:color="auto"/>
              <w:bottom w:val="single" w:sz="2" w:space="0" w:color="auto"/>
              <w:right w:val="single" w:sz="2" w:space="0" w:color="auto"/>
            </w:tcBorders>
            <w:vAlign w:val="center"/>
          </w:tcPr>
          <w:p w14:paraId="735D509C">
            <w:pPr>
              <w:rPr>
                <w:lang w:eastAsia="zh-CN"/>
              </w:rPr>
            </w:pPr>
            <w:r>
              <w:rPr>
                <w:rFonts w:hint="eastAsia"/>
                <w:lang w:eastAsia="zh-CN"/>
              </w:rPr>
              <w:t>……</w:t>
            </w:r>
          </w:p>
        </w:tc>
        <w:tc>
          <w:tcPr>
            <w:tcW w:w="2842" w:type="dxa"/>
            <w:tcBorders>
              <w:top w:val="single" w:sz="2" w:space="0" w:color="auto"/>
              <w:left w:val="single" w:sz="2" w:space="0" w:color="auto"/>
              <w:bottom w:val="single" w:sz="2" w:space="0" w:color="auto"/>
              <w:right w:val="single" w:sz="2" w:space="0" w:color="auto"/>
            </w:tcBorders>
            <w:vAlign w:val="center"/>
          </w:tcPr>
          <w:p w14:paraId="5FCAD008">
            <w:pPr>
              <w:rPr>
                <w:lang w:eastAsia="zh-CN"/>
              </w:rPr>
            </w:pPr>
            <w:r>
              <w:rPr>
                <w:rFonts w:hint="eastAsia"/>
                <w:lang w:eastAsia="zh-CN"/>
              </w:rPr>
              <w:t>……</w:t>
            </w:r>
          </w:p>
        </w:tc>
      </w:tr>
      <w:tr w14:paraId="1B3A2566">
        <w:tblPrEx>
          <w:tblW w:w="0" w:type="auto"/>
          <w:tblInd w:w="0" w:type="dxa"/>
          <w:tblLayout w:type="fixed"/>
          <w:tblCellMar>
            <w:top w:w="0" w:type="dxa"/>
            <w:left w:w="108" w:type="dxa"/>
            <w:bottom w:w="0" w:type="dxa"/>
            <w:right w:w="108" w:type="dxa"/>
          </w:tblCellMar>
        </w:tblPrEx>
        <w:tc>
          <w:tcPr>
            <w:tcW w:w="993" w:type="dxa"/>
            <w:tcBorders>
              <w:top w:val="single" w:sz="2" w:space="0" w:color="auto"/>
              <w:left w:val="single" w:sz="2" w:space="0" w:color="auto"/>
              <w:bottom w:val="single" w:sz="2" w:space="0" w:color="auto"/>
              <w:right w:val="single" w:sz="2" w:space="0" w:color="auto"/>
            </w:tcBorders>
            <w:vAlign w:val="center"/>
          </w:tcPr>
          <w:p w14:paraId="1834C967">
            <w:pPr>
              <w:rPr>
                <w:lang w:eastAsia="zh-CN"/>
              </w:rPr>
            </w:pPr>
            <w:r>
              <w:rPr>
                <w:rFonts w:hint="eastAsia"/>
                <w:lang w:eastAsia="zh-CN"/>
              </w:rPr>
              <w:t>……</w:t>
            </w:r>
          </w:p>
        </w:tc>
        <w:tc>
          <w:tcPr>
            <w:tcW w:w="1712" w:type="dxa"/>
            <w:tcBorders>
              <w:top w:val="single" w:sz="2" w:space="0" w:color="auto"/>
              <w:left w:val="single" w:sz="2" w:space="0" w:color="auto"/>
              <w:bottom w:val="single" w:sz="2" w:space="0" w:color="auto"/>
              <w:right w:val="single" w:sz="2" w:space="0" w:color="auto"/>
            </w:tcBorders>
            <w:vAlign w:val="center"/>
          </w:tcPr>
          <w:p w14:paraId="6E78A013">
            <w:pPr>
              <w:rPr>
                <w:lang w:eastAsia="zh-CN"/>
              </w:rPr>
            </w:pPr>
            <w:r>
              <w:rPr>
                <w:rFonts w:hint="eastAsia"/>
                <w:lang w:eastAsia="zh-CN"/>
              </w:rPr>
              <w:t>……</w:t>
            </w:r>
          </w:p>
        </w:tc>
        <w:tc>
          <w:tcPr>
            <w:tcW w:w="2976" w:type="dxa"/>
            <w:tcBorders>
              <w:top w:val="single" w:sz="2" w:space="0" w:color="auto"/>
              <w:left w:val="single" w:sz="2" w:space="0" w:color="auto"/>
              <w:bottom w:val="single" w:sz="2" w:space="0" w:color="auto"/>
              <w:right w:val="single" w:sz="2" w:space="0" w:color="auto"/>
            </w:tcBorders>
            <w:vAlign w:val="center"/>
          </w:tcPr>
          <w:p w14:paraId="5DB588F4">
            <w:pPr>
              <w:rPr>
                <w:lang w:eastAsia="zh-CN"/>
              </w:rPr>
            </w:pPr>
            <w:r>
              <w:rPr>
                <w:rFonts w:hint="eastAsia"/>
                <w:lang w:eastAsia="zh-CN"/>
              </w:rPr>
              <w:t>……</w:t>
            </w:r>
          </w:p>
        </w:tc>
        <w:tc>
          <w:tcPr>
            <w:tcW w:w="2842" w:type="dxa"/>
            <w:tcBorders>
              <w:top w:val="single" w:sz="2" w:space="0" w:color="auto"/>
              <w:left w:val="single" w:sz="2" w:space="0" w:color="auto"/>
              <w:bottom w:val="single" w:sz="2" w:space="0" w:color="auto"/>
              <w:right w:val="single" w:sz="2" w:space="0" w:color="auto"/>
            </w:tcBorders>
            <w:vAlign w:val="center"/>
          </w:tcPr>
          <w:p w14:paraId="7C5B8D8C">
            <w:pPr>
              <w:rPr>
                <w:lang w:eastAsia="zh-CN"/>
              </w:rPr>
            </w:pPr>
            <w:r>
              <w:rPr>
                <w:rFonts w:hint="eastAsia"/>
                <w:lang w:eastAsia="zh-CN"/>
              </w:rPr>
              <w:t>……</w:t>
            </w:r>
          </w:p>
        </w:tc>
      </w:tr>
      <w:tr w14:paraId="360B428A">
        <w:tblPrEx>
          <w:tblW w:w="0" w:type="auto"/>
          <w:tblInd w:w="0" w:type="dxa"/>
          <w:tblLayout w:type="fixed"/>
          <w:tblCellMar>
            <w:top w:w="0" w:type="dxa"/>
            <w:left w:w="108" w:type="dxa"/>
            <w:bottom w:w="0" w:type="dxa"/>
            <w:right w:w="108" w:type="dxa"/>
          </w:tblCellMar>
        </w:tblPrEx>
        <w:tc>
          <w:tcPr>
            <w:tcW w:w="993" w:type="dxa"/>
            <w:tcBorders>
              <w:top w:val="single" w:sz="2" w:space="0" w:color="auto"/>
              <w:left w:val="single" w:sz="2" w:space="0" w:color="auto"/>
              <w:bottom w:val="single" w:sz="2" w:space="0" w:color="auto"/>
              <w:right w:val="single" w:sz="2" w:space="0" w:color="auto"/>
            </w:tcBorders>
            <w:vAlign w:val="center"/>
          </w:tcPr>
          <w:p w14:paraId="2622CDAD">
            <w:pPr>
              <w:rPr>
                <w:lang w:eastAsia="zh-CN"/>
              </w:rPr>
            </w:pPr>
            <w:r>
              <w:rPr>
                <w:rFonts w:hint="eastAsia"/>
                <w:lang w:eastAsia="zh-CN"/>
              </w:rPr>
              <w:t>……</w:t>
            </w:r>
          </w:p>
        </w:tc>
        <w:tc>
          <w:tcPr>
            <w:tcW w:w="1712" w:type="dxa"/>
            <w:tcBorders>
              <w:top w:val="single" w:sz="2" w:space="0" w:color="auto"/>
              <w:left w:val="single" w:sz="2" w:space="0" w:color="auto"/>
              <w:bottom w:val="single" w:sz="2" w:space="0" w:color="auto"/>
              <w:right w:val="single" w:sz="2" w:space="0" w:color="auto"/>
            </w:tcBorders>
            <w:vAlign w:val="center"/>
          </w:tcPr>
          <w:p w14:paraId="69046E47">
            <w:pPr>
              <w:rPr>
                <w:lang w:eastAsia="zh-CN"/>
              </w:rPr>
            </w:pPr>
            <w:r>
              <w:rPr>
                <w:rFonts w:hint="eastAsia"/>
                <w:lang w:eastAsia="zh-CN"/>
              </w:rPr>
              <w:t>……</w:t>
            </w:r>
          </w:p>
        </w:tc>
        <w:tc>
          <w:tcPr>
            <w:tcW w:w="2976" w:type="dxa"/>
            <w:tcBorders>
              <w:top w:val="single" w:sz="2" w:space="0" w:color="auto"/>
              <w:left w:val="single" w:sz="2" w:space="0" w:color="auto"/>
              <w:bottom w:val="single" w:sz="2" w:space="0" w:color="auto"/>
              <w:right w:val="single" w:sz="2" w:space="0" w:color="auto"/>
            </w:tcBorders>
            <w:vAlign w:val="center"/>
          </w:tcPr>
          <w:p w14:paraId="731A0847">
            <w:pPr>
              <w:rPr>
                <w:lang w:eastAsia="zh-CN"/>
              </w:rPr>
            </w:pPr>
            <w:r>
              <w:rPr>
                <w:rFonts w:hint="eastAsia"/>
                <w:lang w:eastAsia="zh-CN"/>
              </w:rPr>
              <w:t>……</w:t>
            </w:r>
          </w:p>
        </w:tc>
        <w:tc>
          <w:tcPr>
            <w:tcW w:w="2842" w:type="dxa"/>
            <w:tcBorders>
              <w:top w:val="single" w:sz="2" w:space="0" w:color="auto"/>
              <w:left w:val="single" w:sz="2" w:space="0" w:color="auto"/>
              <w:bottom w:val="single" w:sz="2" w:space="0" w:color="auto"/>
              <w:right w:val="single" w:sz="2" w:space="0" w:color="auto"/>
            </w:tcBorders>
            <w:vAlign w:val="center"/>
          </w:tcPr>
          <w:p w14:paraId="52A44697">
            <w:pPr>
              <w:rPr>
                <w:lang w:eastAsia="zh-CN"/>
              </w:rPr>
            </w:pPr>
            <w:r>
              <w:rPr>
                <w:rFonts w:hint="eastAsia"/>
                <w:lang w:eastAsia="zh-CN"/>
              </w:rPr>
              <w:t>……</w:t>
            </w:r>
          </w:p>
        </w:tc>
      </w:tr>
    </w:tbl>
    <w:p w14:paraId="3AEB3664">
      <w:pPr>
        <w:spacing w:line="360" w:lineRule="auto"/>
        <w:ind w:firstLine="360" w:firstLineChars="150"/>
        <w:rPr>
          <w:rFonts w:ascii="宋体" w:hAnsi="宋体" w:cs="宋体"/>
          <w:lang w:eastAsia="zh-CN"/>
        </w:rPr>
      </w:pPr>
      <w:r>
        <w:rPr>
          <w:rFonts w:ascii="宋体" w:hAnsi="宋体" w:cs="宋体" w:hint="eastAsia"/>
          <w:lang w:eastAsia="zh-CN"/>
        </w:rPr>
        <w:t>注：（1）本表为调查表，填写投标人认为可能影响其履约能力的诉讼、仲裁情况，并按投标人须知第3.5.5项的要求在本表后附相关证明材料扫描件。</w:t>
      </w:r>
    </w:p>
    <w:p w14:paraId="5F68F729">
      <w:pPr>
        <w:spacing w:line="360" w:lineRule="auto"/>
        <w:ind w:firstLine="840" w:firstLineChars="350"/>
        <w:rPr>
          <w:rFonts w:ascii="宋体" w:hAnsi="宋体" w:cs="宋体"/>
          <w:lang w:eastAsia="zh-CN"/>
        </w:rPr>
      </w:pPr>
      <w:r>
        <w:rPr>
          <w:rFonts w:ascii="宋体" w:hAnsi="宋体" w:cs="宋体" w:hint="eastAsia"/>
          <w:lang w:eastAsia="zh-CN"/>
        </w:rPr>
        <w:t>（2）诉讼、仲裁的起算时间为法院或仲裁机构作出的判决、裁决文书的时间。</w:t>
      </w:r>
    </w:p>
    <w:p w14:paraId="2E6EB909">
      <w:pPr>
        <w:spacing w:line="360" w:lineRule="auto"/>
        <w:ind w:firstLine="840" w:firstLineChars="350"/>
        <w:rPr>
          <w:rFonts w:ascii="宋体" w:hAnsi="宋体" w:cs="宋体"/>
          <w:lang w:eastAsia="zh-CN"/>
        </w:rPr>
      </w:pPr>
      <w:r>
        <w:rPr>
          <w:rFonts w:ascii="宋体" w:hAnsi="宋体" w:cs="宋体" w:hint="eastAsia"/>
          <w:lang w:eastAsia="zh-CN"/>
        </w:rPr>
        <w:t>（3）若为联合体投标，所有成员单位均须提供。</w:t>
      </w:r>
    </w:p>
    <w:p w14:paraId="269C75D1">
      <w:pPr>
        <w:spacing w:line="36" w:lineRule="auto"/>
        <w:rPr>
          <w:rFonts w:ascii="宋体" w:hAnsi="宋体"/>
          <w:kern w:val="2"/>
          <w:szCs w:val="22"/>
          <w:lang w:eastAsia="zh-CN"/>
        </w:rPr>
      </w:pPr>
    </w:p>
    <w:p w14:paraId="1C0D60AE">
      <w:pPr>
        <w:rPr>
          <w:rFonts w:ascii="宋体" w:hAnsi="宋体"/>
          <w:lang w:eastAsia="zh-CN"/>
        </w:rPr>
      </w:pPr>
      <w:r>
        <w:rPr>
          <w:rFonts w:ascii="宋体" w:hAnsi="宋体" w:hint="eastAsia"/>
          <w:lang w:eastAsia="zh-CN"/>
        </w:rPr>
        <w:br w:type="page"/>
      </w:r>
    </w:p>
    <w:p w14:paraId="114BA1AB">
      <w:pPr>
        <w:spacing w:line="36" w:lineRule="auto"/>
        <w:rPr>
          <w:rFonts w:ascii="宋体" w:hAnsi="宋体"/>
          <w:lang w:eastAsia="zh-CN"/>
        </w:rPr>
      </w:pPr>
    </w:p>
    <w:p w14:paraId="6FDF971E">
      <w:pPr>
        <w:pStyle w:val="Heading2"/>
        <w:spacing w:line="36" w:lineRule="auto"/>
        <w:jc w:val="center"/>
        <w:rPr>
          <w:rFonts w:ascii="宋体" w:hAnsi="宋体"/>
          <w:sz w:val="27"/>
        </w:rPr>
      </w:pPr>
      <w:bookmarkStart w:id="1546" w:name="_Toc256000114"/>
      <w:r>
        <w:rPr>
          <w:rFonts w:ascii="宋体" w:hAnsi="宋体" w:hint="eastAsia"/>
          <w:sz w:val="27"/>
        </w:rPr>
        <w:t>十、其他材料</w:t>
      </w:r>
      <w:bookmarkEnd w:id="1546"/>
    </w:p>
    <w:p w14:paraId="677C8299">
      <w:pPr>
        <w:spacing w:line="36" w:lineRule="auto"/>
        <w:rPr>
          <w:rFonts w:ascii="宋体" w:hAnsi="宋体"/>
          <w:sz w:val="25"/>
          <w:lang w:eastAsia="zh-CN"/>
        </w:rPr>
      </w:pPr>
    </w:p>
    <w:p w14:paraId="0DA1DAF5">
      <w:pPr>
        <w:rPr>
          <w:rFonts w:ascii="宋体" w:hAnsi="宋体"/>
          <w:sz w:val="18"/>
          <w:lang w:eastAsia="zh-CN"/>
        </w:rPr>
      </w:pPr>
    </w:p>
    <w:p w14:paraId="686859D1">
      <w:pPr>
        <w:spacing w:line="36" w:lineRule="auto"/>
        <w:rPr>
          <w:rFonts w:ascii="宋体" w:hAnsi="宋体"/>
          <w:sz w:val="27"/>
          <w:lang w:eastAsia="zh-CN"/>
        </w:rPr>
      </w:pPr>
    </w:p>
    <w:p w14:paraId="0F6AEC65">
      <w:pPr>
        <w:spacing w:line="36" w:lineRule="auto"/>
        <w:rPr>
          <w:rFonts w:ascii="宋体" w:hAnsi="宋体"/>
          <w:sz w:val="27"/>
          <w:lang w:eastAsia="zh-CN"/>
        </w:rPr>
      </w:pPr>
    </w:p>
    <w:p w14:paraId="64EFD585">
      <w:pPr>
        <w:spacing w:line="36" w:lineRule="auto"/>
        <w:rPr>
          <w:rFonts w:ascii="宋体" w:hAnsi="宋体"/>
          <w:sz w:val="27"/>
          <w:lang w:eastAsia="zh-CN"/>
        </w:rPr>
      </w:pPr>
    </w:p>
    <w:p w14:paraId="5F242B90">
      <w:pPr>
        <w:spacing w:line="36" w:lineRule="auto"/>
        <w:rPr>
          <w:rFonts w:ascii="宋体" w:hAnsi="宋体"/>
          <w:sz w:val="27"/>
          <w:lang w:eastAsia="zh-CN"/>
        </w:rPr>
      </w:pPr>
    </w:p>
    <w:p w14:paraId="75F0B4B1">
      <w:pPr>
        <w:spacing w:line="36" w:lineRule="auto"/>
        <w:rPr>
          <w:rFonts w:ascii="宋体" w:hAnsi="宋体"/>
          <w:sz w:val="27"/>
          <w:lang w:eastAsia="zh-CN"/>
        </w:rPr>
      </w:pPr>
    </w:p>
    <w:p w14:paraId="2C2DBC9B">
      <w:pPr>
        <w:spacing w:line="360" w:lineRule="auto"/>
        <w:rPr>
          <w:rFonts w:ascii="Calibri" w:hAnsi="Calibri"/>
          <w:sz w:val="21"/>
          <w:lang w:eastAsia="zh-CN"/>
        </w:rPr>
      </w:pPr>
      <w:r>
        <w:rPr>
          <w:lang w:eastAsia="zh-CN"/>
        </w:rPr>
        <w:t xml:space="preserve">    </w:t>
      </w:r>
      <w:r>
        <w:rPr>
          <w:rFonts w:ascii="宋体" w:hAnsi="宋体" w:hint="eastAsia"/>
          <w:lang w:eastAsia="zh-CN"/>
        </w:rPr>
        <w:t>注：招标人要求投标人提供的其他资料应在第二章“投标人须知前附表”3.1.1“构成投标文件的其他资料”中列出。</w:t>
      </w:r>
    </w:p>
    <w:p w14:paraId="223840A1">
      <w:pPr>
        <w:rPr>
          <w:lang w:eastAsia="zh-CN"/>
        </w:rPr>
      </w:pPr>
    </w:p>
    <w:p w14:paraId="01939BD2">
      <w:pPr>
        <w:rPr>
          <w:lang w:eastAsia="zh-CN"/>
        </w:rPr>
      </w:pPr>
    </w:p>
    <w:p w14:paraId="63B8AFC2">
      <w:pPr>
        <w:rPr>
          <w:lang w:eastAsia="zh-CN"/>
        </w:rPr>
      </w:pPr>
    </w:p>
    <w:p w14:paraId="423157BA">
      <w:pPr>
        <w:rPr>
          <w:lang w:eastAsia="zh-CN"/>
        </w:rPr>
      </w:pPr>
    </w:p>
    <w:p w14:paraId="76F120F2">
      <w:pPr>
        <w:rPr>
          <w:lang w:eastAsia="zh-CN"/>
        </w:rPr>
      </w:pPr>
    </w:p>
    <w:p w14:paraId="3997BABA">
      <w:pPr>
        <w:rPr>
          <w:lang w:eastAsia="zh-CN"/>
        </w:rPr>
      </w:pPr>
    </w:p>
    <w:p w14:paraId="4DA4623B">
      <w:pPr>
        <w:rPr>
          <w:lang w:eastAsia="zh-CN"/>
        </w:rPr>
      </w:pPr>
    </w:p>
    <w:p w14:paraId="147B6140">
      <w:pPr>
        <w:rPr>
          <w:lang w:eastAsia="zh-CN"/>
        </w:rPr>
      </w:pPr>
    </w:p>
    <w:p w14:paraId="6E147643">
      <w:pPr>
        <w:rPr>
          <w:lang w:eastAsia="zh-CN"/>
        </w:rPr>
      </w:pPr>
    </w:p>
    <w:p w14:paraId="3EFF9813">
      <w:pPr>
        <w:rPr>
          <w:lang w:eastAsia="zh-CN"/>
        </w:rPr>
      </w:pPr>
    </w:p>
    <w:p w14:paraId="7E6419B6">
      <w:pPr>
        <w:rPr>
          <w:lang w:eastAsia="zh-CN"/>
        </w:rPr>
      </w:pPr>
    </w:p>
    <w:p w14:paraId="3C61785F">
      <w:pPr>
        <w:rPr>
          <w:lang w:eastAsia="zh-CN"/>
        </w:rPr>
      </w:pPr>
    </w:p>
    <w:p w14:paraId="4E27BCD8">
      <w:pPr>
        <w:rPr>
          <w:lang w:eastAsia="zh-CN"/>
        </w:rPr>
      </w:pPr>
    </w:p>
    <w:p w14:paraId="1D43E971">
      <w:pPr>
        <w:rPr>
          <w:lang w:eastAsia="zh-CN"/>
        </w:rPr>
      </w:pPr>
    </w:p>
    <w:p w14:paraId="595FAC7E">
      <w:pPr>
        <w:rPr>
          <w:lang w:eastAsia="zh-CN"/>
        </w:rPr>
      </w:pPr>
    </w:p>
    <w:p w14:paraId="458AFFF2">
      <w:pPr>
        <w:rPr>
          <w:lang w:eastAsia="zh-CN"/>
        </w:rPr>
      </w:pPr>
    </w:p>
    <w:p w14:paraId="04EB6BE7">
      <w:pPr>
        <w:rPr>
          <w:lang w:eastAsia="zh-CN"/>
        </w:rPr>
      </w:pPr>
    </w:p>
    <w:p w14:paraId="61D9DA68">
      <w:pPr>
        <w:rPr>
          <w:lang w:eastAsia="zh-CN"/>
        </w:rPr>
      </w:pPr>
    </w:p>
    <w:p w14:paraId="3E88CDD3">
      <w:pPr>
        <w:rPr>
          <w:lang w:eastAsia="zh-CN"/>
        </w:rPr>
      </w:pPr>
    </w:p>
    <w:p w14:paraId="258F02DA">
      <w:pPr>
        <w:rPr>
          <w:lang w:eastAsia="zh-CN"/>
        </w:rPr>
      </w:pPr>
    </w:p>
    <w:p w14:paraId="3557E729">
      <w:pPr>
        <w:rPr>
          <w:lang w:eastAsia="zh-CN"/>
        </w:rPr>
      </w:pPr>
    </w:p>
    <w:p w14:paraId="11031039">
      <w:pPr>
        <w:rPr>
          <w:lang w:eastAsia="zh-CN"/>
        </w:rPr>
      </w:pPr>
    </w:p>
    <w:p w14:paraId="2FB39252">
      <w:pPr>
        <w:rPr>
          <w:lang w:eastAsia="zh-CN"/>
        </w:rPr>
      </w:pPr>
    </w:p>
    <w:p w14:paraId="3F288284">
      <w:pPr>
        <w:rPr>
          <w:lang w:eastAsia="zh-CN"/>
        </w:rPr>
      </w:pPr>
    </w:p>
    <w:sdt>
      <w:sdtPr>
        <w:rPr>
          <w:rFonts w:ascii="宋体" w:hAnsi="宋体" w:eastAsiaTheme="minorEastAsia" w:cs="Times New Roman" w:hint="eastAsia"/>
          <w:sz w:val="25"/>
          <w:szCs w:val="24"/>
          <w:highlight w:val="yellow"/>
          <w:lang w:val="en-US" w:eastAsia="en-US" w:bidi="ar-SA"/>
        </w:rPr>
        <w:id w:val="147456586"/>
        <w14:checkbox>
          <w14:checked w14:val="0"/>
          <w14:checkedState w14:val="2611" w14:font="MS Gothic"/>
          <w14:uncheckedState w14:val="2610" w14:font="MS Gothic"/>
        </w14:checkbox>
      </w:sdtPr>
      <w:sdtEndPr>
        <w:rPr>
          <w:rFonts w:ascii="宋体" w:hAnsi="宋体" w:eastAsiaTheme="minorEastAsia" w:cs="Times New Roman" w:hint="eastAsia"/>
          <w:sz w:val="25"/>
          <w:szCs w:val="24"/>
          <w:highlight w:val="yellow"/>
          <w:lang w:val="en-US" w:eastAsia="zh-CN" w:bidi="ar-SA"/>
        </w:rPr>
      </w:sdtEndPr>
      <w:sdtContent>
        <w:p w14:paraId="2D43D66C">
          <w:pPr>
            <w:spacing w:line="36" w:lineRule="auto"/>
            <w:rPr>
              <w:rFonts w:ascii="宋体" w:hAnsi="宋体" w:hint="eastAsia"/>
              <w:sz w:val="25"/>
              <w:highlight w:val="yellow"/>
              <w:lang w:val="en-US" w:eastAsia="zh-CN"/>
            </w:rPr>
          </w:pPr>
          <w:r>
            <w:rPr>
              <w:rFonts w:ascii="MS Gothic" w:eastAsia="MS Gothic" w:hAnsi="MS Gothic" w:cs="MS Gothic"/>
            </w:rPr>
            <w:t>☐</w:t>
          </w:r>
        </w:p>
      </w:sdtContent>
    </w:sdt>
    <w:p w14:paraId="3301FF1F">
      <w:pPr>
        <w:spacing w:line="36" w:lineRule="auto"/>
        <w:jc w:val="center"/>
        <w:rPr>
          <w:rFonts w:ascii="宋体" w:hAnsi="宋体" w:hint="eastAsia"/>
          <w:b/>
          <w:bCs/>
          <w:sz w:val="28"/>
          <w:szCs w:val="24"/>
          <w:highlight w:val="none"/>
        </w:rPr>
      </w:pPr>
      <w:r>
        <w:rPr>
          <w:rFonts w:ascii="宋体" w:hAnsi="宋体" w:hint="eastAsia"/>
          <w:b/>
          <w:bCs/>
          <w:sz w:val="28"/>
          <w:szCs w:val="24"/>
          <w:highlight w:val="none"/>
        </w:rPr>
        <w:t>中小企业声明函</w:t>
      </w:r>
    </w:p>
    <w:p w14:paraId="3669029F">
      <w:pPr>
        <w:spacing w:line="36" w:lineRule="auto"/>
        <w:ind w:firstLine="500" w:firstLineChars="200"/>
        <w:rPr>
          <w:rFonts w:ascii="宋体" w:hAnsi="宋体" w:hint="eastAsia"/>
          <w:sz w:val="25"/>
          <w:highlight w:val="none"/>
          <w:lang w:val="en-US" w:eastAsia="zh-CN"/>
        </w:rPr>
      </w:pPr>
      <w:r>
        <w:rPr>
          <w:rFonts w:ascii="宋体" w:hAnsi="宋体" w:hint="eastAsia"/>
          <w:sz w:val="25"/>
          <w:highlight w:val="none"/>
          <w:lang w:val="en-US" w:eastAsia="zh-CN"/>
        </w:rPr>
        <w:t>本单</w:t>
      </w:r>
      <w:r>
        <w:rPr>
          <w:rFonts w:ascii="宋体" w:hAnsi="宋体" w:hint="eastAsia"/>
          <w:sz w:val="24"/>
          <w:szCs w:val="22"/>
          <w:highlight w:val="none"/>
          <w:lang w:val="en-US" w:eastAsia="zh-CN"/>
        </w:rPr>
        <w:t>位郑重</w:t>
      </w:r>
      <w:r>
        <w:rPr>
          <w:rFonts w:ascii="宋体" w:hAnsi="宋体" w:hint="eastAsia"/>
          <w:sz w:val="25"/>
          <w:highlight w:val="none"/>
          <w:lang w:val="en-US" w:eastAsia="zh-CN"/>
        </w:rPr>
        <w:t>声明，根据《四川省人民政府办公厅关于深化改革创新促进招标投标市场规范健康发展的意见》（川办规（2025）8号）的规定，本单位参加</w:t>
      </w:r>
      <w:r>
        <w:rPr>
          <w:rFonts w:ascii="宋体" w:hAnsi="宋体" w:hint="eastAsia"/>
          <w:sz w:val="25"/>
          <w:highlight w:val="none"/>
          <w:u w:val="single"/>
        </w:rPr>
        <w:t xml:space="preserve">        </w:t>
      </w:r>
      <w:r>
        <w:rPr>
          <w:rFonts w:ascii="宋体" w:hAnsi="宋体" w:hint="eastAsia"/>
          <w:sz w:val="25"/>
          <w:highlight w:val="none"/>
          <w:lang w:val="en-US" w:eastAsia="zh-CN"/>
        </w:rPr>
        <w:t>（招标人名称）的</w:t>
      </w:r>
      <w:r>
        <w:rPr>
          <w:rFonts w:ascii="宋体" w:hAnsi="宋体" w:hint="eastAsia"/>
          <w:sz w:val="25"/>
          <w:highlight w:val="none"/>
          <w:u w:val="single"/>
        </w:rPr>
        <w:t xml:space="preserve">          </w:t>
      </w:r>
      <w:r>
        <w:rPr>
          <w:rFonts w:ascii="宋体" w:hAnsi="宋体" w:hint="eastAsia"/>
          <w:sz w:val="25"/>
          <w:highlight w:val="none"/>
          <w:u w:val="single"/>
          <w:lang w:val="en-US" w:eastAsia="zh-CN"/>
        </w:rPr>
        <w:t xml:space="preserve"> </w:t>
      </w:r>
      <w:r>
        <w:rPr>
          <w:rFonts w:ascii="宋体" w:hAnsi="宋体" w:hint="eastAsia"/>
          <w:sz w:val="25"/>
          <w:highlight w:val="none"/>
          <w:lang w:val="en-US" w:eastAsia="zh-CN"/>
        </w:rPr>
        <w:t>（项目名称、标段名称）招标活动，本单位的具体情况如下：</w:t>
      </w:r>
    </w:p>
    <w:p w14:paraId="154E7E90">
      <w:pPr>
        <w:spacing w:line="36" w:lineRule="auto"/>
        <w:ind w:firstLine="500" w:firstLineChars="200"/>
        <w:rPr>
          <w:rFonts w:ascii="宋体" w:hAnsi="宋体" w:hint="eastAsia"/>
          <w:sz w:val="25"/>
          <w:highlight w:val="none"/>
          <w:lang w:val="en-US" w:eastAsia="zh-CN"/>
        </w:rPr>
      </w:pPr>
      <w:r>
        <w:rPr>
          <w:rFonts w:ascii="宋体" w:hAnsi="宋体" w:hint="eastAsia"/>
          <w:sz w:val="25"/>
          <w:highlight w:val="none"/>
          <w:u w:val="single"/>
        </w:rPr>
        <w:t xml:space="preserve">    </w:t>
      </w:r>
      <w:r>
        <w:rPr>
          <w:rFonts w:ascii="宋体" w:hAnsi="宋体" w:hint="eastAsia"/>
          <w:sz w:val="25"/>
          <w:highlight w:val="none"/>
          <w:u w:val="single"/>
          <w:lang w:val="en-US" w:eastAsia="zh-CN"/>
        </w:rPr>
        <w:t xml:space="preserve">    </w:t>
      </w:r>
      <w:r>
        <w:rPr>
          <w:rFonts w:ascii="宋体" w:hAnsi="宋体" w:hint="eastAsia"/>
          <w:sz w:val="25"/>
          <w:highlight w:val="none"/>
          <w:u w:val="single"/>
        </w:rPr>
        <w:t xml:space="preserve">    </w:t>
      </w:r>
      <w:r>
        <w:rPr>
          <w:rFonts w:ascii="宋体" w:hAnsi="宋体" w:hint="eastAsia"/>
          <w:sz w:val="25"/>
          <w:highlight w:val="none"/>
          <w:lang w:val="en-US" w:eastAsia="zh-CN"/>
        </w:rPr>
        <w:t>（项目名称、标段名称）</w:t>
      </w:r>
      <w:r>
        <w:rPr>
          <w:rFonts w:ascii="宋体" w:hAnsi="宋体" w:hint="eastAsia"/>
          <w:sz w:val="25"/>
          <w:highlight w:val="none"/>
        </w:rPr>
        <w:t>属于</w:t>
      </w:r>
      <w:r>
        <w:rPr>
          <w:rFonts w:ascii="宋体" w:hAnsi="宋体" w:hint="eastAsia"/>
          <w:sz w:val="25"/>
          <w:highlight w:val="none"/>
          <w:lang w:val="en-US" w:eastAsia="zh-CN"/>
        </w:rPr>
        <w:t>建筑业；</w:t>
      </w:r>
      <w:r>
        <w:rPr>
          <w:rFonts w:ascii="宋体" w:hAnsi="宋体" w:hint="eastAsia"/>
          <w:sz w:val="25"/>
          <w:highlight w:val="none"/>
        </w:rPr>
        <w:t xml:space="preserve"> 承建（承接）企业为</w:t>
      </w:r>
      <w:r>
        <w:rPr>
          <w:rFonts w:ascii="宋体" w:hAnsi="宋体" w:hint="eastAsia"/>
          <w:sz w:val="25"/>
          <w:highlight w:val="none"/>
          <w:u w:val="single"/>
          <w:lang w:val="en-US" w:eastAsia="zh-CN"/>
        </w:rPr>
        <w:t xml:space="preserve">              </w:t>
      </w:r>
      <w:r>
        <w:rPr>
          <w:rFonts w:ascii="宋体" w:hAnsi="宋体" w:hint="eastAsia"/>
          <w:sz w:val="25"/>
          <w:highlight w:val="none"/>
          <w:lang w:val="en-US" w:eastAsia="zh-CN"/>
        </w:rPr>
        <w:t>（单位名称），</w:t>
      </w:r>
      <w:r>
        <w:rPr>
          <w:rFonts w:ascii="宋体" w:hAnsi="宋体" w:hint="eastAsia"/>
          <w:sz w:val="25"/>
          <w:highlight w:val="none"/>
        </w:rPr>
        <w:t>营业收入为</w:t>
      </w:r>
      <w:r>
        <w:rPr>
          <w:rFonts w:ascii="宋体" w:hAnsi="宋体" w:hint="eastAsia"/>
          <w:sz w:val="25"/>
          <w:highlight w:val="none"/>
          <w:u w:val="single"/>
        </w:rPr>
        <w:t xml:space="preserve">      </w:t>
      </w:r>
      <w:r>
        <w:rPr>
          <w:rFonts w:ascii="宋体" w:hAnsi="宋体" w:hint="eastAsia"/>
          <w:sz w:val="25"/>
          <w:highlight w:val="none"/>
        </w:rPr>
        <w:t>万元，资产总额为</w:t>
      </w:r>
      <w:r>
        <w:rPr>
          <w:rFonts w:ascii="宋体" w:hAnsi="宋体" w:hint="eastAsia"/>
          <w:sz w:val="25"/>
          <w:highlight w:val="none"/>
          <w:u w:val="single"/>
        </w:rPr>
        <w:t xml:space="preserve">      </w:t>
      </w:r>
      <w:r>
        <w:rPr>
          <w:rFonts w:ascii="宋体" w:hAnsi="宋体" w:hint="eastAsia"/>
          <w:sz w:val="25"/>
          <w:highlight w:val="none"/>
        </w:rPr>
        <w:t>万元，属于</w:t>
      </w:r>
      <w:r>
        <w:rPr>
          <w:rFonts w:ascii="宋体" w:hAnsi="宋体" w:hint="eastAsia"/>
          <w:sz w:val="25"/>
          <w:highlight w:val="none"/>
          <w:u w:val="single"/>
          <w:lang w:val="en-US" w:eastAsia="zh-CN"/>
        </w:rPr>
        <w:t xml:space="preserve">    （中型企业或小型企业或微型企业）</w:t>
      </w:r>
      <w:r>
        <w:rPr>
          <w:rFonts w:ascii="宋体" w:hAnsi="宋体" w:hint="eastAsia"/>
          <w:sz w:val="25"/>
          <w:highlight w:val="none"/>
          <w:lang w:val="en-US" w:eastAsia="zh-CN"/>
        </w:rPr>
        <w:t>；</w:t>
      </w:r>
    </w:p>
    <w:p w14:paraId="5A09FEF4">
      <w:pPr>
        <w:spacing w:line="36" w:lineRule="auto"/>
        <w:ind w:firstLine="500" w:firstLineChars="200"/>
        <w:rPr>
          <w:rFonts w:ascii="宋体" w:hAnsi="宋体" w:hint="eastAsia"/>
          <w:sz w:val="25"/>
          <w:highlight w:val="none"/>
        </w:rPr>
      </w:pPr>
      <w:r>
        <w:rPr>
          <w:rFonts w:ascii="宋体" w:hAnsi="宋体" w:hint="eastAsia"/>
          <w:sz w:val="25"/>
          <w:highlight w:val="none"/>
          <w:lang w:val="en-US" w:eastAsia="zh-CN"/>
        </w:rPr>
        <w:t>本单位声明</w:t>
      </w:r>
      <w:r>
        <w:rPr>
          <w:rFonts w:ascii="宋体" w:hAnsi="宋体" w:hint="eastAsia"/>
          <w:sz w:val="25"/>
          <w:highlight w:val="none"/>
        </w:rPr>
        <w:t>不属于大企业的分支机构，不存在控股股东为大企业的情形，也不存在与大企业的负责人为同一人的情形。</w:t>
      </w:r>
    </w:p>
    <w:p w14:paraId="1AE886DD">
      <w:pPr>
        <w:spacing w:line="36" w:lineRule="auto"/>
        <w:ind w:firstLine="500" w:firstLineChars="200"/>
        <w:rPr>
          <w:rFonts w:ascii="宋体" w:hAnsi="宋体" w:hint="eastAsia"/>
          <w:sz w:val="25"/>
          <w:highlight w:val="none"/>
        </w:rPr>
      </w:pPr>
      <w:r>
        <w:rPr>
          <w:rFonts w:ascii="宋体" w:hAnsi="宋体" w:hint="eastAsia"/>
          <w:sz w:val="25"/>
          <w:highlight w:val="none"/>
        </w:rPr>
        <w:t>本</w:t>
      </w:r>
      <w:r>
        <w:rPr>
          <w:rFonts w:ascii="宋体" w:hAnsi="宋体" w:hint="eastAsia"/>
          <w:sz w:val="25"/>
          <w:highlight w:val="none"/>
          <w:lang w:val="en-US" w:eastAsia="zh-CN"/>
        </w:rPr>
        <w:t>单位</w:t>
      </w:r>
      <w:r>
        <w:rPr>
          <w:rFonts w:ascii="宋体" w:hAnsi="宋体" w:hint="eastAsia"/>
          <w:sz w:val="25"/>
          <w:highlight w:val="none"/>
        </w:rPr>
        <w:t>对上述声明内容的真实性负责。如有虚假，将依法承担相应责任。</w:t>
      </w:r>
    </w:p>
    <w:p w14:paraId="4794FAF2">
      <w:pPr>
        <w:spacing w:line="36" w:lineRule="auto"/>
        <w:rPr>
          <w:rFonts w:ascii="宋体" w:hAnsi="宋体" w:hint="eastAsia"/>
          <w:sz w:val="25"/>
          <w:highlight w:val="none"/>
        </w:rPr>
      </w:pPr>
    </w:p>
    <w:p w14:paraId="7E2B763F">
      <w:pPr>
        <w:spacing w:line="36" w:lineRule="auto"/>
        <w:jc w:val="right"/>
        <w:rPr>
          <w:rFonts w:ascii="宋体" w:hAnsi="宋体" w:hint="eastAsia"/>
          <w:sz w:val="25"/>
          <w:highlight w:val="none"/>
          <w:lang w:eastAsia="zh-CN"/>
        </w:rPr>
      </w:pPr>
      <w:r>
        <w:rPr>
          <w:rFonts w:ascii="宋体" w:hAnsi="宋体" w:hint="eastAsia"/>
          <w:sz w:val="25"/>
          <w:highlight w:val="none"/>
          <w:lang w:val="en-US" w:eastAsia="zh-CN"/>
        </w:rPr>
        <w:t>声明单位：</w:t>
      </w:r>
      <w:r>
        <w:rPr>
          <w:rFonts w:ascii="宋体" w:hAnsi="宋体" w:hint="eastAsia"/>
          <w:sz w:val="25"/>
          <w:highlight w:val="none"/>
          <w:u w:val="single"/>
          <w:lang w:val="en-US" w:eastAsia="zh-CN"/>
        </w:rPr>
        <w:t xml:space="preserve">       </w:t>
      </w:r>
      <w:r>
        <w:rPr>
          <w:rFonts w:ascii="宋体" w:hAnsi="宋体" w:hint="eastAsia"/>
          <w:sz w:val="25"/>
          <w:highlight w:val="none"/>
          <w:lang w:eastAsia="zh-CN"/>
        </w:rPr>
        <w:t>（</w:t>
      </w:r>
      <w:r>
        <w:rPr>
          <w:rFonts w:ascii="宋体" w:hAnsi="宋体" w:hint="eastAsia"/>
          <w:sz w:val="25"/>
          <w:highlight w:val="none"/>
          <w:lang w:val="en-US" w:eastAsia="zh-CN"/>
        </w:rPr>
        <w:t>盖单位章</w:t>
      </w:r>
      <w:r>
        <w:rPr>
          <w:rFonts w:ascii="宋体" w:hAnsi="宋体" w:hint="eastAsia"/>
          <w:sz w:val="25"/>
          <w:highlight w:val="none"/>
          <w:lang w:eastAsia="zh-CN"/>
        </w:rPr>
        <w:t>）</w:t>
      </w:r>
    </w:p>
    <w:p w14:paraId="76CD6FC5">
      <w:pPr>
        <w:spacing w:line="36" w:lineRule="auto"/>
        <w:jc w:val="right"/>
        <w:rPr>
          <w:rFonts w:ascii="宋体" w:hAnsi="宋体" w:hint="eastAsia"/>
          <w:sz w:val="25"/>
          <w:highlight w:val="none"/>
          <w:lang w:val="en-US" w:eastAsia="en-US"/>
        </w:rPr>
      </w:pPr>
      <w:bookmarkStart w:id="1547" w:name="bookmark2"/>
      <w:bookmarkEnd w:id="1547"/>
      <w:r>
        <w:rPr>
          <w:rFonts w:ascii="宋体" w:hAnsi="宋体" w:hint="eastAsia"/>
          <w:sz w:val="25"/>
          <w:highlight w:val="none"/>
          <w:lang w:val="en-US" w:eastAsia="en-US"/>
        </w:rPr>
        <w:t>____年____月____日</w:t>
      </w:r>
    </w:p>
    <w:p w14:paraId="3B877081">
      <w:pPr>
        <w:spacing w:line="36" w:lineRule="auto"/>
        <w:rPr>
          <w:rFonts w:ascii="宋体" w:hAnsi="宋体" w:hint="eastAsia"/>
          <w:sz w:val="25"/>
          <w:highlight w:val="none"/>
          <w:lang w:val="en-US" w:eastAsia="en-US"/>
        </w:rPr>
      </w:pPr>
    </w:p>
    <w:p w14:paraId="5B9C02B2">
      <w:pPr>
        <w:spacing w:line="36" w:lineRule="auto"/>
        <w:rPr>
          <w:rFonts w:ascii="宋体" w:hAnsi="宋体" w:hint="eastAsia"/>
          <w:sz w:val="25"/>
          <w:highlight w:val="none"/>
          <w:lang w:val="en-US" w:eastAsia="zh-CN"/>
        </w:rPr>
      </w:pPr>
      <w:r>
        <w:rPr>
          <w:rFonts w:ascii="宋体" w:hAnsi="宋体" w:hint="eastAsia"/>
          <w:sz w:val="25"/>
          <w:highlight w:val="none"/>
          <w:lang w:val="en-US" w:eastAsia="zh-CN"/>
        </w:rPr>
        <w:t>注:</w:t>
      </w:r>
    </w:p>
    <w:p w14:paraId="2E888607">
      <w:pPr>
        <w:spacing w:line="36" w:lineRule="auto"/>
        <w:ind w:firstLine="500" w:firstLineChars="200"/>
        <w:rPr>
          <w:rFonts w:ascii="宋体" w:hAnsi="宋体" w:hint="eastAsia"/>
          <w:sz w:val="25"/>
          <w:highlight w:val="none"/>
          <w:lang w:val="en-US" w:eastAsia="zh-CN"/>
        </w:rPr>
      </w:pPr>
      <w:r>
        <w:rPr>
          <w:rFonts w:ascii="宋体" w:hAnsi="宋体" w:hint="eastAsia"/>
          <w:sz w:val="25"/>
          <w:highlight w:val="none"/>
          <w:lang w:val="en-US" w:eastAsia="zh-CN"/>
        </w:rPr>
        <w:t>1、投标人根据《工业和信息化部、国家统计局、国家发展和改革委员会、财政部关于印发中小企业划型标准规定的通知》(工信部联企业(2011)300号)规定，结合自身实际，确定对应的中小企业划型。</w:t>
      </w:r>
    </w:p>
    <w:p w14:paraId="02C4C730">
      <w:pPr>
        <w:spacing w:line="36" w:lineRule="auto"/>
        <w:ind w:firstLine="500" w:firstLineChars="200"/>
        <w:rPr>
          <w:rFonts w:ascii="宋体" w:hAnsi="宋体" w:hint="eastAsia"/>
          <w:sz w:val="25"/>
          <w:highlight w:val="none"/>
          <w:lang w:val="en-US" w:eastAsia="zh-CN"/>
        </w:rPr>
      </w:pPr>
      <w:r>
        <w:rPr>
          <w:rFonts w:ascii="宋体" w:hAnsi="宋体" w:hint="eastAsia"/>
          <w:sz w:val="25"/>
          <w:highlight w:val="none"/>
          <w:lang w:val="en-US" w:eastAsia="zh-CN"/>
        </w:rPr>
        <w:t>2、营业收入、资产总额填报上一年度数据，无上一年度数据的新成立企业从业人员、营业收入、资产总额填0或不填，根据提交投标文件时的实际情况填写企业类型。“上一年度”时间认定分两种情况。例：招标文件开始下载的时间在6月1日以前的，上一年度是指当年之前的1个年度或当年的上一年之前的1个年度。如某项目招标，招标文件开始下载的时间是2020年5 月1日，“上一年度”是指2019 年度或2018 年度，采用哪个年度，由投标人选择；招标文件开始下载的时间在6 月 1 日以后（含6月1日）的，“上一年度”是指当年之前的1个年度，如某项目招标，招标文件开始下载的时间是 2020 年 6月5日，“上一年度”是指2019年度。</w:t>
      </w:r>
    </w:p>
    <w:p w14:paraId="1C48E71A">
      <w:pPr>
        <w:spacing w:line="36" w:lineRule="auto"/>
        <w:ind w:firstLine="500" w:firstLineChars="200"/>
        <w:rPr>
          <w:rFonts w:ascii="宋体" w:hAnsi="宋体" w:hint="eastAsia"/>
          <w:sz w:val="25"/>
          <w:highlight w:val="none"/>
          <w:lang w:val="en-US" w:eastAsia="zh-CN"/>
        </w:rPr>
        <w:sectPr>
          <w:pgSz w:w="11906" w:h="16838"/>
          <w:pgMar w:top="1440" w:right="1800" w:bottom="1440" w:left="1800" w:header="851" w:footer="992" w:gutter="0"/>
          <w:cols w:num="1" w:space="720"/>
          <w:docGrid w:type="lines" w:linePitch="312" w:charSpace="0"/>
        </w:sectPr>
      </w:pPr>
      <w:r>
        <w:rPr>
          <w:rFonts w:ascii="宋体" w:hAnsi="宋体" w:hint="eastAsia"/>
          <w:sz w:val="25"/>
          <w:highlight w:val="none"/>
          <w:lang w:val="en-US" w:eastAsia="zh-CN"/>
        </w:rPr>
        <w:t>3、若为联合体投标的，联合体所有单位均应属于中小企业，并应分别填写此表。</w:t>
      </w:r>
    </w:p>
    <w:p w14:paraId="6FD7A136">
      <w:pPr>
        <w:rPr>
          <w:lang w:eastAsia="zh-CN"/>
        </w:rPr>
      </w:pPr>
    </w:p>
    <w:p w14:paraId="38F862E9">
      <w:pPr>
        <w:pStyle w:val="Heading10"/>
        <w:spacing w:line="399" w:lineRule="auto"/>
        <w:jc w:val="center"/>
        <w:rPr>
          <w:rFonts w:ascii="宋体" w:eastAsia="宋体" w:hAnsi="宋体" w:cs="Times New Roman" w:hint="eastAsia"/>
          <w:sz w:val="32"/>
          <w:szCs w:val="32"/>
        </w:rPr>
      </w:pPr>
      <w:r>
        <w:rPr>
          <w:rFonts w:ascii="宋体" w:eastAsia="宋体" w:hAnsi="宋体" w:cs="Times New Roman" w:hint="eastAsia"/>
          <w:sz w:val="32"/>
          <w:szCs w:val="32"/>
        </w:rPr>
        <w:t>第</w:t>
      </w:r>
      <w:r>
        <w:rPr>
          <w:rFonts w:ascii="宋体" w:eastAsia="宋体" w:hAnsi="宋体" w:cs="Times New Roman" w:hint="eastAsia"/>
          <w:sz w:val="32"/>
          <w:szCs w:val="32"/>
          <w:lang w:val="en-US" w:eastAsia="zh-CN"/>
        </w:rPr>
        <w:t>九</w:t>
      </w:r>
      <w:r>
        <w:rPr>
          <w:rFonts w:ascii="宋体" w:eastAsia="宋体" w:hAnsi="宋体" w:cs="Times New Roman" w:hint="eastAsia"/>
          <w:sz w:val="32"/>
          <w:szCs w:val="32"/>
        </w:rPr>
        <w:t>章 定标方案</w:t>
      </w:r>
    </w:p>
    <w:p w14:paraId="7A7F9F3B">
      <w:pPr>
        <w:pStyle w:val="BodyTextFirstIndent21"/>
        <w:rPr>
          <w:rFonts w:hint="default"/>
          <w:b/>
          <w:bCs/>
          <w:sz w:val="28"/>
          <w:szCs w:val="36"/>
          <w:lang w:val="en-US" w:eastAsia="zh-CN"/>
        </w:rPr>
      </w:pPr>
    </w:p>
    <w:tbl>
      <w:tblPr>
        <w:tblStyle w:val="TableGrid"/>
        <w:tblW w:w="5631" w:type="pct"/>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41"/>
        <w:gridCol w:w="1684"/>
        <w:gridCol w:w="7294"/>
      </w:tblGrid>
      <w:tr w14:paraId="0EA57879">
        <w:tblPrEx>
          <w:tblW w:w="5631" w:type="pct"/>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16"/>
        </w:trPr>
        <w:tc>
          <w:tcPr>
            <w:tcW w:w="381" w:type="pct"/>
            <w:noWrap w:val="0"/>
            <w:vAlign w:val="top"/>
          </w:tcPr>
          <w:p w14:paraId="0080081F">
            <w:pPr>
              <w:widowControl w:val="0"/>
              <w:jc w:val="center"/>
              <w:rPr>
                <w:rFonts w:ascii="宋体" w:eastAsia="宋体" w:hAnsi="宋体" w:cs="宋体" w:hint="eastAsia"/>
                <w:sz w:val="24"/>
                <w:szCs w:val="21"/>
                <w:u w:val="none"/>
                <w:vertAlign w:val="baseline"/>
                <w:lang w:val="en-US" w:eastAsia="zh-CN"/>
              </w:rPr>
            </w:pPr>
            <w:r>
              <w:rPr>
                <w:rFonts w:ascii="宋体" w:eastAsia="宋体" w:hAnsi="宋体" w:cs="宋体" w:hint="eastAsia"/>
                <w:sz w:val="24"/>
                <w:szCs w:val="21"/>
                <w:u w:val="none"/>
                <w:vertAlign w:val="baseline"/>
                <w:lang w:val="en-US" w:eastAsia="zh-CN"/>
              </w:rPr>
              <w:t>序号</w:t>
            </w:r>
          </w:p>
        </w:tc>
        <w:tc>
          <w:tcPr>
            <w:tcW w:w="866" w:type="pct"/>
            <w:noWrap w:val="0"/>
            <w:vAlign w:val="top"/>
          </w:tcPr>
          <w:p w14:paraId="38164C66">
            <w:pPr>
              <w:widowControl w:val="0"/>
              <w:jc w:val="center"/>
              <w:rPr>
                <w:rFonts w:ascii="宋体" w:eastAsia="宋体" w:hAnsi="宋体" w:cs="宋体" w:hint="eastAsia"/>
                <w:sz w:val="24"/>
                <w:szCs w:val="21"/>
                <w:u w:val="none"/>
                <w:vertAlign w:val="baseline"/>
                <w:lang w:val="en-US" w:eastAsia="zh-CN"/>
              </w:rPr>
            </w:pPr>
            <w:r>
              <w:rPr>
                <w:rFonts w:ascii="宋体" w:eastAsia="宋体" w:hAnsi="宋体" w:cs="宋体" w:hint="eastAsia"/>
                <w:sz w:val="24"/>
                <w:szCs w:val="21"/>
                <w:u w:val="none"/>
                <w:vertAlign w:val="baseline"/>
                <w:lang w:val="en-US" w:eastAsia="zh-CN"/>
              </w:rPr>
              <w:t>条款名称</w:t>
            </w:r>
          </w:p>
        </w:tc>
        <w:tc>
          <w:tcPr>
            <w:tcW w:w="3751" w:type="pct"/>
            <w:noWrap w:val="0"/>
            <w:vAlign w:val="top"/>
          </w:tcPr>
          <w:p w14:paraId="2D1B844D">
            <w:pPr>
              <w:widowControl w:val="0"/>
              <w:jc w:val="center"/>
              <w:rPr>
                <w:rFonts w:ascii="宋体" w:eastAsia="宋体" w:hAnsi="宋体" w:cs="宋体" w:hint="eastAsia"/>
                <w:sz w:val="24"/>
                <w:szCs w:val="21"/>
                <w:u w:val="none"/>
                <w:vertAlign w:val="baseline"/>
                <w:lang w:val="en-US" w:eastAsia="zh-CN"/>
              </w:rPr>
            </w:pPr>
            <w:r>
              <w:rPr>
                <w:rFonts w:ascii="宋体" w:eastAsia="宋体" w:hAnsi="宋体" w:cs="宋体" w:hint="eastAsia"/>
                <w:sz w:val="24"/>
                <w:szCs w:val="21"/>
                <w:u w:val="none"/>
                <w:vertAlign w:val="baseline"/>
                <w:lang w:val="en-US" w:eastAsia="zh-CN"/>
              </w:rPr>
              <w:t>内容</w:t>
            </w:r>
          </w:p>
        </w:tc>
      </w:tr>
      <w:tr w14:paraId="7B04EFEC">
        <w:tblPrEx>
          <w:tblW w:w="5631" w:type="pct"/>
          <w:tblInd w:w="-678" w:type="dxa"/>
          <w:tblCellMar>
            <w:top w:w="0" w:type="dxa"/>
            <w:left w:w="108" w:type="dxa"/>
            <w:bottom w:w="0" w:type="dxa"/>
            <w:right w:w="108" w:type="dxa"/>
          </w:tblCellMar>
        </w:tblPrEx>
        <w:tc>
          <w:tcPr>
            <w:tcW w:w="381" w:type="pct"/>
            <w:noWrap w:val="0"/>
            <w:vAlign w:val="top"/>
          </w:tcPr>
          <w:p w14:paraId="4BE5F433">
            <w:pPr>
              <w:widowControl w:val="0"/>
              <w:jc w:val="center"/>
              <w:rPr>
                <w:rFonts w:ascii="宋体" w:eastAsia="宋体" w:hAnsi="宋体" w:cs="宋体" w:hint="eastAsia"/>
                <w:sz w:val="24"/>
                <w:szCs w:val="21"/>
                <w:u w:val="none"/>
                <w:vertAlign w:val="baseline"/>
                <w:lang w:val="en-US" w:eastAsia="zh-CN"/>
              </w:rPr>
            </w:pPr>
            <w:r>
              <w:rPr>
                <w:rFonts w:ascii="宋体" w:eastAsia="宋体" w:hAnsi="宋体" w:cs="宋体" w:hint="eastAsia"/>
                <w:sz w:val="24"/>
                <w:szCs w:val="21"/>
                <w:u w:val="none"/>
                <w:vertAlign w:val="baseline"/>
                <w:lang w:val="en-US" w:eastAsia="zh-CN"/>
              </w:rPr>
              <w:t>1</w:t>
            </w:r>
          </w:p>
        </w:tc>
        <w:tc>
          <w:tcPr>
            <w:tcW w:w="866" w:type="pct"/>
            <w:noWrap w:val="0"/>
            <w:vAlign w:val="top"/>
          </w:tcPr>
          <w:p w14:paraId="46EDE9DA">
            <w:pPr>
              <w:widowControl w:val="0"/>
              <w:ind w:firstLine="240" w:firstLineChars="100"/>
              <w:jc w:val="center"/>
              <w:rPr>
                <w:rFonts w:ascii="宋体" w:eastAsia="宋体" w:hAnsi="宋体" w:cs="宋体" w:hint="eastAsia"/>
                <w:sz w:val="24"/>
                <w:szCs w:val="21"/>
                <w:u w:val="none"/>
                <w:vertAlign w:val="baseline"/>
                <w:lang w:val="en-US" w:eastAsia="zh-CN"/>
              </w:rPr>
            </w:pPr>
            <w:r>
              <w:rPr>
                <w:rFonts w:ascii="宋体" w:eastAsia="宋体" w:hAnsi="宋体" w:cs="宋体" w:hint="eastAsia"/>
                <w:sz w:val="24"/>
                <w:szCs w:val="21"/>
                <w:u w:val="none"/>
                <w:vertAlign w:val="baseline"/>
                <w:lang w:val="en-US" w:eastAsia="zh-CN"/>
              </w:rPr>
              <w:t>定标时限</w:t>
            </w:r>
          </w:p>
        </w:tc>
        <w:tc>
          <w:tcPr>
            <w:tcW w:w="3751" w:type="pct"/>
            <w:noWrap w:val="0"/>
            <w:vAlign w:val="top"/>
          </w:tcPr>
          <w:p w14:paraId="44530FF0">
            <w:pPr>
              <w:widowControl w:val="0"/>
              <w:jc w:val="left"/>
              <w:rPr>
                <w:rFonts w:ascii="宋体" w:eastAsia="宋体" w:hAnsi="宋体" w:cs="宋体" w:hint="default"/>
                <w:sz w:val="24"/>
                <w:szCs w:val="21"/>
                <w:u w:val="none"/>
                <w:vertAlign w:val="baseline"/>
                <w:lang w:val="en-US" w:eastAsia="zh-CN"/>
              </w:rPr>
            </w:pPr>
            <w:r>
              <w:rPr>
                <w:rFonts w:ascii="宋体" w:eastAsia="宋体" w:hAnsi="宋体" w:cs="宋体" w:hint="eastAsia"/>
                <w:sz w:val="24"/>
                <w:szCs w:val="21"/>
                <w:u w:val="none"/>
                <w:vertAlign w:val="baseline"/>
                <w:lang w:val="en-US" w:eastAsia="zh-CN"/>
              </w:rPr>
              <w:t>定标时限：</w:t>
            </w:r>
            <w:r>
              <w:rPr>
                <w:rFonts w:ascii="宋体" w:eastAsia="宋体" w:hAnsi="宋体" w:cs="宋体" w:hint="eastAsia"/>
                <w:sz w:val="24"/>
                <w:szCs w:val="21"/>
                <w:u w:val="none"/>
                <w:vertAlign w:val="baseline"/>
                <w:lang w:val="en-US" w:eastAsia="zh-CN"/>
              </w:rPr>
              <w:t xml:space="preserve">  在中标候选人公示期结束之日起20日内</w:t>
            </w:r>
          </w:p>
          <w:p w14:paraId="7B76872C">
            <w:pPr>
              <w:widowControl w:val="0"/>
              <w:jc w:val="left"/>
              <w:rPr>
                <w:rFonts w:ascii="宋体" w:eastAsia="宋体" w:hAnsi="宋体" w:cs="宋体" w:hint="eastAsia"/>
                <w:u w:val="single"/>
                <w:lang w:val="en-US" w:eastAsia="zh-CN"/>
              </w:rPr>
            </w:pPr>
            <w:r>
              <w:rPr>
                <w:rFonts w:ascii="宋体" w:eastAsia="宋体" w:hAnsi="宋体" w:cs="宋体" w:hint="eastAsia"/>
                <w:sz w:val="24"/>
                <w:szCs w:val="21"/>
                <w:u w:val="none"/>
                <w:vertAlign w:val="baseline"/>
                <w:lang w:val="en-US" w:eastAsia="zh-CN"/>
              </w:rPr>
              <w:t>注：定标一般应在中标候选人公示期结束之日起20日内完成。</w:t>
            </w:r>
          </w:p>
        </w:tc>
      </w:tr>
      <w:tr w14:paraId="25D6B258">
        <w:tblPrEx>
          <w:tblW w:w="5631" w:type="pct"/>
          <w:tblInd w:w="-678" w:type="dxa"/>
          <w:tblCellMar>
            <w:top w:w="0" w:type="dxa"/>
            <w:left w:w="108" w:type="dxa"/>
            <w:bottom w:w="0" w:type="dxa"/>
            <w:right w:w="108" w:type="dxa"/>
          </w:tblCellMar>
        </w:tblPrEx>
        <w:tc>
          <w:tcPr>
            <w:tcW w:w="381" w:type="pct"/>
            <w:noWrap w:val="0"/>
            <w:vAlign w:val="top"/>
          </w:tcPr>
          <w:p w14:paraId="00250269">
            <w:pPr>
              <w:widowControl w:val="0"/>
              <w:jc w:val="center"/>
              <w:rPr>
                <w:rFonts w:ascii="宋体" w:eastAsia="宋体" w:hAnsi="宋体" w:cs="宋体" w:hint="eastAsia"/>
                <w:sz w:val="24"/>
                <w:szCs w:val="21"/>
                <w:u w:val="none"/>
                <w:vertAlign w:val="baseline"/>
                <w:lang w:val="en-US" w:eastAsia="zh-CN"/>
              </w:rPr>
            </w:pPr>
          </w:p>
          <w:p w14:paraId="7F7FB8DC">
            <w:pPr>
              <w:widowControl w:val="0"/>
              <w:jc w:val="center"/>
              <w:rPr>
                <w:rFonts w:ascii="宋体" w:eastAsia="宋体" w:hAnsi="宋体" w:cs="宋体" w:hint="eastAsia"/>
                <w:sz w:val="24"/>
                <w:szCs w:val="21"/>
                <w:u w:val="none"/>
                <w:vertAlign w:val="baseline"/>
                <w:lang w:val="en-US" w:eastAsia="zh-CN"/>
              </w:rPr>
            </w:pPr>
            <w:r>
              <w:rPr>
                <w:rFonts w:ascii="宋体" w:eastAsia="宋体" w:hAnsi="宋体" w:cs="宋体" w:hint="eastAsia"/>
                <w:sz w:val="24"/>
                <w:szCs w:val="21"/>
                <w:u w:val="none"/>
                <w:vertAlign w:val="baseline"/>
                <w:lang w:val="en-US" w:eastAsia="zh-CN"/>
              </w:rPr>
              <w:t>2</w:t>
            </w:r>
          </w:p>
        </w:tc>
        <w:tc>
          <w:tcPr>
            <w:tcW w:w="866" w:type="pct"/>
            <w:noWrap w:val="0"/>
            <w:vAlign w:val="top"/>
          </w:tcPr>
          <w:p w14:paraId="7770BC62">
            <w:pPr>
              <w:pStyle w:val="BodyTextFirstIndent21"/>
              <w:ind w:left="0" w:firstLine="0" w:leftChars="0" w:firstLineChars="0"/>
              <w:jc w:val="center"/>
              <w:rPr>
                <w:rFonts w:ascii="宋体" w:eastAsia="宋体" w:hAnsi="宋体" w:cs="宋体" w:hint="eastAsia"/>
                <w:b w:val="0"/>
                <w:bCs/>
                <w:kern w:val="2"/>
                <w:sz w:val="24"/>
                <w:szCs w:val="21"/>
                <w:u w:val="none"/>
                <w:vertAlign w:val="baseline"/>
                <w:lang w:val="en-US" w:eastAsia="zh-CN" w:bidi="ar-SA"/>
              </w:rPr>
            </w:pPr>
          </w:p>
          <w:p w14:paraId="63ABB978">
            <w:pPr>
              <w:pStyle w:val="BodyTextFirstIndent21"/>
              <w:ind w:left="0" w:firstLine="0" w:leftChars="0" w:firstLineChars="0"/>
              <w:jc w:val="center"/>
              <w:rPr>
                <w:rFonts w:ascii="宋体" w:eastAsia="宋体" w:hAnsi="宋体" w:cs="宋体" w:hint="eastAsia"/>
                <w:b w:val="0"/>
                <w:bCs/>
                <w:kern w:val="2"/>
                <w:sz w:val="24"/>
                <w:szCs w:val="21"/>
                <w:u w:val="none"/>
                <w:vertAlign w:val="baseline"/>
                <w:lang w:val="en-US" w:eastAsia="zh-CN" w:bidi="ar-SA"/>
              </w:rPr>
            </w:pPr>
            <w:r>
              <w:rPr>
                <w:rFonts w:ascii="宋体" w:eastAsia="宋体" w:hAnsi="宋体" w:cs="宋体" w:hint="eastAsia"/>
                <w:b w:val="0"/>
                <w:bCs/>
                <w:kern w:val="2"/>
                <w:sz w:val="24"/>
                <w:szCs w:val="21"/>
                <w:u w:val="none"/>
                <w:vertAlign w:val="baseline"/>
                <w:lang w:val="en-US" w:eastAsia="zh-CN" w:bidi="ar-SA"/>
              </w:rPr>
              <w:t>是否进行中标候选人核查</w:t>
            </w:r>
          </w:p>
        </w:tc>
        <w:tc>
          <w:tcPr>
            <w:tcW w:w="3751" w:type="pct"/>
            <w:noWrap w:val="0"/>
            <w:vAlign w:val="top"/>
          </w:tcPr>
          <w:p w14:paraId="274EFBD9">
            <w:pPr>
              <w:widowControl w:val="0"/>
              <w:jc w:val="left"/>
              <w:rPr>
                <w:rFonts w:ascii="宋体" w:eastAsia="宋体" w:hAnsi="宋体" w:cs="宋体" w:hint="eastAsia"/>
                <w:sz w:val="24"/>
                <w:szCs w:val="21"/>
                <w:u w:val="none"/>
                <w:vertAlign w:val="baseline"/>
                <w:lang w:val="en-US" w:eastAsia="zh-CN"/>
              </w:rPr>
            </w:pPr>
            <w:sdt>
              <w:sdtPr>
                <w:rPr>
                  <w:rFonts w:ascii="宋体" w:hAnsi="宋体" w:eastAsiaTheme="minorEastAsia" w:cs="Times New Roman" w:hint="default"/>
                  <w:sz w:val="24"/>
                  <w:szCs w:val="24"/>
                  <w:lang w:val="en-US" w:eastAsia="en-US" w:bidi="ar-SA"/>
                </w:rPr>
                <w:id w:val="147456146"/>
                <w14:checkbox>
                  <w14:checked w14:val="0"/>
                  <w14:checkedState w14:val="2611" w14:font="MS Gothic"/>
                  <w14:uncheckedState w14:val="2610" w14:font="MS Gothic"/>
                </w14:checkbox>
              </w:sdtPr>
              <w:sdtEndPr>
                <w:rPr>
                  <w:rFonts w:ascii="宋体" w:hAnsi="宋体" w:eastAsiaTheme="minorEastAsia" w:cs="Times New Roman" w:hint="default"/>
                  <w:sz w:val="24"/>
                  <w:szCs w:val="24"/>
                  <w:lang w:val="en-US" w:eastAsia="en-US" w:bidi="ar-SA"/>
                </w:rPr>
              </w:sdtEndPr>
              <w:sdtContent>
                <w:r>
                  <w:rPr>
                    <w:rFonts w:ascii="MS Gothic" w:eastAsia="MS Gothic" w:hAnsi="MS Gothic" w:cs="MS Gothic"/>
                  </w:rPr>
                  <w:t>☐</w:t>
                </w:r>
              </w:sdtContent>
            </w:sdt>
            <w:r>
              <w:rPr>
                <w:rFonts w:ascii="宋体" w:eastAsia="宋体" w:hAnsi="宋体" w:cs="宋体" w:hint="eastAsia"/>
                <w:sz w:val="24"/>
                <w:szCs w:val="21"/>
                <w:u w:val="none"/>
                <w:vertAlign w:val="baseline"/>
                <w:lang w:val="en-US" w:eastAsia="zh-CN"/>
              </w:rPr>
              <w:t>不进行</w:t>
            </w:r>
          </w:p>
          <w:p w14:paraId="7D9B0AAC">
            <w:pPr>
              <w:widowControl w:val="0"/>
              <w:jc w:val="left"/>
              <w:rPr>
                <w:rFonts w:ascii="宋体" w:eastAsia="宋体" w:hAnsi="宋体" w:cs="宋体" w:hint="eastAsia"/>
                <w:b w:val="0"/>
                <w:bCs/>
                <w:kern w:val="2"/>
                <w:sz w:val="24"/>
                <w:szCs w:val="21"/>
                <w:u w:val="single"/>
                <w:vertAlign w:val="baseline"/>
                <w:lang w:val="en-US" w:eastAsia="zh-CN" w:bidi="ar-SA"/>
              </w:rPr>
            </w:pPr>
            <w:sdt>
              <w:sdtPr>
                <w:rPr>
                  <w:rFonts w:ascii="宋体" w:hAnsi="宋体" w:eastAsiaTheme="minorEastAsia" w:cs="Times New Roman" w:hint="default"/>
                  <w:sz w:val="24"/>
                  <w:szCs w:val="24"/>
                  <w:lang w:val="en-US" w:eastAsia="en-US" w:bidi="ar-SA"/>
                </w:rPr>
                <w:id w:val="147456132"/>
                <w14:checkbox>
                  <w14:checked w14:val="1"/>
                  <w14:checkedState w14:val="2611" w14:font="MS Gothic"/>
                  <w14:uncheckedState w14:val="2610" w14:font="MS Gothic"/>
                </w14:checkbox>
              </w:sdtPr>
              <w:sdtEndPr>
                <w:rPr>
                  <w:rFonts w:ascii="宋体" w:hAnsi="宋体" w:eastAsiaTheme="minorEastAsia" w:cs="Times New Roman" w:hint="default"/>
                  <w:sz w:val="24"/>
                  <w:szCs w:val="24"/>
                  <w:lang w:val="en-US" w:eastAsia="en-US" w:bidi="ar-SA"/>
                </w:rPr>
              </w:sdtEndPr>
              <w:sdtContent>
                <w:r>
                  <w:rPr>
                    <w:rFonts w:ascii="MS Gothic" w:eastAsia="MS Gothic" w:hAnsi="MS Gothic" w:cs="MS Gothic"/>
                    <w:sz w:val="24"/>
                    <w:szCs w:val="24"/>
                    <w:lang w:val="en-US" w:eastAsia="en-US" w:bidi="ar-SA"/>
                  </w:rPr>
                  <w:t>☑</w:t>
                </w:r>
              </w:sdtContent>
            </w:sdt>
            <w:r>
              <w:rPr>
                <w:rFonts w:ascii="宋体" w:eastAsia="宋体" w:hAnsi="宋体" w:cs="宋体" w:hint="eastAsia"/>
                <w:sz w:val="24"/>
                <w:szCs w:val="21"/>
                <w:u w:val="none"/>
                <w:vertAlign w:val="baseline"/>
                <w:lang w:val="en-US" w:eastAsia="zh-CN"/>
              </w:rPr>
              <w:t>进行</w:t>
            </w:r>
            <w:r>
              <w:rPr>
                <w:rFonts w:ascii="宋体" w:eastAsia="宋体" w:hAnsi="宋体" w:cs="宋体" w:hint="eastAsia"/>
                <w:b w:val="0"/>
                <w:bCs/>
                <w:kern w:val="2"/>
                <w:sz w:val="24"/>
                <w:szCs w:val="21"/>
                <w:u w:val="none"/>
                <w:vertAlign w:val="baseline"/>
                <w:lang w:val="en-US" w:eastAsia="zh-CN" w:bidi="ar-SA"/>
              </w:rPr>
              <w:t xml:space="preserve">   核查的内容：</w:t>
            </w:r>
            <w:r>
              <w:rPr>
                <w:rFonts w:ascii="宋体" w:eastAsia="宋体" w:hAnsi="宋体" w:cs="宋体" w:hint="eastAsia"/>
                <w:sz w:val="24"/>
                <w:szCs w:val="21"/>
                <w:u w:val="none"/>
                <w:vertAlign w:val="baseline"/>
                <w:lang w:val="en-US" w:eastAsia="zh-CN"/>
              </w:rPr>
              <w:t xml:space="preserve"> 信用状况、履约能力等 </w:t>
            </w:r>
          </w:p>
          <w:p w14:paraId="04623A75">
            <w:pPr>
              <w:pStyle w:val="BodyTextFirstIndent21"/>
              <w:ind w:left="0" w:firstLine="480" w:leftChars="0" w:firstLineChars="200"/>
              <w:jc w:val="left"/>
              <w:rPr>
                <w:rFonts w:hint="default"/>
                <w:lang w:val="en-US" w:eastAsia="zh-CN"/>
              </w:rPr>
            </w:pPr>
            <w:r>
              <w:rPr>
                <w:rFonts w:cs="Times New Roman" w:hint="eastAsia"/>
                <w:b w:val="0"/>
                <w:bCs/>
                <w:kern w:val="2"/>
                <w:sz w:val="24"/>
                <w:szCs w:val="21"/>
                <w:u w:val="none"/>
                <w:vertAlign w:val="baseline"/>
                <w:lang w:val="en-US" w:eastAsia="zh-CN" w:bidi="ar-SA"/>
              </w:rPr>
              <w:t>注：核查可包括信用状况、履约能力、是否受到可能影响履约的行政处罚、是否被标注“资质异常”、是否被安全生产许可预警标注等内容，以及招标人认为需要核查的其他内容。核查应在定标前完成并将相关核查结果作为定标资料提交定标会议。</w:t>
            </w:r>
          </w:p>
        </w:tc>
      </w:tr>
      <w:tr w14:paraId="31AA015D">
        <w:tblPrEx>
          <w:tblW w:w="5631" w:type="pct"/>
          <w:tblInd w:w="-678" w:type="dxa"/>
          <w:tblCellMar>
            <w:top w:w="0" w:type="dxa"/>
            <w:left w:w="108" w:type="dxa"/>
            <w:bottom w:w="0" w:type="dxa"/>
            <w:right w:w="108" w:type="dxa"/>
          </w:tblCellMar>
        </w:tblPrEx>
        <w:trPr>
          <w:trHeight w:val="2340"/>
        </w:trPr>
        <w:tc>
          <w:tcPr>
            <w:tcW w:w="381" w:type="pct"/>
            <w:noWrap w:val="0"/>
            <w:vAlign w:val="top"/>
          </w:tcPr>
          <w:p w14:paraId="555576FA">
            <w:pPr>
              <w:widowControl w:val="0"/>
              <w:jc w:val="center"/>
              <w:rPr>
                <w:rFonts w:ascii="宋体" w:eastAsia="宋体" w:hAnsi="宋体" w:cs="宋体" w:hint="eastAsia"/>
                <w:sz w:val="24"/>
                <w:szCs w:val="21"/>
                <w:u w:val="none"/>
                <w:vertAlign w:val="baseline"/>
                <w:lang w:val="en-US" w:eastAsia="zh-CN"/>
              </w:rPr>
            </w:pPr>
          </w:p>
          <w:p w14:paraId="347BF8F2">
            <w:pPr>
              <w:widowControl w:val="0"/>
              <w:jc w:val="center"/>
              <w:rPr>
                <w:rFonts w:ascii="宋体" w:eastAsia="宋体" w:hAnsi="宋体" w:cs="宋体" w:hint="eastAsia"/>
                <w:sz w:val="24"/>
                <w:szCs w:val="21"/>
                <w:u w:val="none"/>
                <w:vertAlign w:val="baseline"/>
                <w:lang w:val="en-US" w:eastAsia="zh-CN"/>
              </w:rPr>
            </w:pPr>
          </w:p>
          <w:p w14:paraId="40C256BD">
            <w:pPr>
              <w:widowControl w:val="0"/>
              <w:jc w:val="center"/>
              <w:rPr>
                <w:rFonts w:ascii="宋体" w:eastAsia="宋体" w:hAnsi="宋体" w:cs="宋体" w:hint="eastAsia"/>
                <w:sz w:val="24"/>
                <w:szCs w:val="21"/>
                <w:u w:val="none"/>
                <w:vertAlign w:val="baseline"/>
                <w:lang w:val="en-US" w:eastAsia="zh-CN"/>
              </w:rPr>
            </w:pPr>
            <w:r>
              <w:rPr>
                <w:rFonts w:ascii="宋体" w:eastAsia="宋体" w:hAnsi="宋体" w:cs="宋体" w:hint="eastAsia"/>
                <w:sz w:val="24"/>
                <w:szCs w:val="21"/>
                <w:u w:val="none"/>
                <w:vertAlign w:val="baseline"/>
                <w:lang w:val="en-US" w:eastAsia="zh-CN"/>
              </w:rPr>
              <w:t>3</w:t>
            </w:r>
          </w:p>
        </w:tc>
        <w:tc>
          <w:tcPr>
            <w:tcW w:w="866" w:type="pct"/>
            <w:noWrap w:val="0"/>
            <w:vAlign w:val="top"/>
          </w:tcPr>
          <w:p w14:paraId="6E775D8E">
            <w:pPr>
              <w:widowControl w:val="0"/>
              <w:jc w:val="center"/>
              <w:rPr>
                <w:rFonts w:ascii="宋体" w:eastAsia="宋体" w:hAnsi="宋体" w:cs="宋体" w:hint="eastAsia"/>
                <w:sz w:val="24"/>
                <w:szCs w:val="21"/>
                <w:u w:val="none"/>
                <w:vertAlign w:val="baseline"/>
                <w:lang w:val="en-US" w:eastAsia="zh-CN"/>
              </w:rPr>
            </w:pPr>
          </w:p>
          <w:p w14:paraId="230C4647">
            <w:pPr>
              <w:widowControl w:val="0"/>
              <w:jc w:val="center"/>
              <w:rPr>
                <w:rFonts w:ascii="宋体" w:eastAsia="宋体" w:hAnsi="宋体" w:cs="宋体" w:hint="eastAsia"/>
                <w:sz w:val="24"/>
                <w:szCs w:val="21"/>
                <w:u w:val="none"/>
                <w:vertAlign w:val="baseline"/>
                <w:lang w:val="en-US" w:eastAsia="zh-CN"/>
              </w:rPr>
            </w:pPr>
          </w:p>
          <w:p w14:paraId="78001594">
            <w:pPr>
              <w:widowControl w:val="0"/>
              <w:jc w:val="center"/>
              <w:rPr>
                <w:rFonts w:ascii="宋体" w:eastAsia="宋体" w:hAnsi="宋体" w:cs="宋体" w:hint="eastAsia"/>
                <w:sz w:val="24"/>
                <w:szCs w:val="21"/>
                <w:u w:val="none"/>
                <w:vertAlign w:val="baseline"/>
                <w:lang w:val="en-US" w:eastAsia="zh-CN"/>
              </w:rPr>
            </w:pPr>
            <w:r>
              <w:rPr>
                <w:rFonts w:ascii="宋体" w:eastAsia="宋体" w:hAnsi="宋体" w:cs="宋体" w:hint="eastAsia"/>
                <w:sz w:val="24"/>
                <w:szCs w:val="21"/>
                <w:u w:val="none"/>
                <w:vertAlign w:val="baseline"/>
                <w:lang w:val="en-US" w:eastAsia="zh-CN"/>
              </w:rPr>
              <w:t>是否进行现场考察</w:t>
            </w:r>
          </w:p>
        </w:tc>
        <w:tc>
          <w:tcPr>
            <w:tcW w:w="3751" w:type="pct"/>
            <w:noWrap w:val="0"/>
            <w:vAlign w:val="top"/>
          </w:tcPr>
          <w:p w14:paraId="67EE31D9">
            <w:pPr>
              <w:widowControl w:val="0"/>
              <w:jc w:val="left"/>
              <w:rPr>
                <w:rFonts w:ascii="宋体" w:eastAsia="宋体" w:hAnsi="宋体" w:cs="宋体" w:hint="eastAsia"/>
                <w:b w:val="0"/>
                <w:bCs/>
                <w:kern w:val="2"/>
                <w:sz w:val="24"/>
                <w:szCs w:val="21"/>
                <w:u w:val="none"/>
                <w:vertAlign w:val="baseline"/>
                <w:lang w:val="en-US" w:eastAsia="zh-CN" w:bidi="ar-SA"/>
              </w:rPr>
            </w:pPr>
            <w:sdt>
              <w:sdtPr>
                <w:rPr>
                  <w:rFonts w:ascii="宋体" w:hAnsi="宋体" w:eastAsiaTheme="minorEastAsia" w:cs="Times New Roman" w:hint="default"/>
                  <w:sz w:val="24"/>
                  <w:szCs w:val="24"/>
                  <w:lang w:val="en-US" w:eastAsia="en-US" w:bidi="ar-SA"/>
                </w:rPr>
                <w:id w:val="147456035"/>
                <w14:checkbox>
                  <w14:checked w14:val="0"/>
                  <w14:checkedState w14:val="2611" w14:font="MS Gothic"/>
                  <w14:uncheckedState w14:val="2610" w14:font="MS Gothic"/>
                </w14:checkbox>
              </w:sdtPr>
              <w:sdtEndPr>
                <w:rPr>
                  <w:rFonts w:ascii="宋体" w:hAnsi="宋体" w:eastAsiaTheme="minorEastAsia" w:cs="Times New Roman" w:hint="default"/>
                  <w:sz w:val="24"/>
                  <w:szCs w:val="24"/>
                  <w:lang w:val="en-US" w:eastAsia="en-US" w:bidi="ar-SA"/>
                </w:rPr>
              </w:sdtEndPr>
              <w:sdtContent>
                <w:r>
                  <w:rPr>
                    <w:rFonts w:ascii="MS Gothic" w:eastAsia="MS Gothic" w:hAnsi="MS Gothic" w:cs="MS Gothic"/>
                  </w:rPr>
                  <w:t>☐</w:t>
                </w:r>
              </w:sdtContent>
            </w:sdt>
            <w:r>
              <w:rPr>
                <w:rFonts w:ascii="宋体" w:eastAsia="宋体" w:hAnsi="宋体" w:cs="宋体" w:hint="eastAsia"/>
                <w:b w:val="0"/>
                <w:bCs/>
                <w:kern w:val="2"/>
                <w:sz w:val="24"/>
                <w:szCs w:val="21"/>
                <w:u w:val="none"/>
                <w:vertAlign w:val="baseline"/>
                <w:lang w:val="en-US" w:eastAsia="zh-CN" w:bidi="ar-SA"/>
              </w:rPr>
              <w:t>不进行</w:t>
            </w:r>
          </w:p>
          <w:p w14:paraId="30C10CF4">
            <w:pPr>
              <w:widowControl w:val="0"/>
              <w:jc w:val="left"/>
              <w:rPr>
                <w:rFonts w:ascii="宋体" w:eastAsia="宋体" w:hAnsi="宋体" w:cs="宋体" w:hint="eastAsia"/>
                <w:u w:val="single"/>
                <w:lang w:val="en-US" w:eastAsia="zh-CN"/>
              </w:rPr>
            </w:pPr>
            <w:sdt>
              <w:sdtPr>
                <w:rPr>
                  <w:rFonts w:ascii="宋体" w:hAnsi="宋体" w:eastAsiaTheme="minorEastAsia" w:cs="Times New Roman" w:hint="default"/>
                  <w:sz w:val="24"/>
                  <w:szCs w:val="24"/>
                  <w:lang w:val="en-US" w:eastAsia="en-US" w:bidi="ar-SA"/>
                </w:rPr>
                <w:id w:val="147456021"/>
                <w14:checkbox>
                  <w14:checked w14:val="1"/>
                  <w14:checkedState w14:val="2611" w14:font="MS Gothic"/>
                  <w14:uncheckedState w14:val="2610" w14:font="MS Gothic"/>
                </w14:checkbox>
              </w:sdtPr>
              <w:sdtEndPr>
                <w:rPr>
                  <w:rFonts w:ascii="宋体" w:hAnsi="宋体" w:eastAsiaTheme="minorEastAsia" w:cs="Times New Roman" w:hint="default"/>
                  <w:sz w:val="24"/>
                  <w:szCs w:val="24"/>
                  <w:lang w:val="en-US" w:eastAsia="en-US" w:bidi="ar-SA"/>
                </w:rPr>
              </w:sdtEndPr>
              <w:sdtContent>
                <w:r>
                  <w:rPr>
                    <w:rFonts w:ascii="MS Gothic" w:eastAsia="MS Gothic" w:hAnsi="MS Gothic" w:cs="MS Gothic"/>
                    <w:sz w:val="24"/>
                    <w:szCs w:val="24"/>
                    <w:lang w:val="en-US" w:eastAsia="en-US" w:bidi="ar-SA"/>
                  </w:rPr>
                  <w:t>☑</w:t>
                </w:r>
              </w:sdtContent>
            </w:sdt>
            <w:r>
              <w:rPr>
                <w:rFonts w:ascii="宋体" w:eastAsia="宋体" w:hAnsi="宋体" w:cs="宋体" w:hint="eastAsia"/>
                <w:b w:val="0"/>
                <w:bCs/>
                <w:kern w:val="2"/>
                <w:sz w:val="24"/>
                <w:szCs w:val="21"/>
                <w:u w:val="none"/>
                <w:vertAlign w:val="baseline"/>
                <w:lang w:val="en-US" w:eastAsia="zh-CN" w:bidi="ar-SA"/>
              </w:rPr>
              <w:t>进行    考察的内容：</w:t>
            </w:r>
            <w:r>
              <w:rPr>
                <w:rFonts w:ascii="宋体" w:eastAsia="宋体" w:hAnsi="宋体" w:cs="宋体" w:hint="eastAsia"/>
                <w:sz w:val="24"/>
                <w:szCs w:val="21"/>
                <w:u w:val="none"/>
                <w:vertAlign w:val="baseline"/>
                <w:lang w:val="en-US" w:eastAsia="zh-CN"/>
              </w:rPr>
              <w:t xml:space="preserve"> 业绩、财务、履约能力、人员等  </w:t>
            </w:r>
          </w:p>
          <w:p w14:paraId="1B1B9E0A">
            <w:pPr>
              <w:pStyle w:val="BodyTextFirstIndent21"/>
              <w:jc w:val="left"/>
              <w:rPr>
                <w:rFonts w:hint="default"/>
                <w:b w:val="0"/>
                <w:bCs/>
                <w:lang w:val="en-US" w:eastAsia="zh-CN"/>
              </w:rPr>
            </w:pPr>
            <w:r>
              <w:rPr>
                <w:rFonts w:cs="Times New Roman" w:hint="eastAsia"/>
                <w:b w:val="0"/>
                <w:bCs/>
                <w:kern w:val="2"/>
                <w:sz w:val="24"/>
                <w:szCs w:val="21"/>
                <w:u w:val="none"/>
                <w:vertAlign w:val="baseline"/>
                <w:lang w:val="en-US" w:eastAsia="zh-CN" w:bidi="ar-SA"/>
              </w:rPr>
              <w:t>注：开展考察的，应当基于公平原则涵盖所有中标候选人，不得区别对待。考察期间，不得与中标候选人就中标条件、合同实质性内容进行谈判。考察活动应当全过程录音、录像并纳入招标档案统一存档备查。考察应在定标前完成并将相关考察结果作为定标资料提交定标会议。</w:t>
            </w:r>
          </w:p>
        </w:tc>
      </w:tr>
      <w:tr w14:paraId="041CDB3A">
        <w:tblPrEx>
          <w:tblW w:w="5631" w:type="pct"/>
          <w:tblInd w:w="-678" w:type="dxa"/>
          <w:tblCellMar>
            <w:top w:w="0" w:type="dxa"/>
            <w:left w:w="108" w:type="dxa"/>
            <w:bottom w:w="0" w:type="dxa"/>
            <w:right w:w="108" w:type="dxa"/>
          </w:tblCellMar>
        </w:tblPrEx>
        <w:tc>
          <w:tcPr>
            <w:tcW w:w="381" w:type="pct"/>
            <w:noWrap w:val="0"/>
            <w:vAlign w:val="top"/>
          </w:tcPr>
          <w:p w14:paraId="577C0435">
            <w:pPr>
              <w:widowControl w:val="0"/>
              <w:jc w:val="center"/>
              <w:rPr>
                <w:rFonts w:ascii="宋体" w:eastAsia="宋体" w:hAnsi="宋体" w:cs="宋体" w:hint="eastAsia"/>
                <w:sz w:val="24"/>
                <w:szCs w:val="21"/>
                <w:u w:val="none"/>
                <w:vertAlign w:val="baseline"/>
                <w:lang w:val="en-US" w:eastAsia="zh-CN"/>
              </w:rPr>
            </w:pPr>
          </w:p>
          <w:p w14:paraId="7CC0E117">
            <w:pPr>
              <w:widowControl w:val="0"/>
              <w:jc w:val="center"/>
              <w:rPr>
                <w:rFonts w:ascii="宋体" w:eastAsia="宋体" w:hAnsi="宋体" w:cs="宋体" w:hint="eastAsia"/>
                <w:sz w:val="24"/>
                <w:szCs w:val="21"/>
                <w:u w:val="none"/>
                <w:vertAlign w:val="baseline"/>
                <w:lang w:val="en-US" w:eastAsia="zh-CN"/>
              </w:rPr>
            </w:pPr>
          </w:p>
          <w:p w14:paraId="7BF70DCF">
            <w:pPr>
              <w:widowControl w:val="0"/>
              <w:jc w:val="center"/>
              <w:rPr>
                <w:rFonts w:ascii="宋体" w:eastAsia="宋体" w:hAnsi="宋体" w:cs="宋体" w:hint="eastAsia"/>
                <w:sz w:val="24"/>
                <w:szCs w:val="21"/>
                <w:u w:val="none"/>
                <w:vertAlign w:val="baseline"/>
                <w:lang w:val="en-US" w:eastAsia="zh-CN"/>
              </w:rPr>
            </w:pPr>
            <w:r>
              <w:rPr>
                <w:rFonts w:ascii="宋体" w:eastAsia="宋体" w:hAnsi="宋体" w:cs="宋体" w:hint="eastAsia"/>
                <w:sz w:val="24"/>
                <w:szCs w:val="21"/>
                <w:u w:val="none"/>
                <w:vertAlign w:val="baseline"/>
                <w:lang w:val="en-US" w:eastAsia="zh-CN"/>
              </w:rPr>
              <w:t>4</w:t>
            </w:r>
          </w:p>
        </w:tc>
        <w:tc>
          <w:tcPr>
            <w:tcW w:w="866" w:type="pct"/>
            <w:noWrap w:val="0"/>
            <w:vAlign w:val="top"/>
          </w:tcPr>
          <w:p w14:paraId="63B12145">
            <w:pPr>
              <w:widowControl w:val="0"/>
              <w:jc w:val="center"/>
              <w:rPr>
                <w:rFonts w:ascii="宋体" w:eastAsia="宋体" w:hAnsi="宋体" w:cs="宋体" w:hint="eastAsia"/>
                <w:sz w:val="24"/>
                <w:szCs w:val="21"/>
                <w:u w:val="none"/>
                <w:vertAlign w:val="baseline"/>
                <w:lang w:val="en-US" w:eastAsia="zh-CN"/>
              </w:rPr>
            </w:pPr>
          </w:p>
          <w:p w14:paraId="2434C9C7">
            <w:pPr>
              <w:widowControl w:val="0"/>
              <w:jc w:val="center"/>
              <w:rPr>
                <w:rFonts w:ascii="宋体" w:eastAsia="宋体" w:hAnsi="宋体" w:cs="宋体" w:hint="eastAsia"/>
                <w:sz w:val="24"/>
                <w:szCs w:val="21"/>
                <w:u w:val="none"/>
                <w:vertAlign w:val="baseline"/>
                <w:lang w:val="en-US" w:eastAsia="zh-CN"/>
              </w:rPr>
            </w:pPr>
          </w:p>
          <w:p w14:paraId="70A8E5E2">
            <w:pPr>
              <w:widowControl w:val="0"/>
              <w:jc w:val="center"/>
              <w:rPr>
                <w:rFonts w:ascii="宋体" w:eastAsia="宋体" w:hAnsi="宋体" w:cs="宋体" w:hint="eastAsia"/>
                <w:b w:val="0"/>
                <w:bCs w:val="0"/>
                <w:sz w:val="24"/>
                <w:szCs w:val="21"/>
                <w:u w:val="none"/>
                <w:vertAlign w:val="baseline"/>
                <w:lang w:val="en-US" w:eastAsia="zh-CN"/>
              </w:rPr>
            </w:pPr>
            <w:r>
              <w:rPr>
                <w:rFonts w:ascii="宋体" w:eastAsia="宋体" w:hAnsi="宋体" w:cs="宋体" w:hint="eastAsia"/>
                <w:sz w:val="24"/>
                <w:szCs w:val="21"/>
                <w:u w:val="none"/>
                <w:vertAlign w:val="baseline"/>
                <w:lang w:val="en-US" w:eastAsia="zh-CN"/>
              </w:rPr>
              <w:t>是否进行</w:t>
            </w:r>
            <w:r>
              <w:rPr>
                <w:rFonts w:ascii="宋体" w:eastAsia="宋体" w:hAnsi="宋体" w:cs="宋体" w:hint="eastAsia"/>
                <w:b w:val="0"/>
                <w:bCs w:val="0"/>
                <w:sz w:val="24"/>
                <w:szCs w:val="21"/>
                <w:u w:val="none"/>
                <w:vertAlign w:val="baseline"/>
                <w:lang w:val="en-US" w:eastAsia="zh-CN"/>
              </w:rPr>
              <w:t>拟派项目团队现场答辩</w:t>
            </w:r>
          </w:p>
        </w:tc>
        <w:tc>
          <w:tcPr>
            <w:tcW w:w="3751" w:type="pct"/>
            <w:noWrap w:val="0"/>
            <w:vAlign w:val="top"/>
          </w:tcPr>
          <w:p w14:paraId="7EAC012E">
            <w:pPr>
              <w:widowControl w:val="0"/>
              <w:jc w:val="left"/>
              <w:rPr>
                <w:rFonts w:ascii="宋体" w:eastAsia="宋体" w:hAnsi="宋体" w:cs="宋体" w:hint="eastAsia"/>
                <w:sz w:val="24"/>
                <w:szCs w:val="21"/>
                <w:u w:val="none"/>
                <w:vertAlign w:val="baseline"/>
                <w:lang w:val="en-US" w:eastAsia="zh-CN"/>
              </w:rPr>
            </w:pPr>
            <w:sdt>
              <w:sdtPr>
                <w:rPr>
                  <w:rFonts w:ascii="宋体" w:hAnsi="宋体" w:eastAsiaTheme="minorEastAsia" w:cs="Times New Roman" w:hint="default"/>
                  <w:sz w:val="24"/>
                  <w:szCs w:val="24"/>
                  <w:lang w:val="en-US" w:eastAsia="en-US" w:bidi="ar-SA"/>
                </w:rPr>
                <w:id w:val="147456008"/>
                <w14:checkbox>
                  <w14:checked w14:val="1"/>
                  <w14:checkedState w14:val="2611" w14:font="MS Gothic"/>
                  <w14:uncheckedState w14:val="2610" w14:font="MS Gothic"/>
                </w14:checkbox>
              </w:sdtPr>
              <w:sdtEndPr>
                <w:rPr>
                  <w:rFonts w:ascii="宋体" w:hAnsi="宋体" w:eastAsiaTheme="minorEastAsia" w:cs="Times New Roman" w:hint="default"/>
                  <w:sz w:val="24"/>
                  <w:szCs w:val="24"/>
                  <w:lang w:val="en-US" w:eastAsia="en-US" w:bidi="ar-SA"/>
                </w:rPr>
              </w:sdtEndPr>
              <w:sdtContent>
                <w:r>
                  <w:rPr>
                    <w:rFonts w:ascii="MS Gothic" w:eastAsia="MS Gothic" w:hAnsi="MS Gothic" w:cs="MS Gothic"/>
                    <w:sz w:val="24"/>
                    <w:szCs w:val="24"/>
                    <w:lang w:val="en-US" w:eastAsia="en-US" w:bidi="ar-SA"/>
                  </w:rPr>
                  <w:t>☑</w:t>
                </w:r>
              </w:sdtContent>
            </w:sdt>
            <w:r>
              <w:rPr>
                <w:rFonts w:ascii="宋体" w:eastAsia="宋体" w:hAnsi="宋体" w:cs="宋体" w:hint="eastAsia"/>
                <w:sz w:val="24"/>
                <w:szCs w:val="21"/>
                <w:u w:val="none"/>
                <w:vertAlign w:val="baseline"/>
                <w:lang w:val="en-US" w:eastAsia="zh-CN"/>
              </w:rPr>
              <w:t>不进行</w:t>
            </w:r>
          </w:p>
          <w:p w14:paraId="49353EA4">
            <w:pPr>
              <w:widowControl w:val="0"/>
              <w:jc w:val="left"/>
              <w:rPr>
                <w:rFonts w:ascii="宋体" w:eastAsia="宋体" w:hAnsi="宋体" w:cs="宋体" w:hint="eastAsia"/>
                <w:sz w:val="24"/>
                <w:szCs w:val="21"/>
                <w:u w:val="single"/>
                <w:vertAlign w:val="baseline"/>
                <w:lang w:val="en-US" w:eastAsia="zh-CN"/>
              </w:rPr>
            </w:pPr>
            <w:sdt>
              <w:sdtPr>
                <w:rPr>
                  <w:rFonts w:ascii="宋体" w:hAnsi="宋体" w:eastAsiaTheme="minorEastAsia" w:cs="Times New Roman" w:hint="default"/>
                  <w:sz w:val="24"/>
                  <w:szCs w:val="24"/>
                  <w:lang w:val="en-US" w:eastAsia="en-US" w:bidi="ar-SA"/>
                </w:rPr>
                <w:id w:val="147456002"/>
                <w14:checkbox>
                  <w14:checked w14:val="0"/>
                  <w14:checkedState w14:val="2611" w14:font="MS Gothic"/>
                  <w14:uncheckedState w14:val="2610" w14:font="MS Gothic"/>
                </w14:checkbox>
              </w:sdtPr>
              <w:sdtEndPr>
                <w:rPr>
                  <w:rFonts w:ascii="宋体" w:hAnsi="宋体" w:eastAsiaTheme="minorEastAsia" w:cs="Times New Roman" w:hint="default"/>
                  <w:sz w:val="24"/>
                  <w:szCs w:val="24"/>
                  <w:lang w:val="en-US" w:eastAsia="en-US" w:bidi="ar-SA"/>
                </w:rPr>
              </w:sdtEndPr>
              <w:sdtContent>
                <w:r>
                  <w:rPr>
                    <w:rFonts w:ascii="MS Gothic" w:eastAsia="MS Gothic" w:hAnsi="MS Gothic" w:cs="MS Gothic"/>
                  </w:rPr>
                  <w:t>☐</w:t>
                </w:r>
              </w:sdtContent>
            </w:sdt>
            <w:r>
              <w:rPr>
                <w:rFonts w:ascii="宋体" w:eastAsia="宋体" w:hAnsi="宋体" w:cs="宋体" w:hint="eastAsia"/>
                <w:sz w:val="24"/>
                <w:szCs w:val="21"/>
                <w:u w:val="none"/>
                <w:vertAlign w:val="baseline"/>
                <w:lang w:val="en-US" w:eastAsia="zh-CN"/>
              </w:rPr>
              <w:t>进行    答辩内容与要求:</w:t>
            </w:r>
            <w:r>
              <w:rPr>
                <w:rFonts w:ascii="宋体" w:eastAsia="宋体" w:hAnsi="宋体" w:cs="宋体" w:hint="eastAsia"/>
                <w:sz w:val="24"/>
                <w:szCs w:val="21"/>
                <w:u w:val="none"/>
                <w:vertAlign w:val="baseline"/>
                <w:lang w:val="en-US" w:eastAsia="zh-CN"/>
              </w:rPr>
              <w:t xml:space="preserve">  </w:t>
            </w:r>
          </w:p>
          <w:p w14:paraId="269334E6">
            <w:pPr>
              <w:pStyle w:val="BodyTextFirstIndent21"/>
              <w:jc w:val="left"/>
              <w:rPr>
                <w:rFonts w:hint="default"/>
                <w:lang w:val="en-US" w:eastAsia="zh-CN"/>
              </w:rPr>
            </w:pPr>
            <w:r>
              <w:rPr>
                <w:rFonts w:cs="Times New Roman" w:hint="eastAsia"/>
                <w:b w:val="0"/>
                <w:bCs/>
                <w:kern w:val="2"/>
                <w:sz w:val="24"/>
                <w:szCs w:val="21"/>
                <w:u w:val="none"/>
                <w:vertAlign w:val="baseline"/>
                <w:lang w:val="en-US" w:eastAsia="zh-CN" w:bidi="ar-SA"/>
              </w:rPr>
              <w:t>注：开展答辩的，应当基于公平原则涵盖所有中标候选人，不得区别对待。答辩期间，不得与中标候选人就中标条件、合同实质性内容进行谈判。答辩活动应当全过程录音、录像并纳入招标档案统一存档备查。答辩应在定标前完成并将相关答辩结果作为定标资料提交定标会议。</w:t>
            </w:r>
          </w:p>
        </w:tc>
      </w:tr>
      <w:tr w14:paraId="387A5457">
        <w:tblPrEx>
          <w:tblW w:w="5631" w:type="pct"/>
          <w:tblInd w:w="-678" w:type="dxa"/>
          <w:tblCellMar>
            <w:top w:w="0" w:type="dxa"/>
            <w:left w:w="108" w:type="dxa"/>
            <w:bottom w:w="0" w:type="dxa"/>
            <w:right w:w="108" w:type="dxa"/>
          </w:tblCellMar>
        </w:tblPrEx>
        <w:tc>
          <w:tcPr>
            <w:tcW w:w="381" w:type="pct"/>
            <w:noWrap w:val="0"/>
            <w:vAlign w:val="top"/>
          </w:tcPr>
          <w:p w14:paraId="50C4D34C">
            <w:pPr>
              <w:widowControl w:val="0"/>
              <w:jc w:val="center"/>
              <w:rPr>
                <w:rFonts w:ascii="宋体" w:eastAsia="宋体" w:hAnsi="宋体" w:cs="宋体" w:hint="eastAsia"/>
                <w:sz w:val="24"/>
                <w:szCs w:val="21"/>
                <w:u w:val="none"/>
                <w:vertAlign w:val="baseline"/>
                <w:lang w:val="en-US" w:eastAsia="zh-CN"/>
              </w:rPr>
            </w:pPr>
          </w:p>
          <w:p w14:paraId="63BD4A08">
            <w:pPr>
              <w:widowControl w:val="0"/>
              <w:jc w:val="center"/>
              <w:rPr>
                <w:rFonts w:ascii="宋体" w:eastAsia="宋体" w:hAnsi="宋体" w:cs="宋体" w:hint="eastAsia"/>
                <w:sz w:val="24"/>
                <w:szCs w:val="21"/>
                <w:u w:val="none"/>
                <w:vertAlign w:val="baseline"/>
                <w:lang w:val="en-US" w:eastAsia="zh-CN"/>
              </w:rPr>
            </w:pPr>
          </w:p>
          <w:p w14:paraId="5C65E632">
            <w:pPr>
              <w:widowControl w:val="0"/>
              <w:jc w:val="center"/>
              <w:rPr>
                <w:rFonts w:ascii="宋体" w:eastAsia="宋体" w:hAnsi="宋体" w:cs="宋体" w:hint="eastAsia"/>
                <w:sz w:val="24"/>
                <w:szCs w:val="21"/>
                <w:u w:val="none"/>
                <w:vertAlign w:val="baseline"/>
                <w:lang w:val="en-US" w:eastAsia="zh-CN"/>
              </w:rPr>
            </w:pPr>
          </w:p>
          <w:p w14:paraId="2973703B">
            <w:pPr>
              <w:widowControl w:val="0"/>
              <w:jc w:val="center"/>
              <w:rPr>
                <w:rFonts w:ascii="宋体" w:eastAsia="宋体" w:hAnsi="宋体" w:cs="宋体" w:hint="eastAsia"/>
                <w:sz w:val="24"/>
                <w:szCs w:val="21"/>
                <w:u w:val="none"/>
                <w:vertAlign w:val="baseline"/>
                <w:lang w:val="en-US" w:eastAsia="zh-CN"/>
              </w:rPr>
            </w:pPr>
          </w:p>
          <w:p w14:paraId="23580309">
            <w:pPr>
              <w:widowControl w:val="0"/>
              <w:jc w:val="center"/>
              <w:rPr>
                <w:rFonts w:ascii="宋体" w:eastAsia="宋体" w:hAnsi="宋体" w:cs="宋体" w:hint="eastAsia"/>
                <w:kern w:val="2"/>
                <w:sz w:val="24"/>
                <w:szCs w:val="21"/>
                <w:u w:val="none"/>
                <w:vertAlign w:val="baseline"/>
                <w:lang w:val="en-US" w:eastAsia="zh-CN" w:bidi="ar-SA"/>
              </w:rPr>
            </w:pPr>
            <w:r>
              <w:rPr>
                <w:rFonts w:ascii="宋体" w:eastAsia="宋体" w:hAnsi="宋体" w:cs="宋体" w:hint="eastAsia"/>
                <w:sz w:val="24"/>
                <w:szCs w:val="21"/>
                <w:u w:val="none"/>
                <w:vertAlign w:val="baseline"/>
                <w:lang w:val="en-US" w:eastAsia="zh-CN"/>
              </w:rPr>
              <w:t>5</w:t>
            </w:r>
          </w:p>
        </w:tc>
        <w:tc>
          <w:tcPr>
            <w:tcW w:w="866" w:type="pct"/>
            <w:noWrap w:val="0"/>
            <w:vAlign w:val="top"/>
          </w:tcPr>
          <w:p w14:paraId="7928ADA5">
            <w:pPr>
              <w:widowControl w:val="0"/>
              <w:ind w:firstLine="480" w:firstLineChars="200"/>
              <w:jc w:val="center"/>
              <w:rPr>
                <w:rFonts w:ascii="宋体" w:eastAsia="宋体" w:hAnsi="宋体" w:cs="宋体" w:hint="eastAsia"/>
                <w:sz w:val="24"/>
                <w:szCs w:val="21"/>
                <w:highlight w:val="none"/>
                <w:u w:val="none"/>
                <w:vertAlign w:val="baseline"/>
                <w:lang w:val="en-US" w:eastAsia="zh-CN"/>
              </w:rPr>
            </w:pPr>
          </w:p>
          <w:p w14:paraId="0ECC0CCA">
            <w:pPr>
              <w:widowControl w:val="0"/>
              <w:ind w:firstLine="480" w:firstLineChars="200"/>
              <w:jc w:val="center"/>
              <w:rPr>
                <w:rFonts w:ascii="宋体" w:eastAsia="宋体" w:hAnsi="宋体" w:cs="宋体" w:hint="eastAsia"/>
                <w:sz w:val="24"/>
                <w:szCs w:val="21"/>
                <w:highlight w:val="none"/>
                <w:u w:val="none"/>
                <w:vertAlign w:val="baseline"/>
                <w:lang w:val="en-US" w:eastAsia="zh-CN"/>
              </w:rPr>
            </w:pPr>
          </w:p>
          <w:p w14:paraId="6780644A">
            <w:pPr>
              <w:widowControl w:val="0"/>
              <w:ind w:firstLine="480" w:firstLineChars="200"/>
              <w:jc w:val="center"/>
              <w:rPr>
                <w:rFonts w:ascii="宋体" w:eastAsia="宋体" w:hAnsi="宋体" w:cs="宋体" w:hint="eastAsia"/>
                <w:sz w:val="24"/>
                <w:szCs w:val="21"/>
                <w:highlight w:val="none"/>
                <w:u w:val="none"/>
                <w:vertAlign w:val="baseline"/>
                <w:lang w:val="en-US" w:eastAsia="zh-CN"/>
              </w:rPr>
            </w:pPr>
          </w:p>
          <w:p w14:paraId="6E051525">
            <w:pPr>
              <w:widowControl w:val="0"/>
              <w:ind w:firstLine="480" w:firstLineChars="200"/>
              <w:jc w:val="center"/>
              <w:rPr>
                <w:rFonts w:ascii="宋体" w:eastAsia="宋体" w:hAnsi="宋体" w:cs="宋体" w:hint="eastAsia"/>
                <w:sz w:val="24"/>
                <w:szCs w:val="21"/>
                <w:highlight w:val="none"/>
                <w:u w:val="none"/>
                <w:vertAlign w:val="baseline"/>
                <w:lang w:val="en-US" w:eastAsia="zh-CN"/>
              </w:rPr>
            </w:pPr>
          </w:p>
          <w:p w14:paraId="60C4B028">
            <w:pPr>
              <w:widowControl w:val="0"/>
              <w:jc w:val="both"/>
              <w:rPr>
                <w:rFonts w:ascii="宋体" w:eastAsia="宋体" w:hAnsi="宋体" w:cs="宋体" w:hint="eastAsia"/>
                <w:kern w:val="2"/>
                <w:sz w:val="24"/>
                <w:szCs w:val="21"/>
                <w:u w:val="none"/>
                <w:vertAlign w:val="baseline"/>
                <w:lang w:val="en-US" w:eastAsia="zh-CN" w:bidi="ar-SA"/>
              </w:rPr>
            </w:pPr>
            <w:r>
              <w:rPr>
                <w:rFonts w:ascii="宋体" w:eastAsia="宋体" w:hAnsi="宋体" w:cs="宋体" w:hint="eastAsia"/>
                <w:sz w:val="24"/>
                <w:szCs w:val="21"/>
                <w:highlight w:val="none"/>
                <w:u w:val="none"/>
                <w:vertAlign w:val="baseline"/>
                <w:lang w:val="en-US" w:eastAsia="zh-CN"/>
              </w:rPr>
              <w:t>定标因素</w:t>
            </w:r>
          </w:p>
        </w:tc>
        <w:tc>
          <w:tcPr>
            <w:tcW w:w="3751" w:type="pct"/>
            <w:noWrap w:val="0"/>
            <w:vAlign w:val="top"/>
          </w:tcPr>
          <w:p w14:paraId="43A8C562">
            <w:pPr>
              <w:widowControl w:val="0"/>
              <w:jc w:val="left"/>
              <w:rPr>
                <w:rFonts w:ascii="宋体" w:eastAsia="宋体" w:hAnsi="宋体" w:cs="宋体" w:hint="eastAsia"/>
                <w:sz w:val="24"/>
                <w:szCs w:val="21"/>
                <w:u w:val="single"/>
                <w:vertAlign w:val="baseline"/>
                <w:lang w:val="en-US" w:eastAsia="zh-CN"/>
              </w:rPr>
            </w:pPr>
            <w:r>
              <w:rPr>
                <w:rFonts w:ascii="宋体" w:eastAsia="宋体" w:hAnsi="宋体" w:cs="宋体" w:hint="eastAsia"/>
                <w:sz w:val="24"/>
                <w:szCs w:val="21"/>
                <w:highlight w:val="none"/>
                <w:u w:val="none"/>
                <w:vertAlign w:val="baseline"/>
                <w:lang w:val="en-US" w:eastAsia="zh-CN"/>
              </w:rPr>
              <w:t>定标因素:</w:t>
            </w:r>
            <w:r>
              <w:rPr>
                <w:rFonts w:ascii="宋体" w:eastAsia="宋体" w:hAnsi="宋体" w:cs="宋体" w:hint="eastAsia"/>
                <w:sz w:val="24"/>
                <w:szCs w:val="21"/>
                <w:u w:val="none"/>
                <w:vertAlign w:val="baseline"/>
                <w:lang w:val="en-US" w:eastAsia="zh-CN"/>
              </w:rPr>
              <w:t xml:space="preserve"> 价格因素、投标方案、拟派团队能力与水平、招标人认为需要考量的其他合理因素 </w:t>
            </w:r>
          </w:p>
          <w:p w14:paraId="1F67890B">
            <w:pPr>
              <w:widowControl w:val="0"/>
              <w:ind w:firstLine="480" w:firstLineChars="200"/>
              <w:jc w:val="left"/>
              <w:rPr>
                <w:rFonts w:hint="eastAsia"/>
                <w:sz w:val="24"/>
                <w:szCs w:val="21"/>
                <w:u w:val="none"/>
                <w:vertAlign w:val="baseline"/>
                <w:lang w:val="en-US" w:eastAsia="zh-CN"/>
              </w:rPr>
            </w:pPr>
          </w:p>
          <w:p w14:paraId="10730018">
            <w:pPr>
              <w:widowControl w:val="0"/>
              <w:ind w:firstLine="480" w:firstLineChars="200"/>
              <w:jc w:val="left"/>
              <w:rPr>
                <w:rFonts w:ascii="Times New Roman" w:eastAsia="宋体" w:hAnsi="Times New Roman" w:cs="Times New Roman" w:hint="eastAsia"/>
                <w:b w:val="0"/>
                <w:bCs/>
                <w:kern w:val="2"/>
                <w:sz w:val="24"/>
                <w:szCs w:val="21"/>
                <w:u w:val="none"/>
                <w:vertAlign w:val="baseline"/>
                <w:lang w:val="en-US" w:eastAsia="zh-CN" w:bidi="ar-SA"/>
              </w:rPr>
            </w:pPr>
            <w:r>
              <w:rPr>
                <w:rFonts w:ascii="Times New Roman" w:eastAsia="宋体" w:hAnsi="Times New Roman" w:cs="Times New Roman" w:hint="eastAsia"/>
                <w:b w:val="0"/>
                <w:bCs/>
                <w:kern w:val="2"/>
                <w:sz w:val="24"/>
                <w:szCs w:val="21"/>
                <w:u w:val="none"/>
                <w:vertAlign w:val="baseline"/>
                <w:lang w:val="en-US" w:eastAsia="zh-CN" w:bidi="ar-SA"/>
              </w:rPr>
              <w:t>注：（1）</w:t>
            </w:r>
            <w:r>
              <w:rPr>
                <w:rFonts w:ascii="Times New Roman" w:eastAsia="宋体" w:hAnsi="Times New Roman" w:cs="Times New Roman" w:hint="default"/>
                <w:b w:val="0"/>
                <w:bCs/>
                <w:kern w:val="2"/>
                <w:sz w:val="24"/>
                <w:szCs w:val="21"/>
                <w:u w:val="none"/>
                <w:vertAlign w:val="baseline"/>
                <w:lang w:val="en-US" w:eastAsia="zh-CN" w:bidi="ar-SA"/>
              </w:rPr>
              <w:t>招标人应根据项目具体情况选择定标因素，不宜将投标文件编写水平优劣、评标专家评价高低、报价高低作为唯一依据，还应结合项目特征、规模、技术难度等，重点考察企业实力、信用状况、拟派团队管理技术实力等直接关系到履约能力和水平的因素</w:t>
            </w:r>
            <w:r>
              <w:rPr>
                <w:rFonts w:ascii="Times New Roman" w:eastAsia="宋体" w:hAnsi="Times New Roman" w:cs="Times New Roman" w:hint="eastAsia"/>
                <w:b w:val="0"/>
                <w:bCs/>
                <w:kern w:val="2"/>
                <w:sz w:val="24"/>
                <w:szCs w:val="21"/>
                <w:u w:val="none"/>
                <w:vertAlign w:val="baseline"/>
                <w:lang w:val="en-US" w:eastAsia="zh-CN" w:bidi="ar-SA"/>
              </w:rPr>
              <w:t>。定标可参考以下要素：</w:t>
            </w:r>
            <w:r>
              <w:rPr>
                <w:rFonts w:ascii="Times New Roman" w:eastAsia="宋体" w:hAnsi="Times New Roman" w:cs="Times New Roman" w:hint="default"/>
                <w:b w:val="0"/>
                <w:bCs/>
                <w:kern w:val="2"/>
                <w:sz w:val="24"/>
                <w:szCs w:val="21"/>
                <w:u w:val="none"/>
                <w:vertAlign w:val="baseline"/>
                <w:lang w:val="en-US" w:eastAsia="zh-CN" w:bidi="ar-SA"/>
              </w:rPr>
              <w:t>价格因素</w:t>
            </w:r>
            <w:r>
              <w:rPr>
                <w:rFonts w:ascii="Times New Roman" w:eastAsia="宋体" w:hAnsi="Times New Roman" w:cs="Times New Roman" w:hint="eastAsia"/>
                <w:b w:val="0"/>
                <w:bCs/>
                <w:kern w:val="2"/>
                <w:sz w:val="24"/>
                <w:szCs w:val="21"/>
                <w:u w:val="none"/>
                <w:vertAlign w:val="baseline"/>
                <w:lang w:val="en-US" w:eastAsia="zh-CN" w:bidi="ar-SA"/>
              </w:rPr>
              <w:t>、</w:t>
            </w:r>
            <w:r>
              <w:rPr>
                <w:rFonts w:ascii="Times New Roman" w:eastAsia="宋体" w:hAnsi="Times New Roman" w:cs="Times New Roman" w:hint="default"/>
                <w:b w:val="0"/>
                <w:bCs/>
                <w:kern w:val="2"/>
                <w:sz w:val="24"/>
                <w:szCs w:val="21"/>
                <w:u w:val="none"/>
                <w:vertAlign w:val="baseline"/>
                <w:lang w:val="en-US" w:eastAsia="zh-CN" w:bidi="ar-SA"/>
              </w:rPr>
              <w:t>企业实力</w:t>
            </w:r>
            <w:r>
              <w:rPr>
                <w:rFonts w:ascii="Times New Roman" w:eastAsia="宋体" w:hAnsi="Times New Roman" w:cs="Times New Roman" w:hint="eastAsia"/>
                <w:b w:val="0"/>
                <w:bCs/>
                <w:kern w:val="2"/>
                <w:sz w:val="24"/>
                <w:szCs w:val="21"/>
                <w:u w:val="none"/>
                <w:vertAlign w:val="baseline"/>
                <w:lang w:val="en-US" w:eastAsia="zh-CN" w:bidi="ar-SA"/>
              </w:rPr>
              <w:t>、</w:t>
            </w:r>
            <w:r>
              <w:rPr>
                <w:rFonts w:ascii="Times New Roman" w:eastAsia="宋体" w:hAnsi="Times New Roman" w:cs="Times New Roman" w:hint="default"/>
                <w:b w:val="0"/>
                <w:bCs/>
                <w:kern w:val="2"/>
                <w:sz w:val="24"/>
                <w:szCs w:val="21"/>
                <w:u w:val="none"/>
                <w:vertAlign w:val="baseline"/>
                <w:lang w:val="en-US" w:eastAsia="zh-CN" w:bidi="ar-SA"/>
              </w:rPr>
              <w:t>企业信誉</w:t>
            </w:r>
            <w:r>
              <w:rPr>
                <w:rFonts w:ascii="Times New Roman" w:eastAsia="宋体" w:hAnsi="Times New Roman" w:cs="Times New Roman" w:hint="eastAsia"/>
                <w:b w:val="0"/>
                <w:bCs/>
                <w:kern w:val="2"/>
                <w:sz w:val="24"/>
                <w:szCs w:val="21"/>
                <w:u w:val="none"/>
                <w:vertAlign w:val="baseline"/>
                <w:lang w:val="en-US" w:eastAsia="zh-CN" w:bidi="ar-SA"/>
              </w:rPr>
              <w:t>、</w:t>
            </w:r>
            <w:r>
              <w:rPr>
                <w:rFonts w:ascii="Times New Roman" w:eastAsia="宋体" w:hAnsi="Times New Roman" w:cs="Times New Roman" w:hint="default"/>
                <w:b w:val="0"/>
                <w:bCs/>
                <w:kern w:val="2"/>
                <w:sz w:val="24"/>
                <w:szCs w:val="21"/>
                <w:u w:val="none"/>
                <w:vertAlign w:val="baseline"/>
                <w:lang w:val="en-US" w:eastAsia="zh-CN" w:bidi="ar-SA"/>
              </w:rPr>
              <w:t>投标方案</w:t>
            </w:r>
            <w:r>
              <w:rPr>
                <w:rFonts w:ascii="Times New Roman" w:eastAsia="宋体" w:hAnsi="Times New Roman" w:cs="Times New Roman" w:hint="eastAsia"/>
                <w:b w:val="0"/>
                <w:bCs/>
                <w:kern w:val="2"/>
                <w:sz w:val="24"/>
                <w:szCs w:val="21"/>
                <w:u w:val="none"/>
                <w:vertAlign w:val="baseline"/>
                <w:lang w:val="en-US" w:eastAsia="zh-CN" w:bidi="ar-SA"/>
              </w:rPr>
              <w:t>、</w:t>
            </w:r>
            <w:r>
              <w:rPr>
                <w:rFonts w:ascii="Times New Roman" w:eastAsia="宋体" w:hAnsi="Times New Roman" w:cs="Times New Roman" w:hint="default"/>
                <w:b w:val="0"/>
                <w:bCs/>
                <w:kern w:val="2"/>
                <w:sz w:val="24"/>
                <w:szCs w:val="21"/>
                <w:u w:val="none"/>
                <w:vertAlign w:val="baseline"/>
                <w:lang w:val="en-US" w:eastAsia="zh-CN" w:bidi="ar-SA"/>
              </w:rPr>
              <w:t>拟派团队能力与水平</w:t>
            </w:r>
            <w:r>
              <w:rPr>
                <w:rFonts w:ascii="Times New Roman" w:eastAsia="宋体" w:hAnsi="Times New Roman" w:cs="Times New Roman" w:hint="eastAsia"/>
                <w:b w:val="0"/>
                <w:bCs/>
                <w:kern w:val="2"/>
                <w:sz w:val="24"/>
                <w:szCs w:val="21"/>
                <w:u w:val="none"/>
                <w:vertAlign w:val="baseline"/>
                <w:lang w:val="en-US" w:eastAsia="zh-CN" w:bidi="ar-SA"/>
              </w:rPr>
              <w:t>、</w:t>
            </w:r>
            <w:r>
              <w:rPr>
                <w:rFonts w:ascii="Times New Roman" w:eastAsia="宋体" w:hAnsi="Times New Roman" w:cs="Times New Roman" w:hint="default"/>
                <w:b w:val="0"/>
                <w:bCs/>
                <w:kern w:val="2"/>
                <w:sz w:val="24"/>
                <w:szCs w:val="21"/>
                <w:u w:val="none"/>
                <w:vertAlign w:val="baseline"/>
                <w:lang w:val="en-US" w:eastAsia="zh-CN" w:bidi="ar-SA"/>
              </w:rPr>
              <w:t>提供产品服务质量</w:t>
            </w:r>
            <w:r>
              <w:rPr>
                <w:rFonts w:ascii="Times New Roman" w:eastAsia="宋体" w:hAnsi="Times New Roman" w:cs="Times New Roman" w:hint="eastAsia"/>
                <w:b w:val="0"/>
                <w:bCs/>
                <w:kern w:val="2"/>
                <w:sz w:val="24"/>
                <w:szCs w:val="21"/>
                <w:u w:val="none"/>
                <w:vertAlign w:val="baseline"/>
                <w:lang w:val="en-US" w:eastAsia="zh-CN" w:bidi="ar-SA"/>
              </w:rPr>
              <w:t>、</w:t>
            </w:r>
            <w:r>
              <w:rPr>
                <w:rFonts w:ascii="Times New Roman" w:eastAsia="宋体" w:hAnsi="Times New Roman" w:cs="Times New Roman" w:hint="default"/>
                <w:b w:val="0"/>
                <w:bCs/>
                <w:kern w:val="2"/>
                <w:sz w:val="24"/>
                <w:szCs w:val="21"/>
                <w:u w:val="none"/>
                <w:vertAlign w:val="baseline"/>
                <w:lang w:val="en-US" w:eastAsia="zh-CN" w:bidi="ar-SA"/>
              </w:rPr>
              <w:t>招标人认为需要考量的其他合理因素</w:t>
            </w:r>
            <w:r>
              <w:rPr>
                <w:rFonts w:ascii="Times New Roman" w:eastAsia="宋体" w:hAnsi="Times New Roman" w:cs="Times New Roman" w:hint="eastAsia"/>
                <w:b w:val="0"/>
                <w:bCs/>
                <w:kern w:val="2"/>
                <w:sz w:val="24"/>
                <w:szCs w:val="21"/>
                <w:u w:val="none"/>
                <w:vertAlign w:val="baseline"/>
                <w:lang w:val="en-US" w:eastAsia="zh-CN" w:bidi="ar-SA"/>
              </w:rPr>
              <w:t>。</w:t>
            </w:r>
          </w:p>
          <w:p w14:paraId="55D86D7A">
            <w:pPr>
              <w:widowControl w:val="0"/>
              <w:ind w:firstLine="480" w:firstLineChars="200"/>
              <w:jc w:val="left"/>
              <w:rPr>
                <w:rFonts w:hint="default"/>
                <w:lang w:val="en-US" w:eastAsia="zh-CN"/>
              </w:rPr>
            </w:pPr>
            <w:r>
              <w:rPr>
                <w:rFonts w:ascii="Times New Roman" w:eastAsia="宋体" w:hAnsi="Times New Roman" w:cs="Times New Roman" w:hint="eastAsia"/>
                <w:b w:val="0"/>
                <w:bCs/>
                <w:kern w:val="2"/>
                <w:sz w:val="24"/>
                <w:szCs w:val="21"/>
                <w:u w:val="none"/>
                <w:vertAlign w:val="baseline"/>
                <w:lang w:val="en-US" w:eastAsia="zh-CN" w:bidi="ar-SA"/>
              </w:rPr>
              <w:t>（2）仅面向中小企业发包的，在其他定标因素相当的情况下，原则上应优先选择小微建筑企业。</w:t>
            </w:r>
          </w:p>
        </w:tc>
      </w:tr>
      <w:tr w14:paraId="2F21182F">
        <w:tblPrEx>
          <w:tblW w:w="5631" w:type="pct"/>
          <w:tblInd w:w="-678" w:type="dxa"/>
          <w:tblCellMar>
            <w:top w:w="0" w:type="dxa"/>
            <w:left w:w="108" w:type="dxa"/>
            <w:bottom w:w="0" w:type="dxa"/>
            <w:right w:w="108" w:type="dxa"/>
          </w:tblCellMar>
        </w:tblPrEx>
        <w:tc>
          <w:tcPr>
            <w:tcW w:w="381" w:type="pct"/>
            <w:noWrap w:val="0"/>
            <w:vAlign w:val="top"/>
          </w:tcPr>
          <w:p w14:paraId="264068F4">
            <w:pPr>
              <w:widowControl w:val="0"/>
              <w:jc w:val="center"/>
              <w:rPr>
                <w:rFonts w:ascii="宋体" w:eastAsia="宋体" w:hAnsi="宋体" w:cs="宋体" w:hint="eastAsia"/>
                <w:sz w:val="24"/>
                <w:szCs w:val="21"/>
                <w:u w:val="none"/>
                <w:vertAlign w:val="baseline"/>
                <w:lang w:val="en-US" w:eastAsia="zh-CN"/>
              </w:rPr>
            </w:pPr>
          </w:p>
          <w:p w14:paraId="6FB3D33E">
            <w:pPr>
              <w:widowControl w:val="0"/>
              <w:jc w:val="center"/>
              <w:rPr>
                <w:rFonts w:ascii="宋体" w:eastAsia="宋体" w:hAnsi="宋体" w:cs="宋体" w:hint="eastAsia"/>
                <w:sz w:val="24"/>
                <w:szCs w:val="21"/>
                <w:u w:val="none"/>
                <w:vertAlign w:val="baseline"/>
                <w:lang w:val="en-US" w:eastAsia="zh-CN"/>
              </w:rPr>
            </w:pPr>
          </w:p>
          <w:p w14:paraId="0FAA75E9">
            <w:pPr>
              <w:widowControl w:val="0"/>
              <w:jc w:val="center"/>
              <w:rPr>
                <w:rFonts w:ascii="宋体" w:eastAsia="宋体" w:hAnsi="宋体" w:cs="宋体" w:hint="eastAsia"/>
                <w:sz w:val="24"/>
                <w:szCs w:val="21"/>
                <w:u w:val="none"/>
                <w:vertAlign w:val="baseline"/>
                <w:lang w:val="en-US" w:eastAsia="zh-CN"/>
              </w:rPr>
            </w:pPr>
          </w:p>
          <w:p w14:paraId="44BB28B6">
            <w:pPr>
              <w:widowControl w:val="0"/>
              <w:jc w:val="center"/>
              <w:rPr>
                <w:rFonts w:ascii="宋体" w:eastAsia="宋体" w:hAnsi="宋体" w:cs="宋体" w:hint="eastAsia"/>
                <w:sz w:val="24"/>
                <w:szCs w:val="21"/>
                <w:u w:val="none"/>
                <w:vertAlign w:val="baseline"/>
                <w:lang w:val="en-US" w:eastAsia="zh-CN"/>
              </w:rPr>
            </w:pPr>
          </w:p>
          <w:p w14:paraId="025FC455">
            <w:pPr>
              <w:widowControl w:val="0"/>
              <w:jc w:val="center"/>
              <w:rPr>
                <w:rFonts w:ascii="宋体" w:eastAsia="宋体" w:hAnsi="宋体" w:cs="宋体" w:hint="eastAsia"/>
                <w:sz w:val="24"/>
                <w:szCs w:val="21"/>
                <w:u w:val="none"/>
                <w:vertAlign w:val="baseline"/>
                <w:lang w:val="en-US" w:eastAsia="zh-CN"/>
              </w:rPr>
            </w:pPr>
          </w:p>
          <w:p w14:paraId="0813C9B1">
            <w:pPr>
              <w:widowControl w:val="0"/>
              <w:jc w:val="center"/>
              <w:rPr>
                <w:rFonts w:ascii="宋体" w:eastAsia="宋体" w:hAnsi="宋体" w:cs="宋体" w:hint="eastAsia"/>
                <w:sz w:val="24"/>
                <w:szCs w:val="21"/>
                <w:u w:val="none"/>
                <w:vertAlign w:val="baseline"/>
                <w:lang w:val="en-US" w:eastAsia="zh-CN"/>
              </w:rPr>
            </w:pPr>
            <w:r>
              <w:rPr>
                <w:rFonts w:ascii="宋体" w:eastAsia="宋体" w:hAnsi="宋体" w:cs="宋体" w:hint="eastAsia"/>
                <w:sz w:val="24"/>
                <w:szCs w:val="21"/>
                <w:u w:val="none"/>
                <w:vertAlign w:val="baseline"/>
                <w:lang w:val="en-US" w:eastAsia="zh-CN"/>
              </w:rPr>
              <w:t>6</w:t>
            </w:r>
          </w:p>
        </w:tc>
        <w:tc>
          <w:tcPr>
            <w:tcW w:w="866" w:type="pct"/>
            <w:noWrap w:val="0"/>
            <w:vAlign w:val="top"/>
          </w:tcPr>
          <w:p w14:paraId="31C0AC2D">
            <w:pPr>
              <w:widowControl w:val="0"/>
              <w:jc w:val="center"/>
              <w:rPr>
                <w:rFonts w:ascii="宋体" w:eastAsia="宋体" w:hAnsi="宋体" w:cs="宋体" w:hint="eastAsia"/>
                <w:color w:val="auto"/>
                <w:sz w:val="24"/>
                <w:szCs w:val="21"/>
                <w:highlight w:val="none"/>
                <w:u w:val="none"/>
                <w:vertAlign w:val="baseline"/>
                <w:lang w:val="en-US" w:eastAsia="zh-CN"/>
              </w:rPr>
            </w:pPr>
          </w:p>
          <w:p w14:paraId="2E9E68BE">
            <w:pPr>
              <w:widowControl w:val="0"/>
              <w:jc w:val="center"/>
              <w:rPr>
                <w:rFonts w:ascii="宋体" w:eastAsia="宋体" w:hAnsi="宋体" w:cs="宋体" w:hint="eastAsia"/>
                <w:color w:val="auto"/>
                <w:sz w:val="24"/>
                <w:szCs w:val="21"/>
                <w:highlight w:val="none"/>
                <w:u w:val="none"/>
                <w:vertAlign w:val="baseline"/>
                <w:lang w:val="en-US" w:eastAsia="zh-CN"/>
              </w:rPr>
            </w:pPr>
          </w:p>
          <w:p w14:paraId="69FC6471">
            <w:pPr>
              <w:widowControl w:val="0"/>
              <w:jc w:val="center"/>
              <w:rPr>
                <w:rFonts w:ascii="宋体" w:eastAsia="宋体" w:hAnsi="宋体" w:cs="宋体" w:hint="eastAsia"/>
                <w:color w:val="auto"/>
                <w:sz w:val="24"/>
                <w:szCs w:val="21"/>
                <w:highlight w:val="none"/>
                <w:u w:val="none"/>
                <w:vertAlign w:val="baseline"/>
                <w:lang w:val="en-US" w:eastAsia="zh-CN"/>
              </w:rPr>
            </w:pPr>
          </w:p>
          <w:p w14:paraId="48BE2FEE">
            <w:pPr>
              <w:widowControl w:val="0"/>
              <w:jc w:val="center"/>
              <w:rPr>
                <w:rFonts w:ascii="宋体" w:eastAsia="宋体" w:hAnsi="宋体" w:cs="宋体" w:hint="eastAsia"/>
                <w:color w:val="auto"/>
                <w:sz w:val="24"/>
                <w:szCs w:val="21"/>
                <w:highlight w:val="none"/>
                <w:u w:val="none"/>
                <w:vertAlign w:val="baseline"/>
                <w:lang w:val="en-US" w:eastAsia="zh-CN"/>
              </w:rPr>
            </w:pPr>
          </w:p>
          <w:p w14:paraId="30CD8B37">
            <w:pPr>
              <w:widowControl w:val="0"/>
              <w:jc w:val="center"/>
              <w:rPr>
                <w:rFonts w:ascii="宋体" w:eastAsia="宋体" w:hAnsi="宋体" w:cs="宋体" w:hint="eastAsia"/>
                <w:color w:val="auto"/>
                <w:sz w:val="24"/>
                <w:szCs w:val="21"/>
                <w:highlight w:val="none"/>
                <w:u w:val="none"/>
                <w:vertAlign w:val="baseline"/>
                <w:lang w:val="en-US" w:eastAsia="zh-CN"/>
              </w:rPr>
            </w:pPr>
          </w:p>
          <w:p w14:paraId="003C0B3E">
            <w:pPr>
              <w:widowControl w:val="0"/>
              <w:ind w:firstLine="480" w:firstLineChars="200"/>
              <w:jc w:val="center"/>
              <w:rPr>
                <w:rFonts w:ascii="宋体" w:eastAsia="宋体" w:hAnsi="宋体" w:cs="宋体" w:hint="eastAsia"/>
                <w:color w:val="auto"/>
                <w:sz w:val="24"/>
                <w:szCs w:val="21"/>
                <w:highlight w:val="none"/>
                <w:u w:val="none"/>
                <w:vertAlign w:val="baseline"/>
                <w:lang w:val="en-US" w:eastAsia="zh-CN"/>
              </w:rPr>
            </w:pPr>
            <w:r>
              <w:rPr>
                <w:rFonts w:ascii="宋体" w:eastAsia="宋体" w:hAnsi="宋体" w:cs="宋体" w:hint="eastAsia"/>
                <w:color w:val="auto"/>
                <w:sz w:val="24"/>
                <w:szCs w:val="21"/>
                <w:highlight w:val="none"/>
                <w:u w:val="none"/>
                <w:vertAlign w:val="baseline"/>
                <w:lang w:val="en-US" w:eastAsia="zh-CN"/>
              </w:rPr>
              <w:t>定标方式</w:t>
            </w:r>
          </w:p>
          <w:p w14:paraId="7C1AC40C">
            <w:pPr>
              <w:pStyle w:val="BodyTextFirstIndent21"/>
              <w:jc w:val="center"/>
              <w:rPr>
                <w:rFonts w:ascii="宋体" w:eastAsia="宋体" w:hAnsi="宋体" w:cs="宋体" w:hint="eastAsia"/>
              </w:rPr>
            </w:pPr>
          </w:p>
        </w:tc>
        <w:tc>
          <w:tcPr>
            <w:tcW w:w="3751" w:type="pct"/>
            <w:noWrap w:val="0"/>
            <w:vAlign w:val="top"/>
          </w:tcPr>
          <w:p w14:paraId="6B8A4363">
            <w:pPr>
              <w:widowControl w:val="0"/>
              <w:numPr>
                <w:ilvl w:val="0"/>
                <w:numId w:val="0"/>
              </w:numPr>
              <w:jc w:val="left"/>
              <w:rPr>
                <w:rFonts w:ascii="宋体" w:eastAsia="宋体" w:hAnsi="宋体" w:cs="宋体" w:hint="eastAsia"/>
                <w:sz w:val="24"/>
                <w:szCs w:val="21"/>
                <w:u w:val="none"/>
                <w:vertAlign w:val="baseline"/>
                <w:lang w:val="en-US" w:eastAsia="zh-CN"/>
              </w:rPr>
            </w:pPr>
            <w:sdt>
              <w:sdtPr>
                <w:rPr>
                  <w:rFonts w:ascii="宋体" w:hAnsi="宋体" w:eastAsiaTheme="minorEastAsia" w:cs="Times New Roman" w:hint="default"/>
                  <w:sz w:val="24"/>
                  <w:szCs w:val="24"/>
                  <w:lang w:val="en-US" w:eastAsia="en-US" w:bidi="ar-SA"/>
                </w:rPr>
                <w:id w:val="147455933"/>
                <w14:checkbox>
                  <w14:checked w14:val="0"/>
                  <w14:checkedState w14:val="2611" w14:font="MS Gothic"/>
                  <w14:uncheckedState w14:val="2610" w14:font="MS Gothic"/>
                </w14:checkbox>
              </w:sdtPr>
              <w:sdtEndPr>
                <w:rPr>
                  <w:rFonts w:ascii="宋体" w:hAnsi="宋体" w:eastAsiaTheme="minorEastAsia" w:cs="Times New Roman" w:hint="default"/>
                  <w:sz w:val="24"/>
                  <w:szCs w:val="24"/>
                  <w:lang w:val="en-US" w:eastAsia="en-US" w:bidi="ar-SA"/>
                </w:rPr>
              </w:sdtEndPr>
              <w:sdtContent>
                <w:r>
                  <w:rPr>
                    <w:rFonts w:ascii="MS Gothic" w:eastAsia="MS Gothic" w:hAnsi="MS Gothic" w:cs="MS Gothic"/>
                  </w:rPr>
                  <w:t>☐</w:t>
                </w:r>
              </w:sdtContent>
            </w:sdt>
            <w:r>
              <w:rPr>
                <w:rFonts w:ascii="宋体" w:eastAsia="宋体" w:hAnsi="宋体" w:cs="宋体" w:hint="eastAsia"/>
                <w:sz w:val="24"/>
                <w:szCs w:val="21"/>
                <w:u w:val="none"/>
                <w:vertAlign w:val="baseline"/>
                <w:lang w:val="en-US" w:eastAsia="zh-CN"/>
              </w:rPr>
              <w:t>招标人领导班子（党政机关、事业单位、团体组织的党委、党组，国有及国有控股企业相应“三重一大”决策层级）集体决策</w:t>
            </w:r>
          </w:p>
          <w:p w14:paraId="08ED0B16">
            <w:pPr>
              <w:widowControl w:val="0"/>
              <w:numPr>
                <w:ilvl w:val="0"/>
                <w:numId w:val="0"/>
              </w:numPr>
              <w:ind w:firstLine="720" w:firstLineChars="300"/>
              <w:jc w:val="left"/>
              <w:rPr>
                <w:rFonts w:ascii="宋体" w:eastAsia="宋体" w:hAnsi="宋体" w:cs="宋体" w:hint="eastAsia"/>
                <w:sz w:val="24"/>
                <w:szCs w:val="21"/>
                <w:u w:val="single"/>
                <w:vertAlign w:val="baseline"/>
                <w:lang w:val="en-US" w:eastAsia="zh-CN"/>
              </w:rPr>
            </w:pPr>
            <w:r>
              <w:rPr>
                <w:rFonts w:ascii="宋体" w:eastAsia="宋体" w:hAnsi="宋体" w:cs="宋体" w:hint="eastAsia"/>
                <w:sz w:val="24"/>
                <w:szCs w:val="21"/>
                <w:u w:val="single"/>
                <w:vertAlign w:val="baseline"/>
                <w:lang w:val="en-US" w:eastAsia="zh-CN"/>
              </w:rPr>
              <w:t xml:space="preserve">       </w:t>
            </w:r>
            <w:r>
              <w:rPr>
                <w:rFonts w:ascii="宋体" w:eastAsia="宋体" w:hAnsi="宋体" w:cs="宋体" w:hint="eastAsia"/>
                <w:sz w:val="24"/>
                <w:szCs w:val="21"/>
                <w:u w:val="single"/>
                <w:vertAlign w:val="baseline"/>
                <w:lang w:val="en-US" w:eastAsia="zh-CN"/>
              </w:rPr>
              <w:t>（具体规则）</w:t>
            </w:r>
          </w:p>
          <w:p w14:paraId="0F3691D0">
            <w:pPr>
              <w:widowControl w:val="0"/>
              <w:jc w:val="left"/>
              <w:rPr>
                <w:rFonts w:ascii="宋体" w:eastAsia="宋体" w:hAnsi="宋体" w:cs="宋体" w:hint="eastAsia"/>
                <w:sz w:val="24"/>
                <w:szCs w:val="21"/>
                <w:u w:val="none"/>
                <w:vertAlign w:val="baseline"/>
                <w:lang w:val="en-US" w:eastAsia="zh-CN"/>
              </w:rPr>
            </w:pPr>
            <w:sdt>
              <w:sdtPr>
                <w:rPr>
                  <w:rFonts w:ascii="宋体" w:hAnsi="宋体" w:eastAsiaTheme="minorEastAsia" w:cs="Times New Roman" w:hint="default"/>
                  <w:sz w:val="24"/>
                  <w:szCs w:val="24"/>
                  <w:lang w:val="en-US" w:eastAsia="en-US" w:bidi="ar-SA"/>
                </w:rPr>
                <w:id w:val="147455770"/>
                <w14:checkbox>
                  <w14:checked w14:val="1"/>
                  <w14:checkedState w14:val="2611" w14:font="MS Gothic"/>
                  <w14:uncheckedState w14:val="2610" w14:font="MS Gothic"/>
                </w14:checkbox>
              </w:sdtPr>
              <w:sdtEndPr>
                <w:rPr>
                  <w:rFonts w:ascii="宋体" w:hAnsi="宋体" w:eastAsiaTheme="minorEastAsia" w:cs="Times New Roman" w:hint="default"/>
                  <w:sz w:val="24"/>
                  <w:szCs w:val="24"/>
                  <w:lang w:val="en-US" w:eastAsia="en-US" w:bidi="ar-SA"/>
                </w:rPr>
              </w:sdtEndPr>
              <w:sdtContent>
                <w:r>
                  <w:rPr>
                    <w:rFonts w:ascii="MS Gothic" w:eastAsia="MS Gothic" w:hAnsi="MS Gothic" w:cs="MS Gothic"/>
                    <w:sz w:val="24"/>
                    <w:szCs w:val="24"/>
                    <w:lang w:val="en-US" w:eastAsia="en-US" w:bidi="ar-SA"/>
                  </w:rPr>
                  <w:t>☑</w:t>
                </w:r>
              </w:sdtContent>
            </w:sdt>
            <w:r>
              <w:rPr>
                <w:rFonts w:ascii="宋体" w:eastAsia="宋体" w:hAnsi="宋体" w:cs="宋体" w:hint="eastAsia"/>
                <w:sz w:val="24"/>
                <w:szCs w:val="21"/>
                <w:u w:val="none"/>
                <w:vertAlign w:val="baseline"/>
                <w:lang w:val="en-US" w:eastAsia="zh-CN"/>
              </w:rPr>
              <w:t>组建定标委员会确定（</w:t>
            </w:r>
            <w:sdt>
              <w:sdtPr>
                <w:rPr>
                  <w:rFonts w:ascii="宋体" w:eastAsia="宋体" w:hAnsi="宋体" w:cs="宋体" w:hint="eastAsia"/>
                  <w:sz w:val="24"/>
                  <w:szCs w:val="21"/>
                  <w:u w:val="none"/>
                  <w:vertAlign w:val="baseline"/>
                  <w:lang w:val="en-US" w:eastAsia="zh-CN" w:bidi="ar-SA"/>
                </w:rPr>
                <w:id w:val="147455809"/>
                <w14:checkbox>
                  <w14:checked w14:val="1"/>
                  <w14:checkedState w14:val="2611" w14:font="MS Gothic"/>
                  <w14:uncheckedState w14:val="2610" w14:font="MS Gothic"/>
                </w14:checkbox>
              </w:sdtPr>
              <w:sdtEndPr>
                <w:rPr>
                  <w:rFonts w:ascii="宋体" w:hAnsi="宋体" w:eastAsiaTheme="minorEastAsia" w:cs="Times New Roman" w:hint="default"/>
                  <w:sz w:val="24"/>
                  <w:szCs w:val="24"/>
                  <w:u w:val="none"/>
                  <w:vertAlign w:val="baseline"/>
                  <w:lang w:val="en-US" w:eastAsia="en-US" w:bidi="ar-SA"/>
                </w:rPr>
              </w:sdtEndPr>
              <w:sdtContent>
                <w:r>
                  <w:rPr>
                    <w:rFonts w:ascii="MS Gothic" w:eastAsia="MS Gothic" w:hAnsi="MS Gothic" w:cs="MS Gothic"/>
                    <w:sz w:val="24"/>
                    <w:szCs w:val="24"/>
                    <w:lang w:val="en-US" w:eastAsia="en-US" w:bidi="ar-SA"/>
                  </w:rPr>
                  <w:t>☑</w:t>
                </w:r>
              </w:sdtContent>
            </w:sdt>
            <w:r>
              <w:rPr>
                <w:rFonts w:ascii="宋体" w:eastAsia="宋体" w:hAnsi="宋体" w:cs="宋体" w:hint="eastAsia"/>
                <w:sz w:val="24"/>
                <w:szCs w:val="21"/>
                <w:u w:val="none"/>
                <w:vertAlign w:val="baseline"/>
                <w:lang w:val="en-US" w:eastAsia="zh-CN"/>
              </w:rPr>
              <w:t xml:space="preserve">直接票决制  </w:t>
            </w:r>
            <w:sdt>
              <w:sdtPr>
                <w:rPr>
                  <w:rFonts w:ascii="宋体" w:eastAsia="宋体" w:hAnsi="宋体" w:cs="宋体" w:hint="eastAsia"/>
                  <w:sz w:val="24"/>
                  <w:szCs w:val="21"/>
                  <w:u w:val="none"/>
                  <w:vertAlign w:val="baseline"/>
                  <w:lang w:val="en-US" w:eastAsia="zh-CN" w:bidi="ar-SA"/>
                </w:rPr>
                <w:id w:val="147455796"/>
                <w14:checkbox>
                  <w14:checked w14:val="0"/>
                  <w14:checkedState w14:val="2611" w14:font="MS Gothic"/>
                  <w14:uncheckedState w14:val="2610" w14:font="MS Gothic"/>
                </w14:checkbox>
              </w:sdtPr>
              <w:sdtEndPr>
                <w:rPr>
                  <w:rFonts w:ascii="宋体" w:hAnsi="宋体" w:eastAsiaTheme="minorEastAsia" w:cs="Times New Roman" w:hint="default"/>
                  <w:sz w:val="24"/>
                  <w:szCs w:val="24"/>
                  <w:u w:val="none"/>
                  <w:vertAlign w:val="baseline"/>
                  <w:lang w:val="en-US" w:eastAsia="en-US" w:bidi="ar-SA"/>
                </w:rPr>
              </w:sdtEndPr>
              <w:sdtContent>
                <w:r>
                  <w:rPr>
                    <w:rFonts w:ascii="MS Gothic" w:eastAsia="MS Gothic" w:hAnsi="MS Gothic" w:cs="MS Gothic"/>
                  </w:rPr>
                  <w:t>☐</w:t>
                </w:r>
              </w:sdtContent>
            </w:sdt>
            <w:r>
              <w:rPr>
                <w:rFonts w:ascii="宋体" w:eastAsia="宋体" w:hAnsi="宋体" w:cs="宋体" w:hint="eastAsia"/>
                <w:sz w:val="24"/>
                <w:szCs w:val="21"/>
                <w:u w:val="none"/>
                <w:vertAlign w:val="baseline"/>
                <w:lang w:val="en-US" w:eastAsia="zh-CN"/>
              </w:rPr>
              <w:t xml:space="preserve">逐轮票决制 </w:t>
            </w:r>
            <w:sdt>
              <w:sdtPr>
                <w:rPr>
                  <w:rFonts w:ascii="宋体" w:eastAsia="宋体" w:hAnsi="宋体" w:cs="宋体" w:hint="eastAsia"/>
                  <w:sz w:val="24"/>
                  <w:szCs w:val="21"/>
                  <w:u w:val="none"/>
                  <w:vertAlign w:val="baseline"/>
                  <w:lang w:val="en-US" w:eastAsia="zh-CN" w:bidi="ar-SA"/>
                </w:rPr>
                <w:id w:val="147455780"/>
                <w14:checkbox>
                  <w14:checked w14:val="0"/>
                  <w14:checkedState w14:val="2611" w14:font="MS Gothic"/>
                  <w14:uncheckedState w14:val="2610" w14:font="MS Gothic"/>
                </w14:checkbox>
              </w:sdtPr>
              <w:sdtEndPr>
                <w:rPr>
                  <w:rFonts w:ascii="宋体" w:hAnsi="宋体" w:eastAsiaTheme="minorEastAsia" w:cs="Times New Roman" w:hint="default"/>
                  <w:sz w:val="24"/>
                  <w:szCs w:val="24"/>
                  <w:u w:val="none"/>
                  <w:vertAlign w:val="baseline"/>
                  <w:lang w:val="en-US" w:eastAsia="en-US" w:bidi="ar-SA"/>
                </w:rPr>
              </w:sdtEndPr>
              <w:sdtContent>
                <w:r>
                  <w:rPr>
                    <w:rFonts w:ascii="MS Gothic" w:eastAsia="MS Gothic" w:hAnsi="MS Gothic" w:cs="MS Gothic"/>
                  </w:rPr>
                  <w:t>☐</w:t>
                </w:r>
              </w:sdtContent>
            </w:sdt>
            <w:r>
              <w:rPr>
                <w:rFonts w:ascii="宋体" w:eastAsia="宋体" w:hAnsi="宋体" w:cs="宋体" w:hint="eastAsia"/>
                <w:sz w:val="24"/>
                <w:szCs w:val="21"/>
                <w:u w:val="none"/>
                <w:vertAlign w:val="baseline"/>
                <w:lang w:val="en-US" w:eastAsia="zh-CN"/>
              </w:rPr>
              <w:t>其他）</w:t>
            </w:r>
          </w:p>
          <w:p w14:paraId="26C16191">
            <w:pPr>
              <w:widowControl w:val="0"/>
              <w:numPr>
                <w:ilvl w:val="0"/>
                <w:numId w:val="0"/>
              </w:numPr>
              <w:ind w:firstLine="720" w:firstLineChars="300"/>
              <w:jc w:val="left"/>
              <w:rPr>
                <w:rFonts w:ascii="宋体" w:eastAsia="宋体" w:hAnsi="宋体" w:cs="宋体" w:hint="eastAsia"/>
                <w:sz w:val="24"/>
                <w:szCs w:val="21"/>
                <w:u w:val="single"/>
                <w:vertAlign w:val="baseline"/>
                <w:lang w:val="en-US" w:eastAsia="zh-CN"/>
              </w:rPr>
            </w:pPr>
            <w:r>
              <w:rPr>
                <w:rFonts w:ascii="宋体" w:eastAsia="宋体" w:hAnsi="宋体" w:cs="宋体" w:hint="eastAsia"/>
                <w:sz w:val="24"/>
                <w:szCs w:val="21"/>
                <w:u w:val="single"/>
                <w:vertAlign w:val="baseline"/>
                <w:lang w:val="en-US" w:eastAsia="zh-CN"/>
              </w:rPr>
              <w:t xml:space="preserve"> 招标人组建定标委员会，定标委员会成员对所有进入定标环节的中标候选人进行投票，根据得票数确定中标人。</w:t>
            </w:r>
          </w:p>
          <w:p w14:paraId="7E2E0CAD">
            <w:pPr>
              <w:widowControl w:val="0"/>
              <w:numPr>
                <w:ilvl w:val="0"/>
                <w:numId w:val="0"/>
              </w:numPr>
              <w:ind w:firstLine="720" w:firstLineChars="300"/>
              <w:jc w:val="left"/>
              <w:rPr>
                <w:rFonts w:ascii="宋体" w:eastAsia="宋体" w:hAnsi="宋体" w:cs="宋体" w:hint="eastAsia"/>
                <w:sz w:val="24"/>
                <w:szCs w:val="21"/>
                <w:u w:val="single"/>
                <w:vertAlign w:val="baseline"/>
                <w:lang w:val="en-US" w:eastAsia="zh-CN"/>
              </w:rPr>
            </w:pPr>
            <w:r>
              <w:rPr>
                <w:rFonts w:ascii="宋体" w:eastAsia="宋体" w:hAnsi="宋体" w:cs="宋体" w:hint="eastAsia"/>
                <w:sz w:val="24"/>
                <w:szCs w:val="21"/>
                <w:u w:val="single"/>
                <w:vertAlign w:val="baseline"/>
                <w:lang w:val="en-US" w:eastAsia="zh-CN"/>
              </w:rPr>
              <w:t>投票规则：定标委员会成员根据中标候选人对定标因素的响应情况，以每人投票支持一个中标候选人的方式对中标候选人进行记名投票，根据一轮或数轮投票结果确定中标人。</w:t>
            </w:r>
          </w:p>
          <w:p w14:paraId="1DCC7F4D">
            <w:pPr>
              <w:widowControl w:val="0"/>
              <w:numPr>
                <w:ilvl w:val="0"/>
                <w:numId w:val="0"/>
              </w:numPr>
              <w:ind w:firstLine="720" w:firstLineChars="300"/>
              <w:jc w:val="left"/>
              <w:rPr>
                <w:rFonts w:ascii="宋体" w:eastAsia="宋体" w:hAnsi="宋体" w:cs="宋体" w:hint="eastAsia"/>
                <w:sz w:val="24"/>
                <w:szCs w:val="21"/>
                <w:u w:val="single"/>
                <w:vertAlign w:val="baseline"/>
                <w:lang w:val="en-US" w:eastAsia="zh-CN"/>
              </w:rPr>
            </w:pPr>
            <w:r>
              <w:rPr>
                <w:rFonts w:ascii="宋体" w:eastAsia="宋体" w:hAnsi="宋体" w:cs="宋体" w:hint="eastAsia"/>
                <w:sz w:val="24"/>
                <w:szCs w:val="21"/>
                <w:u w:val="single"/>
                <w:vertAlign w:val="baseline"/>
                <w:lang w:val="en-US" w:eastAsia="zh-CN"/>
              </w:rPr>
              <w:t xml:space="preserve">计算规则：通过投票，最终取票数最多的中标候选人为中标人。若出现得票数一致的，则取得票数前2 名再次票决确定中标。  </w:t>
            </w:r>
            <w:r>
              <w:rPr>
                <w:rFonts w:ascii="宋体" w:eastAsia="宋体" w:hAnsi="宋体" w:cs="宋体" w:hint="eastAsia"/>
                <w:sz w:val="24"/>
                <w:szCs w:val="21"/>
                <w:u w:val="single"/>
                <w:vertAlign w:val="baseline"/>
                <w:lang w:val="en-US" w:eastAsia="zh-CN"/>
              </w:rPr>
              <w:t>（具体规则）</w:t>
            </w:r>
          </w:p>
          <w:p w14:paraId="6951C802">
            <w:pPr>
              <w:widowControl w:val="0"/>
              <w:jc w:val="left"/>
              <w:rPr>
                <w:rFonts w:ascii="宋体" w:eastAsia="宋体" w:hAnsi="宋体" w:cs="宋体" w:hint="eastAsia"/>
                <w:sz w:val="24"/>
                <w:szCs w:val="21"/>
                <w:u w:val="single"/>
                <w:vertAlign w:val="baseline"/>
                <w:lang w:val="en-US" w:eastAsia="zh-CN"/>
              </w:rPr>
            </w:pPr>
            <w:r>
              <w:rPr>
                <w:rFonts w:ascii="宋体" w:eastAsia="宋体" w:hAnsi="宋体" w:cs="宋体" w:hint="eastAsia"/>
                <w:sz w:val="24"/>
                <w:szCs w:val="21"/>
                <w:u w:val="none"/>
                <w:vertAlign w:val="baseline"/>
                <w:lang w:val="en-US" w:eastAsia="zh-CN"/>
              </w:rPr>
              <w:t>定标委员会组成:</w:t>
            </w:r>
            <w:r>
              <w:rPr>
                <w:rFonts w:ascii="宋体" w:eastAsia="宋体" w:hAnsi="宋体" w:cs="宋体" w:hint="eastAsia"/>
                <w:sz w:val="24"/>
                <w:szCs w:val="21"/>
                <w:u w:val="single"/>
                <w:vertAlign w:val="baseline"/>
                <w:lang w:val="en-US" w:eastAsia="zh-CN"/>
              </w:rPr>
              <w:t xml:space="preserve"> 由招标人按程序组建 </w:t>
            </w:r>
          </w:p>
          <w:p w14:paraId="54B6204A">
            <w:pPr>
              <w:widowControl w:val="0"/>
              <w:jc w:val="left"/>
              <w:rPr>
                <w:rFonts w:ascii="宋体" w:eastAsia="宋体" w:hAnsi="宋体" w:cs="宋体" w:hint="eastAsia"/>
                <w:sz w:val="24"/>
                <w:szCs w:val="21"/>
                <w:u w:val="single"/>
                <w:vertAlign w:val="baseline"/>
                <w:lang w:val="en-US" w:eastAsia="zh-CN"/>
              </w:rPr>
            </w:pPr>
            <w:r>
              <w:rPr>
                <w:rFonts w:ascii="宋体" w:eastAsia="宋体" w:hAnsi="宋体" w:cs="宋体" w:hint="eastAsia"/>
                <w:sz w:val="24"/>
                <w:szCs w:val="21"/>
                <w:u w:val="none"/>
                <w:vertAlign w:val="baseline"/>
                <w:lang w:val="en-US" w:eastAsia="zh-CN"/>
              </w:rPr>
              <w:t>数量:</w:t>
            </w:r>
            <w:r>
              <w:rPr>
                <w:rFonts w:ascii="宋体" w:eastAsia="宋体" w:hAnsi="宋体" w:cs="宋体" w:hint="eastAsia"/>
                <w:sz w:val="24"/>
                <w:szCs w:val="21"/>
                <w:u w:val="single"/>
                <w:vertAlign w:val="baseline"/>
                <w:lang w:val="en-US" w:eastAsia="zh-CN"/>
              </w:rPr>
              <w:t xml:space="preserve"> 5人及5人以上的单数 </w:t>
            </w:r>
          </w:p>
          <w:p w14:paraId="231D2A22">
            <w:pPr>
              <w:widowControl w:val="0"/>
              <w:jc w:val="left"/>
              <w:rPr>
                <w:rFonts w:ascii="宋体" w:eastAsia="宋体" w:hAnsi="宋体" w:cs="宋体" w:hint="eastAsia"/>
                <w:sz w:val="24"/>
                <w:szCs w:val="21"/>
                <w:u w:val="single"/>
                <w:vertAlign w:val="baseline"/>
                <w:lang w:val="en-US" w:eastAsia="zh-CN"/>
              </w:rPr>
            </w:pPr>
            <w:r>
              <w:rPr>
                <w:rFonts w:ascii="宋体" w:eastAsia="宋体" w:hAnsi="宋体" w:cs="宋体" w:hint="eastAsia"/>
                <w:sz w:val="24"/>
                <w:szCs w:val="21"/>
                <w:u w:val="none"/>
                <w:vertAlign w:val="baseline"/>
                <w:lang w:val="en-US" w:eastAsia="zh-CN"/>
              </w:rPr>
              <w:t>定标委员会成员应当回避的具体情形：</w:t>
            </w:r>
            <w:r>
              <w:rPr>
                <w:rFonts w:ascii="宋体" w:eastAsia="宋体" w:hAnsi="宋体" w:cs="宋体" w:hint="eastAsia"/>
                <w:sz w:val="24"/>
                <w:szCs w:val="21"/>
                <w:u w:val="single"/>
                <w:vertAlign w:val="baseline"/>
                <w:lang w:val="en-US" w:eastAsia="zh-CN"/>
              </w:rPr>
              <w:t xml:space="preserve">  定标委员会成员、提供专业技术咨询的人员及所在单位与中标候选人有利害关系的、存在可能影响公正公平定标情形的，应主动回避。  </w:t>
            </w:r>
          </w:p>
          <w:p w14:paraId="2758E22A">
            <w:pPr>
              <w:pStyle w:val="BodyTextFirstIndent21"/>
              <w:ind w:left="0" w:firstLine="480" w:leftChars="0" w:firstLineChars="200"/>
              <w:jc w:val="left"/>
              <w:rPr>
                <w:rFonts w:eastAsia="仿宋_GB2312" w:hint="default"/>
                <w:lang w:val="en-US" w:eastAsia="zh-CN"/>
              </w:rPr>
            </w:pPr>
            <w:r>
              <w:rPr>
                <w:rFonts w:cs="Times New Roman" w:hint="eastAsia"/>
                <w:b w:val="0"/>
                <w:bCs/>
                <w:kern w:val="2"/>
                <w:sz w:val="24"/>
                <w:szCs w:val="21"/>
                <w:u w:val="none"/>
                <w:vertAlign w:val="baseline"/>
                <w:lang w:val="en-US" w:eastAsia="zh-CN" w:bidi="ar-SA"/>
              </w:rPr>
              <w:t>注：招标控制价在3000万元以下，使用通用技术、性能标准，或者招标人对技术、性能没有特殊要求的施工项目，宜通过招标人议事决策机制直接定标。项目规模较大、技术较为复杂的项目，招标人可以组建定标委员会负责定标事宜。</w:t>
            </w:r>
          </w:p>
        </w:tc>
      </w:tr>
    </w:tbl>
    <w:p w14:paraId="6794BC47">
      <w:pPr>
        <w:pStyle w:val="BodyTextFirstIndent21"/>
        <w:ind w:left="0" w:firstLine="0" w:leftChars="0" w:firstLineChars="0"/>
        <w:rPr>
          <w:rFonts w:cs="Times New Roman" w:hint="eastAsia"/>
          <w:b w:val="0"/>
          <w:bCs/>
          <w:kern w:val="2"/>
          <w:sz w:val="24"/>
          <w:szCs w:val="21"/>
          <w:u w:val="none"/>
          <w:vertAlign w:val="baseline"/>
          <w:lang w:val="en-US" w:eastAsia="zh-CN" w:bidi="ar-SA"/>
        </w:rPr>
      </w:pPr>
      <w:r>
        <w:rPr>
          <w:rFonts w:cs="Times New Roman" w:hint="eastAsia"/>
          <w:b w:val="0"/>
          <w:bCs/>
          <w:kern w:val="2"/>
          <w:sz w:val="24"/>
          <w:szCs w:val="21"/>
          <w:u w:val="none"/>
          <w:vertAlign w:val="baseline"/>
          <w:lang w:val="en-US" w:eastAsia="zh-CN" w:bidi="ar-SA"/>
        </w:rPr>
        <w:t>注：招标人应结合项目实际编制定标方案，具体要求详见《四川省发展和改革委员会等部门关于扩面推广工程建设项目</w:t>
      </w:r>
    </w:p>
    <w:p w14:paraId="2C5855CE">
      <w:pPr>
        <w:rPr>
          <w:lang w:eastAsia="zh-CN"/>
        </w:rPr>
      </w:pPr>
      <w:r>
        <w:rPr>
          <w:rFonts w:cs="Times New Roman" w:hint="eastAsia"/>
          <w:b w:val="0"/>
          <w:bCs/>
          <w:kern w:val="2"/>
          <w:sz w:val="24"/>
          <w:szCs w:val="21"/>
          <w:u w:val="none"/>
          <w:vertAlign w:val="baseline"/>
          <w:lang w:val="en-US" w:eastAsia="zh-CN" w:bidi="ar-SA"/>
        </w:rPr>
        <w:t>招标投标中标候选人评定分离机制的通知》。</w:t>
      </w:r>
    </w:p>
    <w:sectPr>
      <w:pgSz w:w="12240" w:h="15840"/>
      <w:pgMar w:top="1440" w:right="1800" w:bottom="1440" w:left="1800" w:header="708" w:footer="708" w:gutter="0"/>
      <w:cols w:num="1" w:space="708"/>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EC81579"/>
    <w:multiLevelType w:val="singleLevel"/>
    <w:tmpl w:val="8EC81579"/>
    <w:lvl w:ilvl="0">
      <w:start w:val="1"/>
      <w:numFmt w:val="decimal"/>
      <w:suff w:val="nothing"/>
      <w:lvlText w:val="（%1）"/>
      <w:lvlJc w:val="left"/>
      <w:pPr>
        <w:ind w:left="0" w:firstLine="0"/>
      </w:pPr>
    </w:lvl>
  </w:abstractNum>
  <w:abstractNum w:abstractNumId="1">
    <w:nsid w:val="BCEA77AC"/>
    <w:multiLevelType w:val="singleLevel"/>
    <w:tmpl w:val="BCEA77AC"/>
    <w:lvl w:ilvl="0">
      <w:start w:val="1"/>
      <w:numFmt w:val="decimal"/>
      <w:suff w:val="space"/>
      <w:lvlText w:val="%1."/>
      <w:lvlJc w:val="left"/>
      <w:pPr>
        <w:ind w:left="0" w:firstLine="0"/>
      </w:pPr>
    </w:lvl>
  </w:abstractNum>
  <w:abstractNum w:abstractNumId="2">
    <w:nsid w:val="DBA42958"/>
    <w:multiLevelType w:val="singleLevel"/>
    <w:tmpl w:val="DBA42958"/>
    <w:lvl w:ilvl="0">
      <w:start w:val="2"/>
      <w:numFmt w:val="decimal"/>
      <w:suff w:val="nothing"/>
      <w:lvlText w:val="（%1）"/>
      <w:lvlJc w:val="left"/>
      <w:pPr>
        <w:ind w:left="0" w:firstLine="0"/>
      </w:pPr>
    </w:lvl>
  </w:abstractNum>
  <w:abstractNum w:abstractNumId="3">
    <w:nsid w:val="FFFEB8E5"/>
    <w:multiLevelType w:val="singleLevel"/>
    <w:tmpl w:val="FFFEB8E5"/>
    <w:lvl w:ilvl="0">
      <w:start w:val="7"/>
      <w:numFmt w:val="decimal"/>
      <w:suff w:val="space"/>
      <w:lvlText w:val="%1."/>
      <w:lvlJc w:val="left"/>
      <w:pPr>
        <w:ind w:left="0" w:firstLine="0"/>
      </w:pPr>
    </w:lvl>
  </w:abstractNum>
  <w:abstractNum w:abstractNumId="4">
    <w:nsid w:val="02C73D92"/>
    <w:multiLevelType w:val="singleLevel"/>
    <w:tmpl w:val="02C73D92"/>
    <w:lvl w:ilvl="0">
      <w:start w:val="2"/>
      <w:numFmt w:val="chineseCounting"/>
      <w:suff w:val="space"/>
      <w:lvlText w:val="第%1章"/>
      <w:lvlJc w:val="left"/>
      <w:pPr>
        <w:ind w:left="0" w:firstLine="0"/>
      </w:pPr>
    </w:lvl>
  </w:abstractNum>
  <w:abstractNum w:abstractNumId="5">
    <w:nsid w:val="0BDB8E31"/>
    <w:multiLevelType w:val="singleLevel"/>
    <w:tmpl w:val="0BDB8E31"/>
    <w:lvl w:ilvl="0">
      <w:start w:val="6"/>
      <w:numFmt w:val="decimal"/>
      <w:suff w:val="space"/>
      <w:lvlText w:val="%1."/>
      <w:lvlJc w:val="left"/>
      <w:pPr>
        <w:ind w:left="0" w:firstLine="0"/>
      </w:pPr>
    </w:lvl>
  </w:abstractNum>
  <w:abstractNum w:abstractNumId="6">
    <w:nsid w:val="61BA7813"/>
    <w:multiLevelType w:val="singleLevel"/>
    <w:tmpl w:val="61BA7813"/>
    <w:lvl w:ilvl="0">
      <w:start w:val="4"/>
      <w:numFmt w:val="chineseCounting"/>
      <w:suff w:val="nothing"/>
      <w:lvlText w:val="%1、"/>
      <w:lvlJc w:val="left"/>
      <w:pPr>
        <w:ind w:left="0" w:firstLine="0"/>
      </w:pPr>
    </w:lvl>
  </w:abstractNum>
  <w:abstractNum w:abstractNumId="7">
    <w:nsid w:val="6B8352E0"/>
    <w:multiLevelType w:val="multilevel"/>
    <w:tmpl w:val="6B8352E0"/>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EB4130E"/>
    <w:multiLevelType w:val="singleLevel"/>
    <w:tmpl w:val="6EB4130E"/>
    <w:lvl w:ilvl="0">
      <w:start w:val="3"/>
      <w:numFmt w:val="chineseCounting"/>
      <w:suff w:val="nothing"/>
      <w:lvlText w:val="%1、"/>
      <w:lvlJc w:val="left"/>
      <w:pPr>
        <w:ind w:left="0" w:firstLine="0"/>
      </w:pPr>
    </w:lvl>
  </w:abstractNum>
  <w:num w:numId="1">
    <w:abstractNumId w:val="4"/>
    <w:lvlOverride w:ilvl="0">
      <w:startOverride w:val="2"/>
    </w:lvlOverride>
  </w:num>
  <w:num w:numId="2">
    <w:abstractNumId w:val="5"/>
    <w:lvlOverride w:ilvl="0">
      <w:startOverride w:val="6"/>
    </w:lvlOverride>
  </w:num>
  <w:num w:numId="3">
    <w:abstractNumId w:val="7"/>
  </w:num>
  <w:num w:numId="4">
    <w:abstractNumId w:val="3"/>
    <w:lvlOverride w:ilvl="0">
      <w:startOverride w:val="7"/>
    </w:lvlOverride>
  </w:num>
  <w:num w:numId="5">
    <w:abstractNumId w:val="2"/>
    <w:lvlOverride w:ilvl="0">
      <w:startOverride w:val="2"/>
    </w:lvlOverride>
  </w:num>
  <w:num w:numId="6">
    <w:abstractNumId w:val="8"/>
    <w:lvlOverride w:ilvl="0">
      <w:startOverride w:val="3"/>
    </w:lvlOverride>
  </w:num>
  <w:num w:numId="7">
    <w:abstractNumId w:val="1"/>
    <w:lvlOverride w:ilvl="0">
      <w:startOverride w:val="1"/>
    </w:lvlOverride>
  </w:num>
  <w:num w:numId="8">
    <w:abstractNumId w:val="6"/>
    <w:lvlOverride w:ilvl="0">
      <w:startOverride w:val="4"/>
    </w:lvlOverride>
  </w:num>
  <w:num w:numId="9">
    <w:abstractNumId w:val="0"/>
    <w:lvlOverride w:ilvl="0">
      <w:startOverride w:val="1"/>
    </w:lvlOverride>
  </w:num>
  <w:num w:numId="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96"/>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A62B4"/>
    <w:rsid w:val="00290AC0"/>
    <w:rsid w:val="002E1A56"/>
    <w:rsid w:val="005070C8"/>
    <w:rsid w:val="00525B64"/>
    <w:rsid w:val="00710905"/>
    <w:rsid w:val="00800355"/>
    <w:rsid w:val="00A77B3E"/>
    <w:rsid w:val="00B45F20"/>
    <w:rsid w:val="00B746D6"/>
    <w:rsid w:val="00C625C6"/>
    <w:rsid w:val="00CA2A55"/>
    <w:rsid w:val="00D20D02"/>
    <w:rsid w:val="00E27C60"/>
    <w:rsid w:val="00E3339B"/>
    <w:rsid w:val="06FB0E58"/>
    <w:rsid w:val="088E4A02"/>
    <w:rsid w:val="099204F8"/>
    <w:rsid w:val="0E646B92"/>
    <w:rsid w:val="0F15761E"/>
    <w:rsid w:val="18E431C7"/>
    <w:rsid w:val="1E0A4E9D"/>
    <w:rsid w:val="1EAE1EFC"/>
    <w:rsid w:val="20A11F8D"/>
    <w:rsid w:val="25DE0FDF"/>
    <w:rsid w:val="29862490"/>
    <w:rsid w:val="304A2B2C"/>
    <w:rsid w:val="32A42FA8"/>
    <w:rsid w:val="3D1C396D"/>
    <w:rsid w:val="40983855"/>
    <w:rsid w:val="42CB34E8"/>
    <w:rsid w:val="4B590C95"/>
    <w:rsid w:val="4C0E5BAD"/>
    <w:rsid w:val="4E44091A"/>
    <w:rsid w:val="54935CE0"/>
    <w:rsid w:val="56EA38BA"/>
    <w:rsid w:val="5C974816"/>
    <w:rsid w:val="635E5E03"/>
    <w:rsid w:val="66994F7B"/>
    <w:rsid w:val="66B54B84"/>
    <w:rsid w:val="680229BA"/>
    <w:rsid w:val="68B73427"/>
    <w:rsid w:val="6D490269"/>
    <w:rsid w:val="779110CE"/>
    <w:rsid w:val="7E177844"/>
  </w:rsids>
  <w:docVars>
    <w:docVar w:name="commondata" w:val="eyJoZGlkIjoiZDBmZTM0YTNkZTQ5ZmQyNmIyZmZlZmU0MzRlNmMxMG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qFormat="1"/>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lsdException w:name="annotation text" w:uiPriority="0" w:qFormat="1"/>
    <w:lsdException w:name="header" w:uiPriority="0" w:qFormat="1"/>
    <w:lsdException w:name="footer" w:uiPriority="0"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qFormat="1"/>
    <w:lsdException w:name="line number" w:uiPriority="0"/>
    <w:lsdException w:name="page number" w:uiPriority="0" w:qFormat="1"/>
    <w:lsdException w:name="endnote reference" w:uiPriority="0"/>
    <w:lsdException w:name="endnote text" w:uiPriority="0"/>
    <w:lsdException w:name="table of authorities" w:semiHidden="0" w:uiPriority="0" w:unhideWhenUsed="0"/>
    <w:lsdException w:name="macro" w:uiPriority="0"/>
    <w:lsdException w:name="toa heading" w:uiPriority="0"/>
    <w:lsdException w:name="List" w:semiHidden="0" w:uiPriority="0" w:unhideWhenUsed="0"/>
    <w:lsdException w:name="List Bullet" w:semiHidden="0" w:uiPriority="0" w:unhideWhenUsed="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qFormat="1"/>
    <w:lsdException w:name="Body Text" w:uiPriority="0" w:qFormat="1"/>
    <w:lsdException w:name="Body Text Indent" w:uiPriority="0"/>
    <w:lsdException w:name="List Continue" w:uiPriority="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uiPriority="0"/>
    <w:lsdException w:name="Subtitle" w:semiHidden="0" w:uiPriority="0" w:unhideWhenUsed="0" w:qFormat="1"/>
    <w:lsdException w:name="Salutation" w:uiPriority="0"/>
    <w:lsdException w:name="Date" w:uiPriority="0" w:qFormat="1"/>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lsdException w:name="E-mail Signature" w:uiPriority="0"/>
    <w:lsdException w:name="Normal (Web)" w:uiPriority="0"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qFormat="1"/>
    <w:lsdException w:name="annotation subject" w:uiPriority="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qFormat="1"/>
    <w:lsdException w:name="Table Grid" w:semiHidden="0" w:uiPriority="0" w:unhideWhenUsed="0" w:qFormat="1"/>
    <w:lsdException w:name="Table Theme" w:uiPriority="0"/>
    <w:lsdException w:name="Placeholder Text"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ascii="Times New Roman" w:hAnsi="Times New Roman" w:eastAsiaTheme="minorEastAsia" w:cs="Times New Roman"/>
      <w:sz w:val="24"/>
      <w:szCs w:val="24"/>
      <w:lang w:val="en-US" w:eastAsia="en-US" w:bidi="ar-SA"/>
    </w:rPr>
  </w:style>
  <w:style w:type="paragraph" w:styleId="Heading1">
    <w:name w:val="heading 1"/>
    <w:basedOn w:val="Normal"/>
    <w:next w:val="Normal"/>
    <w:link w:val="1"/>
    <w:qFormat/>
    <w:pPr>
      <w:keepNext/>
      <w:keepLines/>
      <w:widowControl w:val="0"/>
      <w:spacing w:before="340" w:after="330" w:line="576" w:lineRule="auto"/>
      <w:jc w:val="both"/>
      <w:outlineLvl w:val="0"/>
    </w:pPr>
    <w:rPr>
      <w:rFonts w:ascii="Calibri" w:eastAsia="宋体" w:hAnsi="Calibri"/>
      <w:b/>
      <w:bCs/>
      <w:kern w:val="44"/>
      <w:sz w:val="44"/>
      <w:szCs w:val="44"/>
      <w:lang w:eastAsia="zh-CN"/>
    </w:rPr>
  </w:style>
  <w:style w:type="paragraph" w:styleId="Heading2">
    <w:name w:val="heading 2"/>
    <w:basedOn w:val="Normal"/>
    <w:next w:val="Normal"/>
    <w:link w:val="2"/>
    <w:semiHidden/>
    <w:unhideWhenUsed/>
    <w:qFormat/>
    <w:pPr>
      <w:keepNext/>
      <w:keepLines/>
      <w:widowControl w:val="0"/>
      <w:spacing w:before="260" w:after="260" w:line="360" w:lineRule="auto"/>
      <w:jc w:val="both"/>
      <w:outlineLvl w:val="1"/>
    </w:pPr>
    <w:rPr>
      <w:rFonts w:ascii="Cambria" w:eastAsia="宋体" w:hAnsi="Cambria"/>
      <w:b/>
      <w:bCs/>
      <w:kern w:val="2"/>
      <w:sz w:val="30"/>
      <w:szCs w:val="32"/>
      <w:lang w:eastAsia="zh-CN"/>
    </w:rPr>
  </w:style>
  <w:style w:type="paragraph" w:styleId="Heading3">
    <w:name w:val="heading 3"/>
    <w:basedOn w:val="Normal0"/>
    <w:next w:val="Normal0"/>
    <w:link w:val="3"/>
    <w:unhideWhenUsed/>
    <w:qFormat/>
    <w:pPr>
      <w:keepNext/>
      <w:keepLines/>
      <w:spacing w:before="260" w:after="260" w:line="360" w:lineRule="auto"/>
      <w:outlineLvl w:val="2"/>
    </w:pPr>
    <w:rPr>
      <w:b/>
      <w:bCs/>
      <w:szCs w:val="32"/>
    </w:rPr>
  </w:style>
  <w:style w:type="paragraph" w:styleId="Heading4">
    <w:name w:val="heading 4"/>
    <w:basedOn w:val="Normal0"/>
    <w:next w:val="Normal0"/>
    <w:link w:val="4"/>
    <w:autoRedefine/>
    <w:semiHidden/>
    <w:unhideWhenUsed/>
    <w:qFormat/>
    <w:pPr>
      <w:keepNext/>
      <w:keepLines/>
      <w:spacing w:before="280" w:after="290"/>
      <w:outlineLvl w:val="3"/>
    </w:pPr>
    <w:rPr>
      <w:rFonts w:ascii="Cambria" w:hAnsi="Cambria"/>
      <w:b/>
      <w:bCs/>
      <w:szCs w:val="28"/>
    </w:rPr>
  </w:style>
  <w:style w:type="paragraph" w:styleId="Heading5">
    <w:name w:val="heading 5"/>
    <w:basedOn w:val="Normal"/>
    <w:next w:val="Normal"/>
    <w:link w:val="5"/>
    <w:semiHidden/>
    <w:unhideWhenUsed/>
    <w:qFormat/>
    <w:pPr>
      <w:keepNext/>
      <w:keepLines/>
      <w:widowControl w:val="0"/>
      <w:spacing w:before="280" w:after="290" w:line="374" w:lineRule="auto"/>
      <w:jc w:val="both"/>
      <w:outlineLvl w:val="4"/>
    </w:pPr>
    <w:rPr>
      <w:rFonts w:ascii="Calibri" w:eastAsia="宋体" w:hAnsi="Calibri"/>
      <w:b/>
      <w:bCs/>
      <w:kern w:val="2"/>
      <w:sz w:val="28"/>
      <w:szCs w:val="28"/>
      <w:lang w:eastAsia="zh-CN"/>
    </w:rPr>
  </w:style>
  <w:style w:type="paragraph" w:styleId="Heading6">
    <w:name w:val="heading 6"/>
    <w:basedOn w:val="Normal"/>
    <w:next w:val="Normal"/>
    <w:link w:val="6"/>
    <w:semiHidden/>
    <w:unhideWhenUsed/>
    <w:qFormat/>
    <w:pPr>
      <w:keepNext/>
      <w:keepLines/>
      <w:widowControl w:val="0"/>
      <w:spacing w:before="240" w:after="64" w:line="314" w:lineRule="auto"/>
      <w:jc w:val="both"/>
      <w:outlineLvl w:val="5"/>
    </w:pPr>
    <w:rPr>
      <w:rFonts w:ascii="Cambria" w:eastAsia="宋体" w:hAnsi="Cambria"/>
      <w:b/>
      <w:bCs/>
      <w:kern w:val="2"/>
      <w:lang w:eastAsia="zh-CN"/>
    </w:rPr>
  </w:style>
  <w:style w:type="paragraph" w:styleId="Heading7">
    <w:name w:val="heading 7"/>
    <w:basedOn w:val="Normal"/>
    <w:next w:val="Normal"/>
    <w:link w:val="7"/>
    <w:semiHidden/>
    <w:unhideWhenUsed/>
    <w:qFormat/>
    <w:pPr>
      <w:keepNext/>
      <w:keepLines/>
      <w:widowControl w:val="0"/>
      <w:spacing w:before="240" w:after="64" w:line="314" w:lineRule="auto"/>
      <w:jc w:val="both"/>
      <w:outlineLvl w:val="6"/>
    </w:pPr>
    <w:rPr>
      <w:rFonts w:ascii="Calibri" w:eastAsia="宋体" w:hAnsi="Calibri"/>
      <w:b/>
      <w:bCs/>
      <w:kern w:val="2"/>
      <w:lang w:eastAsia="zh-CN"/>
    </w:rPr>
  </w:style>
  <w:style w:type="paragraph" w:styleId="Heading8">
    <w:name w:val="heading 8"/>
    <w:basedOn w:val="Normal"/>
    <w:next w:val="Normal"/>
    <w:link w:val="8"/>
    <w:semiHidden/>
    <w:unhideWhenUsed/>
    <w:qFormat/>
    <w:pPr>
      <w:keepNext/>
      <w:keepLines/>
      <w:widowControl w:val="0"/>
      <w:spacing w:before="240" w:after="64" w:line="314" w:lineRule="auto"/>
      <w:jc w:val="both"/>
      <w:outlineLvl w:val="7"/>
    </w:pPr>
    <w:rPr>
      <w:rFonts w:ascii="Cambria" w:eastAsia="宋体" w:hAnsi="Cambria"/>
      <w:kern w:val="2"/>
      <w:lang w:eastAsia="zh-CN"/>
    </w:rPr>
  </w:style>
  <w:style w:type="paragraph" w:styleId="Heading9">
    <w:name w:val="heading 9"/>
    <w:basedOn w:val="Normal"/>
    <w:next w:val="Normal"/>
    <w:link w:val="9"/>
    <w:autoRedefine/>
    <w:semiHidden/>
    <w:unhideWhenUsed/>
    <w:qFormat/>
    <w:pPr>
      <w:keepNext/>
      <w:keepLines/>
      <w:widowControl w:val="0"/>
      <w:spacing w:before="240" w:after="64" w:line="314" w:lineRule="auto"/>
      <w:jc w:val="both"/>
      <w:outlineLvl w:val="8"/>
    </w:pPr>
    <w:rPr>
      <w:rFonts w:ascii="Cambria" w:eastAsia="宋体" w:hAnsi="Cambria"/>
      <w:kern w:val="2"/>
      <w:sz w:val="21"/>
      <w:szCs w:val="21"/>
      <w:lang w:eastAsia="zh-CN"/>
    </w:rPr>
  </w:style>
  <w:style w:type="character" w:default="1" w:styleId="DefaultParagraphFont">
    <w:name w:val="Default Paragraph Font"/>
    <w:autoRedefine/>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Normal0">
    <w:name w:val="Normal_0"/>
    <w:semiHidden/>
    <w:qFormat/>
    <w:pPr>
      <w:widowControl w:val="0"/>
      <w:jc w:val="both"/>
    </w:pPr>
    <w:rPr>
      <w:rFonts w:ascii="Calibri" w:eastAsia="宋体" w:hAnsi="Calibri" w:cs="Times New Roman"/>
      <w:kern w:val="2"/>
      <w:sz w:val="21"/>
      <w:szCs w:val="22"/>
      <w:lang w:val="en-US" w:eastAsia="zh-CN" w:bidi="ar-SA"/>
    </w:rPr>
  </w:style>
  <w:style w:type="paragraph" w:styleId="TOC7">
    <w:name w:val="toc 7"/>
    <w:basedOn w:val="Normal"/>
    <w:next w:val="Normal"/>
    <w:semiHidden/>
    <w:unhideWhenUsed/>
    <w:qFormat/>
    <w:pPr>
      <w:widowControl w:val="0"/>
      <w:ind w:left="2520" w:leftChars="1200"/>
      <w:jc w:val="both"/>
    </w:pPr>
    <w:rPr>
      <w:rFonts w:ascii="Calibri" w:eastAsia="宋体" w:hAnsi="Calibri"/>
      <w:kern w:val="2"/>
      <w:sz w:val="21"/>
      <w:szCs w:val="22"/>
      <w:lang w:eastAsia="zh-CN"/>
    </w:rPr>
  </w:style>
  <w:style w:type="paragraph" w:styleId="NormalIndent">
    <w:name w:val="Normal Indent"/>
    <w:basedOn w:val="Normal"/>
    <w:semiHidden/>
    <w:unhideWhenUsed/>
    <w:qFormat/>
    <w:pPr>
      <w:widowControl w:val="0"/>
      <w:adjustRightInd w:val="0"/>
      <w:spacing w:line="360" w:lineRule="atLeast"/>
      <w:ind w:firstLine="482"/>
      <w:jc w:val="both"/>
    </w:pPr>
    <w:rPr>
      <w:rFonts w:eastAsia="宋体"/>
      <w:szCs w:val="20"/>
      <w:lang w:eastAsia="zh-CN"/>
    </w:rPr>
  </w:style>
  <w:style w:type="paragraph" w:styleId="Caption">
    <w:name w:val="caption"/>
    <w:basedOn w:val="Normal"/>
    <w:next w:val="Normal"/>
    <w:autoRedefine/>
    <w:semiHidden/>
    <w:unhideWhenUsed/>
    <w:qFormat/>
    <w:pPr>
      <w:widowControl w:val="0"/>
      <w:jc w:val="both"/>
    </w:pPr>
    <w:rPr>
      <w:rFonts w:ascii="Cambria" w:eastAsia="黑体" w:hAnsi="Cambria"/>
      <w:kern w:val="2"/>
      <w:sz w:val="20"/>
      <w:szCs w:val="20"/>
      <w:lang w:eastAsia="zh-CN"/>
    </w:rPr>
  </w:style>
  <w:style w:type="paragraph" w:styleId="DocumentMap">
    <w:name w:val="Document Map"/>
    <w:basedOn w:val="Normal"/>
    <w:link w:val="a6"/>
    <w:semiHidden/>
    <w:unhideWhenUsed/>
    <w:qFormat/>
    <w:pPr>
      <w:widowControl w:val="0"/>
      <w:shd w:val="clear" w:color="auto" w:fill="000080"/>
      <w:jc w:val="both"/>
    </w:pPr>
    <w:rPr>
      <w:rFonts w:cstheme="minorBidi"/>
      <w:kern w:val="2"/>
      <w:sz w:val="21"/>
      <w:lang w:eastAsia="zh-CN"/>
    </w:rPr>
  </w:style>
  <w:style w:type="paragraph" w:styleId="CommentText">
    <w:name w:val="annotation text"/>
    <w:basedOn w:val="Normal"/>
    <w:link w:val="114"/>
    <w:semiHidden/>
    <w:unhideWhenUsed/>
    <w:qFormat/>
    <w:pPr>
      <w:widowControl w:val="0"/>
    </w:pPr>
    <w:rPr>
      <w:rFonts w:ascii="Calibri" w:eastAsia="宋体" w:hAnsi="Calibri"/>
      <w:kern w:val="2"/>
      <w:sz w:val="21"/>
      <w:szCs w:val="22"/>
      <w:lang w:eastAsia="zh-CN"/>
    </w:rPr>
  </w:style>
  <w:style w:type="paragraph" w:styleId="BodyText">
    <w:name w:val="Body Text"/>
    <w:basedOn w:val="Normal"/>
    <w:link w:val="a3"/>
    <w:semiHidden/>
    <w:unhideWhenUsed/>
    <w:qFormat/>
    <w:pPr>
      <w:widowControl w:val="0"/>
      <w:adjustRightInd w:val="0"/>
      <w:spacing w:after="60" w:line="360" w:lineRule="atLeast"/>
      <w:ind w:left="72" w:right="30" w:leftChars="30" w:rightChars="30"/>
      <w:jc w:val="center"/>
    </w:pPr>
    <w:rPr>
      <w:rFonts w:cstheme="minorBidi"/>
      <w:kern w:val="2"/>
      <w:sz w:val="21"/>
      <w:szCs w:val="22"/>
      <w:lang w:eastAsia="zh-CN"/>
    </w:rPr>
  </w:style>
  <w:style w:type="paragraph" w:styleId="Index4">
    <w:name w:val="index 4"/>
    <w:basedOn w:val="Normal"/>
    <w:next w:val="Normal"/>
    <w:semiHidden/>
    <w:unhideWhenUsed/>
    <w:qFormat/>
    <w:pPr>
      <w:widowControl w:val="0"/>
      <w:ind w:left="600" w:leftChars="600"/>
      <w:jc w:val="both"/>
    </w:pPr>
    <w:rPr>
      <w:rFonts w:eastAsia="宋体"/>
      <w:kern w:val="2"/>
      <w:sz w:val="21"/>
      <w:lang w:eastAsia="zh-CN"/>
    </w:rPr>
  </w:style>
  <w:style w:type="paragraph" w:styleId="TOC5">
    <w:name w:val="toc 5"/>
    <w:basedOn w:val="Normal"/>
    <w:next w:val="Normal"/>
    <w:semiHidden/>
    <w:unhideWhenUsed/>
    <w:qFormat/>
    <w:pPr>
      <w:widowControl w:val="0"/>
      <w:tabs>
        <w:tab w:val="right" w:leader="dot" w:pos="8296"/>
      </w:tabs>
      <w:ind w:left="1050" w:leftChars="500"/>
      <w:jc w:val="both"/>
    </w:pPr>
    <w:rPr>
      <w:rFonts w:ascii="Calibri" w:eastAsia="宋体" w:hAnsi="Calibri"/>
      <w:kern w:val="2"/>
      <w:sz w:val="21"/>
      <w:szCs w:val="22"/>
      <w:lang w:eastAsia="zh-CN"/>
    </w:rPr>
  </w:style>
  <w:style w:type="paragraph" w:styleId="TOC3">
    <w:name w:val="toc 3"/>
    <w:basedOn w:val="Normal"/>
    <w:next w:val="Normal"/>
    <w:semiHidden/>
    <w:unhideWhenUsed/>
    <w:qFormat/>
    <w:pPr>
      <w:widowControl w:val="0"/>
      <w:ind w:left="480"/>
      <w:jc w:val="both"/>
    </w:pPr>
    <w:rPr>
      <w:rFonts w:ascii="Calibri" w:eastAsia="宋体" w:hAnsi="Calibri"/>
      <w:kern w:val="2"/>
      <w:sz w:val="21"/>
      <w:szCs w:val="22"/>
      <w:lang w:eastAsia="zh-CN"/>
    </w:rPr>
  </w:style>
  <w:style w:type="paragraph" w:styleId="TOC8">
    <w:name w:val="toc 8"/>
    <w:basedOn w:val="Normal"/>
    <w:next w:val="Normal"/>
    <w:semiHidden/>
    <w:unhideWhenUsed/>
    <w:qFormat/>
    <w:pPr>
      <w:widowControl w:val="0"/>
      <w:ind w:left="2940" w:leftChars="1400"/>
      <w:jc w:val="both"/>
    </w:pPr>
    <w:rPr>
      <w:rFonts w:ascii="Calibri" w:eastAsia="宋体" w:hAnsi="Calibri"/>
      <w:kern w:val="2"/>
      <w:sz w:val="21"/>
      <w:szCs w:val="22"/>
      <w:lang w:eastAsia="zh-CN"/>
    </w:rPr>
  </w:style>
  <w:style w:type="paragraph" w:styleId="Date">
    <w:name w:val="Date"/>
    <w:basedOn w:val="Normal"/>
    <w:next w:val="Normal"/>
    <w:link w:val="a5"/>
    <w:semiHidden/>
    <w:unhideWhenUsed/>
    <w:qFormat/>
    <w:pPr>
      <w:widowControl w:val="0"/>
      <w:ind w:left="100" w:leftChars="2500"/>
      <w:jc w:val="both"/>
    </w:pPr>
    <w:rPr>
      <w:rFonts w:ascii="宋体" w:cstheme="minorBidi"/>
      <w:kern w:val="2"/>
      <w:sz w:val="28"/>
      <w:szCs w:val="22"/>
      <w:lang w:eastAsia="zh-CN"/>
    </w:rPr>
  </w:style>
  <w:style w:type="paragraph" w:styleId="BalloonText">
    <w:name w:val="Balloon Text"/>
    <w:basedOn w:val="Normal0"/>
    <w:link w:val="a11"/>
    <w:unhideWhenUsed/>
    <w:qFormat/>
    <w:rPr>
      <w:rFonts w:asciiTheme="minorHAnsi" w:eastAsiaTheme="minorEastAsia" w:hAnsiTheme="minorHAnsi" w:cstheme="minorBidi"/>
      <w:sz w:val="18"/>
      <w:szCs w:val="18"/>
    </w:rPr>
  </w:style>
  <w:style w:type="paragraph" w:styleId="Footer">
    <w:name w:val="footer"/>
    <w:basedOn w:val="Normal"/>
    <w:link w:val="a1"/>
    <w:semiHidden/>
    <w:unhideWhenUsed/>
    <w:qFormat/>
    <w:pPr>
      <w:widowControl w:val="0"/>
      <w:tabs>
        <w:tab w:val="center" w:pos="4153"/>
        <w:tab w:val="right" w:pos="8306"/>
      </w:tabs>
      <w:snapToGrid w:val="0"/>
    </w:pPr>
    <w:rPr>
      <w:rFonts w:ascii="Calibri" w:eastAsia="宋体" w:hAnsi="Calibri"/>
      <w:kern w:val="2"/>
      <w:sz w:val="18"/>
      <w:szCs w:val="18"/>
      <w:lang w:eastAsia="zh-CN"/>
    </w:rPr>
  </w:style>
  <w:style w:type="paragraph" w:styleId="Header">
    <w:name w:val="header"/>
    <w:basedOn w:val="Normal"/>
    <w:link w:val="a0"/>
    <w:autoRedefine/>
    <w:semiHidden/>
    <w:unhideWhenUsed/>
    <w:qFormat/>
    <w:pPr>
      <w:widowControl w:val="0"/>
      <w:pBdr>
        <w:bottom w:val="single" w:sz="6" w:space="1" w:color="auto"/>
      </w:pBdr>
      <w:tabs>
        <w:tab w:val="center" w:pos="4153"/>
        <w:tab w:val="right" w:pos="8306"/>
      </w:tabs>
      <w:snapToGrid w:val="0"/>
      <w:jc w:val="center"/>
    </w:pPr>
    <w:rPr>
      <w:rFonts w:ascii="Calibri" w:eastAsia="宋体" w:hAnsi="Calibri"/>
      <w:kern w:val="2"/>
      <w:sz w:val="18"/>
      <w:szCs w:val="18"/>
      <w:lang w:eastAsia="zh-CN"/>
    </w:rPr>
  </w:style>
  <w:style w:type="paragraph" w:styleId="TOC1">
    <w:name w:val="toc 1"/>
    <w:basedOn w:val="Normal"/>
    <w:next w:val="Normal"/>
    <w:semiHidden/>
    <w:unhideWhenUsed/>
    <w:qFormat/>
    <w:pPr>
      <w:widowControl w:val="0"/>
      <w:jc w:val="both"/>
    </w:pPr>
    <w:rPr>
      <w:rFonts w:ascii="Calibri" w:eastAsia="宋体" w:hAnsi="Calibri"/>
      <w:kern w:val="2"/>
      <w:sz w:val="21"/>
      <w:szCs w:val="22"/>
      <w:lang w:eastAsia="zh-CN"/>
    </w:rPr>
  </w:style>
  <w:style w:type="paragraph" w:styleId="TOC4">
    <w:name w:val="toc 4"/>
    <w:basedOn w:val="Normal"/>
    <w:next w:val="Normal"/>
    <w:autoRedefine/>
    <w:semiHidden/>
    <w:unhideWhenUsed/>
    <w:qFormat/>
    <w:pPr>
      <w:widowControl w:val="0"/>
      <w:tabs>
        <w:tab w:val="left" w:pos="1890"/>
        <w:tab w:val="right" w:leader="dot" w:pos="8296"/>
      </w:tabs>
      <w:ind w:left="630" w:leftChars="300"/>
      <w:jc w:val="both"/>
    </w:pPr>
    <w:rPr>
      <w:rFonts w:ascii="Calibri" w:eastAsia="宋体" w:hAnsi="Calibri"/>
      <w:kern w:val="2"/>
      <w:sz w:val="21"/>
      <w:szCs w:val="22"/>
      <w:lang w:eastAsia="zh-CN"/>
    </w:rPr>
  </w:style>
  <w:style w:type="paragraph" w:styleId="Subtitle">
    <w:name w:val="Subtitle"/>
    <w:basedOn w:val="Normal"/>
    <w:next w:val="Normal"/>
    <w:link w:val="a4"/>
    <w:qFormat/>
    <w:pPr>
      <w:widowControl w:val="0"/>
      <w:spacing w:before="240" w:after="60" w:line="312" w:lineRule="auto"/>
      <w:jc w:val="center"/>
      <w:outlineLvl w:val="1"/>
    </w:pPr>
    <w:rPr>
      <w:rFonts w:ascii="Cambria" w:hAnsi="Cambria"/>
      <w:b/>
      <w:bCs/>
      <w:kern w:val="28"/>
      <w:sz w:val="32"/>
      <w:szCs w:val="32"/>
      <w:lang w:eastAsia="zh-CN"/>
    </w:rPr>
  </w:style>
  <w:style w:type="paragraph" w:styleId="TOC6">
    <w:name w:val="toc 6"/>
    <w:basedOn w:val="Normal"/>
    <w:next w:val="Normal"/>
    <w:semiHidden/>
    <w:unhideWhenUsed/>
    <w:qFormat/>
    <w:pPr>
      <w:widowControl w:val="0"/>
      <w:ind w:left="2100" w:leftChars="1000"/>
      <w:jc w:val="both"/>
    </w:pPr>
    <w:rPr>
      <w:rFonts w:ascii="Calibri" w:eastAsia="宋体" w:hAnsi="Calibri"/>
      <w:kern w:val="2"/>
      <w:sz w:val="21"/>
      <w:szCs w:val="22"/>
      <w:lang w:eastAsia="zh-CN"/>
    </w:rPr>
  </w:style>
  <w:style w:type="paragraph" w:styleId="TOC2">
    <w:name w:val="toc 2"/>
    <w:basedOn w:val="Normal"/>
    <w:next w:val="Normal"/>
    <w:autoRedefine/>
    <w:semiHidden/>
    <w:unhideWhenUsed/>
    <w:qFormat/>
    <w:pPr>
      <w:widowControl w:val="0"/>
      <w:ind w:left="240"/>
      <w:jc w:val="both"/>
    </w:pPr>
    <w:rPr>
      <w:rFonts w:ascii="Calibri" w:eastAsia="宋体" w:hAnsi="Calibri"/>
      <w:kern w:val="2"/>
      <w:sz w:val="21"/>
      <w:szCs w:val="22"/>
      <w:lang w:eastAsia="zh-CN"/>
    </w:rPr>
  </w:style>
  <w:style w:type="paragraph" w:styleId="TOC9">
    <w:name w:val="toc 9"/>
    <w:basedOn w:val="Normal"/>
    <w:next w:val="Normal"/>
    <w:semiHidden/>
    <w:unhideWhenUsed/>
    <w:qFormat/>
    <w:pPr>
      <w:widowControl w:val="0"/>
      <w:ind w:left="3360" w:leftChars="1600"/>
      <w:jc w:val="both"/>
    </w:pPr>
    <w:rPr>
      <w:rFonts w:ascii="Calibri" w:eastAsia="宋体" w:hAnsi="Calibri"/>
      <w:kern w:val="2"/>
      <w:sz w:val="21"/>
      <w:szCs w:val="22"/>
      <w:lang w:eastAsia="zh-CN"/>
    </w:rPr>
  </w:style>
  <w:style w:type="paragraph" w:styleId="NormalWeb">
    <w:name w:val="Normal (Web)"/>
    <w:basedOn w:val="Normal"/>
    <w:autoRedefine/>
    <w:semiHidden/>
    <w:unhideWhenUsed/>
    <w:qFormat/>
    <w:pPr>
      <w:spacing w:before="100" w:beforeAutospacing="1" w:after="100" w:afterAutospacing="1" w:line="320" w:lineRule="atLeast"/>
    </w:pPr>
    <w:rPr>
      <w:rFonts w:ascii="宋体" w:eastAsia="宋体" w:hAnsi="宋体"/>
      <w:sz w:val="18"/>
      <w:szCs w:val="18"/>
      <w:lang w:eastAsia="zh-CN"/>
    </w:rPr>
  </w:style>
  <w:style w:type="paragraph" w:styleId="Title">
    <w:name w:val="Title"/>
    <w:basedOn w:val="Normal"/>
    <w:next w:val="Normal"/>
    <w:link w:val="a2"/>
    <w:qFormat/>
    <w:pPr>
      <w:widowControl w:val="0"/>
      <w:spacing w:before="240" w:after="60"/>
      <w:jc w:val="center"/>
      <w:outlineLvl w:val="0"/>
    </w:pPr>
    <w:rPr>
      <w:rFonts w:ascii="Cambria" w:hAnsi="Cambria"/>
      <w:b/>
      <w:bCs/>
      <w:kern w:val="2"/>
      <w:sz w:val="32"/>
      <w:szCs w:val="32"/>
      <w:lang w:eastAsia="zh-CN"/>
    </w:rPr>
  </w:style>
  <w:style w:type="paragraph" w:styleId="CommentSubject">
    <w:name w:val="annotation subject"/>
    <w:basedOn w:val="CommentText"/>
    <w:next w:val="CommentText"/>
    <w:link w:val="a7"/>
    <w:semiHidden/>
    <w:unhideWhenUsed/>
    <w:qFormat/>
    <w:rPr>
      <w:b/>
      <w:bCs/>
    </w:rPr>
  </w:style>
  <w:style w:type="table" w:styleId="TableGrid">
    <w:name w:val="Table Grid"/>
    <w:basedOn w:val="TableNorma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autoRedefine/>
    <w:semiHidden/>
    <w:unhideWhenUsed/>
    <w:qFormat/>
    <w:rPr>
      <w:rFonts w:ascii="Times New Roman" w:hAnsi="Times New Roman" w:cs="Times New Roman" w:hint="default"/>
    </w:rPr>
  </w:style>
  <w:style w:type="character" w:styleId="FollowedHyperlink">
    <w:name w:val="FollowedHyperlink"/>
    <w:basedOn w:val="DefaultParagraphFont"/>
    <w:uiPriority w:val="99"/>
    <w:semiHidden/>
    <w:unhideWhenUsed/>
    <w:qFormat/>
    <w:rPr>
      <w:color w:val="800080" w:themeColor="followedHyperlink"/>
      <w:u w:val="single"/>
      <w14:textFill>
        <w14:solidFill>
          <w14:schemeClr w14:val="folHlink"/>
        </w14:solidFill>
      </w14:textFill>
    </w:rPr>
  </w:style>
  <w:style w:type="character" w:styleId="Hyperlink">
    <w:name w:val="Hyperlink"/>
    <w:semiHidden/>
    <w:unhideWhenUsed/>
    <w:qFormat/>
    <w:rPr>
      <w:color w:val="0000FF"/>
      <w:u w:val="single"/>
    </w:rPr>
  </w:style>
  <w:style w:type="character" w:styleId="CommentReference">
    <w:name w:val="annotation reference"/>
    <w:autoRedefine/>
    <w:semiHidden/>
    <w:unhideWhenUsed/>
    <w:qFormat/>
    <w:rPr>
      <w:sz w:val="21"/>
      <w:szCs w:val="21"/>
    </w:rPr>
  </w:style>
  <w:style w:type="paragraph" w:customStyle="1" w:styleId="BodyTextFirstIndent21">
    <w:name w:val="Body Text First Indent 21"/>
    <w:basedOn w:val="BodyTextIndent1"/>
    <w:autoRedefine/>
    <w:qFormat/>
    <w:pPr>
      <w:ind w:firstLine="420" w:firstLineChars="200"/>
    </w:pPr>
  </w:style>
  <w:style w:type="paragraph" w:customStyle="1" w:styleId="BodyTextIndent1">
    <w:name w:val="Body Text Indent1"/>
    <w:basedOn w:val="NewNew"/>
    <w:qFormat/>
    <w:pPr>
      <w:ind w:firstLine="624"/>
    </w:pPr>
  </w:style>
  <w:style w:type="paragraph" w:customStyle="1" w:styleId="NewNew">
    <w:name w:val="正文 New New"/>
    <w:next w:val="BodyTextFirstIndent21"/>
    <w:qFormat/>
    <w:pPr>
      <w:widowControl w:val="0"/>
      <w:jc w:val="both"/>
    </w:pPr>
    <w:rPr>
      <w:rFonts w:ascii="Times New Roman" w:eastAsia="宋体" w:hAnsi="Times New Roman" w:cs="Times New Roman"/>
      <w:kern w:val="2"/>
      <w:sz w:val="21"/>
      <w:szCs w:val="24"/>
      <w:lang w:val="en-US" w:eastAsia="zh-CN" w:bidi="ar-SA"/>
    </w:rPr>
  </w:style>
  <w:style w:type="character" w:customStyle="1" w:styleId="1">
    <w:name w:val="标题 1 字符"/>
    <w:basedOn w:val="DefaultParagraphFont"/>
    <w:link w:val="Heading1"/>
    <w:autoRedefine/>
    <w:qFormat/>
    <w:rPr>
      <w:rFonts w:ascii="Calibri" w:eastAsia="宋体" w:hAnsi="Calibri"/>
      <w:b/>
      <w:bCs/>
      <w:kern w:val="44"/>
      <w:sz w:val="44"/>
      <w:szCs w:val="44"/>
      <w:lang w:eastAsia="zh-CN"/>
    </w:rPr>
  </w:style>
  <w:style w:type="character" w:customStyle="1" w:styleId="2">
    <w:name w:val="标题 2 字符"/>
    <w:basedOn w:val="DefaultParagraphFont"/>
    <w:link w:val="Heading2"/>
    <w:semiHidden/>
    <w:qFormat/>
    <w:rPr>
      <w:rFonts w:ascii="Cambria" w:eastAsia="宋体" w:hAnsi="Cambria"/>
      <w:b/>
      <w:bCs/>
      <w:kern w:val="2"/>
      <w:sz w:val="30"/>
      <w:szCs w:val="32"/>
      <w:lang w:eastAsia="zh-CN"/>
    </w:rPr>
  </w:style>
  <w:style w:type="character" w:customStyle="1" w:styleId="3">
    <w:name w:val="标题 3 字符"/>
    <w:basedOn w:val="DefaultParagraphFont"/>
    <w:link w:val="Heading3"/>
    <w:qFormat/>
    <w:rPr>
      <w:rFonts w:ascii="Calibri" w:eastAsia="宋体" w:hAnsi="Calibri"/>
      <w:b/>
      <w:bCs/>
      <w:kern w:val="2"/>
      <w:sz w:val="21"/>
      <w:szCs w:val="32"/>
      <w:lang w:eastAsia="zh-CN"/>
    </w:rPr>
  </w:style>
  <w:style w:type="character" w:customStyle="1" w:styleId="4">
    <w:name w:val="标题 4 字符"/>
    <w:basedOn w:val="DefaultParagraphFont"/>
    <w:link w:val="Heading4"/>
    <w:semiHidden/>
    <w:qFormat/>
    <w:rPr>
      <w:rFonts w:ascii="Cambria" w:eastAsia="宋体" w:hAnsi="Cambria"/>
      <w:b/>
      <w:bCs/>
      <w:kern w:val="2"/>
      <w:sz w:val="21"/>
      <w:szCs w:val="28"/>
      <w:lang w:eastAsia="zh-CN"/>
    </w:rPr>
  </w:style>
  <w:style w:type="character" w:customStyle="1" w:styleId="5">
    <w:name w:val="标题 5 字符"/>
    <w:basedOn w:val="DefaultParagraphFont"/>
    <w:link w:val="Heading5"/>
    <w:semiHidden/>
    <w:qFormat/>
    <w:rPr>
      <w:rFonts w:ascii="Calibri" w:eastAsia="宋体" w:hAnsi="Calibri"/>
      <w:b/>
      <w:bCs/>
      <w:kern w:val="2"/>
      <w:sz w:val="28"/>
      <w:szCs w:val="28"/>
      <w:lang w:eastAsia="zh-CN"/>
    </w:rPr>
  </w:style>
  <w:style w:type="character" w:customStyle="1" w:styleId="6">
    <w:name w:val="标题 6 字符"/>
    <w:basedOn w:val="DefaultParagraphFont"/>
    <w:link w:val="Heading6"/>
    <w:semiHidden/>
    <w:qFormat/>
    <w:rPr>
      <w:rFonts w:ascii="Cambria" w:eastAsia="宋体" w:hAnsi="Cambria"/>
      <w:b/>
      <w:bCs/>
      <w:kern w:val="2"/>
      <w:sz w:val="24"/>
      <w:szCs w:val="24"/>
      <w:lang w:eastAsia="zh-CN"/>
    </w:rPr>
  </w:style>
  <w:style w:type="character" w:customStyle="1" w:styleId="7">
    <w:name w:val="标题 7 字符"/>
    <w:basedOn w:val="DefaultParagraphFont"/>
    <w:link w:val="Heading7"/>
    <w:semiHidden/>
    <w:qFormat/>
    <w:rPr>
      <w:rFonts w:ascii="Calibri" w:eastAsia="宋体" w:hAnsi="Calibri"/>
      <w:b/>
      <w:bCs/>
      <w:kern w:val="2"/>
      <w:sz w:val="24"/>
      <w:szCs w:val="24"/>
      <w:lang w:eastAsia="zh-CN"/>
    </w:rPr>
  </w:style>
  <w:style w:type="character" w:customStyle="1" w:styleId="8">
    <w:name w:val="标题 8 字符"/>
    <w:basedOn w:val="DefaultParagraphFont"/>
    <w:link w:val="Heading8"/>
    <w:autoRedefine/>
    <w:semiHidden/>
    <w:qFormat/>
    <w:rPr>
      <w:rFonts w:ascii="Cambria" w:eastAsia="宋体" w:hAnsi="Cambria"/>
      <w:kern w:val="2"/>
      <w:sz w:val="24"/>
      <w:szCs w:val="24"/>
      <w:lang w:eastAsia="zh-CN"/>
    </w:rPr>
  </w:style>
  <w:style w:type="character" w:customStyle="1" w:styleId="9">
    <w:name w:val="标题 9 字符"/>
    <w:basedOn w:val="DefaultParagraphFont"/>
    <w:link w:val="Heading9"/>
    <w:semiHidden/>
    <w:qFormat/>
    <w:rPr>
      <w:rFonts w:ascii="Cambria" w:eastAsia="宋体" w:hAnsi="Cambria"/>
      <w:kern w:val="2"/>
      <w:sz w:val="21"/>
      <w:szCs w:val="21"/>
      <w:lang w:eastAsia="zh-CN"/>
    </w:rPr>
  </w:style>
  <w:style w:type="paragraph" w:customStyle="1" w:styleId="msonormal">
    <w:name w:val="msonormal"/>
    <w:basedOn w:val="Normal"/>
    <w:semiHidden/>
    <w:qFormat/>
    <w:pPr>
      <w:spacing w:before="100" w:beforeAutospacing="1" w:after="100" w:afterAutospacing="1" w:line="320" w:lineRule="atLeast"/>
    </w:pPr>
    <w:rPr>
      <w:rFonts w:ascii="宋体" w:eastAsia="宋体" w:hAnsi="宋体"/>
      <w:sz w:val="18"/>
      <w:szCs w:val="18"/>
      <w:lang w:eastAsia="zh-CN"/>
    </w:rPr>
  </w:style>
  <w:style w:type="character" w:customStyle="1" w:styleId="a">
    <w:name w:val="批注文字 字符"/>
    <w:basedOn w:val="DefaultParagraphFont"/>
    <w:semiHidden/>
    <w:qFormat/>
    <w:rPr>
      <w:sz w:val="24"/>
      <w:szCs w:val="24"/>
    </w:rPr>
  </w:style>
  <w:style w:type="character" w:customStyle="1" w:styleId="a0">
    <w:name w:val="页眉 字符"/>
    <w:basedOn w:val="DefaultParagraphFont"/>
    <w:link w:val="Header"/>
    <w:semiHidden/>
    <w:qFormat/>
    <w:rPr>
      <w:rFonts w:ascii="Calibri" w:eastAsia="宋体" w:hAnsi="Calibri"/>
      <w:kern w:val="2"/>
      <w:sz w:val="18"/>
      <w:szCs w:val="18"/>
      <w:lang w:eastAsia="zh-CN"/>
    </w:rPr>
  </w:style>
  <w:style w:type="character" w:customStyle="1" w:styleId="a1">
    <w:name w:val="页脚 字符"/>
    <w:basedOn w:val="DefaultParagraphFont"/>
    <w:link w:val="Footer"/>
    <w:autoRedefine/>
    <w:semiHidden/>
    <w:qFormat/>
    <w:rPr>
      <w:rFonts w:ascii="Calibri" w:eastAsia="宋体" w:hAnsi="Calibri"/>
      <w:kern w:val="2"/>
      <w:sz w:val="18"/>
      <w:szCs w:val="18"/>
      <w:lang w:eastAsia="zh-CN"/>
    </w:rPr>
  </w:style>
  <w:style w:type="character" w:customStyle="1" w:styleId="a2">
    <w:name w:val="标题 字符"/>
    <w:basedOn w:val="DefaultParagraphFont"/>
    <w:link w:val="Title"/>
    <w:autoRedefine/>
    <w:qFormat/>
    <w:rPr>
      <w:rFonts w:ascii="Cambria" w:hAnsi="Cambria"/>
      <w:b/>
      <w:bCs/>
      <w:kern w:val="2"/>
      <w:sz w:val="32"/>
      <w:szCs w:val="32"/>
      <w:lang w:eastAsia="zh-CN"/>
    </w:rPr>
  </w:style>
  <w:style w:type="character" w:customStyle="1" w:styleId="a3">
    <w:name w:val="正文文本 字符"/>
    <w:basedOn w:val="DefaultParagraphFont"/>
    <w:link w:val="BodyText"/>
    <w:autoRedefine/>
    <w:semiHidden/>
    <w:qFormat/>
    <w:rPr>
      <w:rFonts w:cstheme="minorBidi"/>
      <w:kern w:val="2"/>
      <w:sz w:val="21"/>
      <w:szCs w:val="22"/>
      <w:lang w:eastAsia="zh-CN"/>
    </w:rPr>
  </w:style>
  <w:style w:type="character" w:customStyle="1" w:styleId="a4">
    <w:name w:val="副标题 字符"/>
    <w:basedOn w:val="DefaultParagraphFont"/>
    <w:link w:val="Subtitle"/>
    <w:autoRedefine/>
    <w:qFormat/>
    <w:rPr>
      <w:rFonts w:ascii="Cambria" w:hAnsi="Cambria"/>
      <w:b/>
      <w:bCs/>
      <w:kern w:val="28"/>
      <w:sz w:val="32"/>
      <w:szCs w:val="32"/>
      <w:lang w:eastAsia="zh-CN"/>
    </w:rPr>
  </w:style>
  <w:style w:type="character" w:customStyle="1" w:styleId="a5">
    <w:name w:val="日期 字符"/>
    <w:basedOn w:val="DefaultParagraphFont"/>
    <w:link w:val="Date"/>
    <w:semiHidden/>
    <w:qFormat/>
    <w:rPr>
      <w:rFonts w:ascii="宋体" w:cstheme="minorBidi"/>
      <w:kern w:val="2"/>
      <w:sz w:val="28"/>
      <w:szCs w:val="22"/>
      <w:lang w:eastAsia="zh-CN"/>
    </w:rPr>
  </w:style>
  <w:style w:type="character" w:customStyle="1" w:styleId="a6">
    <w:name w:val="文档结构图 字符"/>
    <w:basedOn w:val="DefaultParagraphFont"/>
    <w:link w:val="DocumentMap"/>
    <w:autoRedefine/>
    <w:semiHidden/>
    <w:qFormat/>
    <w:rPr>
      <w:rFonts w:cstheme="minorBidi"/>
      <w:kern w:val="2"/>
      <w:sz w:val="21"/>
      <w:szCs w:val="24"/>
      <w:shd w:val="clear" w:color="auto" w:fill="000080"/>
      <w:lang w:eastAsia="zh-CN"/>
    </w:rPr>
  </w:style>
  <w:style w:type="character" w:customStyle="1" w:styleId="a7">
    <w:name w:val="批注主题 字符"/>
    <w:basedOn w:val="a"/>
    <w:link w:val="CommentSubject"/>
    <w:autoRedefine/>
    <w:semiHidden/>
    <w:qFormat/>
    <w:rPr>
      <w:rFonts w:ascii="Calibri" w:eastAsia="宋体" w:hAnsi="Calibri"/>
      <w:b/>
      <w:bCs/>
      <w:kern w:val="2"/>
      <w:sz w:val="21"/>
      <w:szCs w:val="22"/>
      <w:lang w:eastAsia="zh-CN"/>
    </w:rPr>
  </w:style>
  <w:style w:type="paragraph" w:styleId="NoSpacing">
    <w:name w:val="No Spacing"/>
    <w:autoRedefine/>
    <w:qFormat/>
    <w:pPr>
      <w:widowControl w:val="0"/>
      <w:jc w:val="both"/>
    </w:pPr>
    <w:rPr>
      <w:rFonts w:ascii="Calibri" w:eastAsia="宋体" w:hAnsi="Calibri" w:cs="Times New Roman"/>
      <w:kern w:val="2"/>
      <w:sz w:val="21"/>
      <w:szCs w:val="22"/>
      <w:lang w:val="en-US" w:eastAsia="zh-CN" w:bidi="ar-SA"/>
    </w:rPr>
  </w:style>
  <w:style w:type="paragraph" w:styleId="ListParagraph">
    <w:name w:val="List Paragraph"/>
    <w:basedOn w:val="Normal"/>
    <w:autoRedefine/>
    <w:qFormat/>
    <w:pPr>
      <w:widowControl w:val="0"/>
      <w:ind w:firstLine="420" w:firstLineChars="200"/>
      <w:jc w:val="both"/>
    </w:pPr>
    <w:rPr>
      <w:rFonts w:ascii="Calibri" w:eastAsia="宋体" w:hAnsi="Calibri"/>
      <w:kern w:val="2"/>
      <w:sz w:val="21"/>
      <w:szCs w:val="22"/>
      <w:lang w:eastAsia="zh-CN"/>
    </w:rPr>
  </w:style>
  <w:style w:type="paragraph" w:styleId="Quote">
    <w:name w:val="Quote"/>
    <w:basedOn w:val="Normal"/>
    <w:next w:val="Normal"/>
    <w:link w:val="a8"/>
    <w:autoRedefine/>
    <w:qFormat/>
    <w:pPr>
      <w:widowControl w:val="0"/>
      <w:jc w:val="both"/>
    </w:pPr>
    <w:rPr>
      <w:rFonts w:asciiTheme="minorHAnsi" w:hAnsiTheme="minorHAnsi" w:cstheme="minorBidi"/>
      <w:i/>
      <w:iCs/>
      <w:color w:val="000000"/>
      <w:kern w:val="2"/>
      <w:sz w:val="21"/>
      <w:szCs w:val="22"/>
      <w:lang w:eastAsia="zh-CN"/>
    </w:rPr>
  </w:style>
  <w:style w:type="character" w:customStyle="1" w:styleId="a8">
    <w:name w:val="引用 字符"/>
    <w:basedOn w:val="DefaultParagraphFont"/>
    <w:link w:val="Quote"/>
    <w:autoRedefine/>
    <w:qFormat/>
    <w:rPr>
      <w:rFonts w:asciiTheme="minorHAnsi" w:hAnsiTheme="minorHAnsi" w:cstheme="minorBidi"/>
      <w:i/>
      <w:iCs/>
      <w:color w:val="000000"/>
      <w:kern w:val="2"/>
      <w:sz w:val="21"/>
      <w:szCs w:val="22"/>
      <w:lang w:eastAsia="zh-CN"/>
    </w:rPr>
  </w:style>
  <w:style w:type="paragraph" w:styleId="IntenseQuote">
    <w:name w:val="Intense Quote"/>
    <w:basedOn w:val="Normal"/>
    <w:next w:val="Normal"/>
    <w:link w:val="a9"/>
    <w:qFormat/>
    <w:pPr>
      <w:widowControl w:val="0"/>
      <w:pBdr>
        <w:bottom w:val="single" w:sz="4" w:space="4" w:color="4F81BD"/>
      </w:pBdr>
      <w:spacing w:before="200" w:after="280"/>
      <w:ind w:left="936" w:right="936"/>
      <w:jc w:val="both"/>
    </w:pPr>
    <w:rPr>
      <w:rFonts w:asciiTheme="minorHAnsi" w:hAnsiTheme="minorHAnsi" w:cstheme="minorBidi"/>
      <w:b/>
      <w:bCs/>
      <w:i/>
      <w:iCs/>
      <w:color w:val="4F81BD"/>
      <w:kern w:val="2"/>
      <w:sz w:val="21"/>
      <w:szCs w:val="22"/>
      <w:lang w:eastAsia="zh-CN"/>
    </w:rPr>
  </w:style>
  <w:style w:type="character" w:customStyle="1" w:styleId="a9">
    <w:name w:val="明显引用 字符"/>
    <w:basedOn w:val="DefaultParagraphFont"/>
    <w:link w:val="IntenseQuote"/>
    <w:autoRedefine/>
    <w:qFormat/>
    <w:rPr>
      <w:rFonts w:asciiTheme="minorHAnsi" w:hAnsiTheme="minorHAnsi" w:cstheme="minorBidi"/>
      <w:b/>
      <w:bCs/>
      <w:i/>
      <w:iCs/>
      <w:color w:val="4F81BD"/>
      <w:kern w:val="2"/>
      <w:sz w:val="21"/>
      <w:szCs w:val="22"/>
      <w:lang w:eastAsia="zh-CN"/>
    </w:rPr>
  </w:style>
  <w:style w:type="paragraph" w:customStyle="1" w:styleId="flNote">
    <w:name w:val="flNote"/>
    <w:basedOn w:val="Normal"/>
    <w:semiHidden/>
    <w:qFormat/>
    <w:pPr>
      <w:widowControl w:val="0"/>
      <w:adjustRightInd w:val="0"/>
      <w:spacing w:before="320" w:after="160" w:line="360" w:lineRule="atLeast"/>
      <w:jc w:val="center"/>
    </w:pPr>
    <w:rPr>
      <w:rFonts w:ascii="Arial" w:eastAsia="黑体"/>
      <w:sz w:val="30"/>
      <w:szCs w:val="20"/>
      <w:lang w:eastAsia="zh-CN"/>
    </w:rPr>
  </w:style>
  <w:style w:type="paragraph" w:customStyle="1" w:styleId="20">
    <w:name w:val="修订2"/>
    <w:autoRedefine/>
    <w:semiHidden/>
    <w:qFormat/>
    <w:rPr>
      <w:rFonts w:ascii="Calibri" w:eastAsia="宋体" w:hAnsi="Calibri" w:cs="Times New Roman"/>
      <w:kern w:val="2"/>
      <w:sz w:val="21"/>
      <w:szCs w:val="22"/>
      <w:lang w:val="en-US" w:eastAsia="zh-CN" w:bidi="ar-SA"/>
    </w:rPr>
  </w:style>
  <w:style w:type="paragraph" w:customStyle="1" w:styleId="30">
    <w:name w:val="修订3"/>
    <w:autoRedefine/>
    <w:uiPriority w:val="99"/>
    <w:semiHidden/>
    <w:qFormat/>
    <w:rPr>
      <w:rFonts w:ascii="Calibri" w:eastAsia="宋体" w:hAnsi="Calibri" w:cs="Times New Roman"/>
      <w:kern w:val="2"/>
      <w:sz w:val="21"/>
      <w:szCs w:val="22"/>
      <w:lang w:val="en-US" w:eastAsia="zh-CN" w:bidi="ar-SA"/>
    </w:rPr>
  </w:style>
  <w:style w:type="paragraph" w:customStyle="1" w:styleId="1111A">
    <w:name w:val="1.1.1.1A"/>
    <w:basedOn w:val="Normal"/>
    <w:semiHidden/>
    <w:qFormat/>
    <w:pPr>
      <w:widowControl w:val="0"/>
      <w:tabs>
        <w:tab w:val="left" w:pos="1134"/>
        <w:tab w:val="left" w:pos="1843"/>
      </w:tabs>
      <w:adjustRightInd w:val="0"/>
      <w:spacing w:before="60" w:after="60" w:line="400" w:lineRule="atLeast"/>
      <w:ind w:left="1560" w:right="200" w:hanging="426" w:rightChars="200"/>
      <w:jc w:val="both"/>
    </w:pPr>
    <w:rPr>
      <w:rFonts w:ascii="Arial" w:eastAsia="宋体" w:hAnsi="Arial"/>
      <w:szCs w:val="20"/>
      <w:lang w:eastAsia="zh-CN"/>
    </w:rPr>
  </w:style>
  <w:style w:type="paragraph" w:customStyle="1" w:styleId="TOC20">
    <w:name w:val="TOC 标题2"/>
    <w:basedOn w:val="Heading1"/>
    <w:next w:val="Normal"/>
    <w:autoRedefine/>
    <w:semiHidden/>
    <w:qFormat/>
    <w:pPr>
      <w:outlineLvl w:val="9"/>
    </w:pPr>
  </w:style>
  <w:style w:type="paragraph" w:customStyle="1" w:styleId="2TimesNewRoman5020">
    <w:name w:val="样式 标题 2 + Times New Roman 四号 非加粗 段前: 5 磅 段后: 0 磅 行距: 固定值 20..."/>
    <w:basedOn w:val="Heading2"/>
    <w:autoRedefine/>
    <w:semiHidden/>
    <w:qFormat/>
    <w:pPr>
      <w:spacing w:before="100" w:after="0" w:line="400" w:lineRule="exact"/>
    </w:pPr>
    <w:rPr>
      <w:rFonts w:ascii="Times New Roman" w:eastAsia="黑体" w:hAnsi="Times New Roman" w:cs="宋体"/>
      <w:b w:val="0"/>
      <w:bCs w:val="0"/>
      <w:kern w:val="0"/>
      <w:sz w:val="28"/>
      <w:szCs w:val="20"/>
    </w:rPr>
  </w:style>
  <w:style w:type="paragraph" w:customStyle="1" w:styleId="40">
    <w:name w:val="修订4"/>
    <w:uiPriority w:val="99"/>
    <w:semiHidden/>
    <w:qFormat/>
    <w:rPr>
      <w:rFonts w:ascii="Calibri" w:eastAsia="宋体" w:hAnsi="Calibri" w:cs="Times New Roman"/>
      <w:kern w:val="2"/>
      <w:sz w:val="21"/>
      <w:szCs w:val="22"/>
      <w:lang w:val="en-US" w:eastAsia="zh-CN" w:bidi="ar-SA"/>
    </w:rPr>
  </w:style>
  <w:style w:type="paragraph" w:customStyle="1" w:styleId="WPSOffice1">
    <w:name w:val="WPSOffice手动目录 1"/>
    <w:semiHidden/>
    <w:qFormat/>
    <w:rPr>
      <w:rFonts w:ascii="Calibri" w:eastAsia="宋体" w:hAnsi="Calibri" w:cs="Arial"/>
      <w:lang w:val="en-US" w:eastAsia="zh-CN" w:bidi="ar-SA"/>
    </w:rPr>
  </w:style>
  <w:style w:type="character" w:customStyle="1" w:styleId="4CharChar">
    <w:name w:val="标题4 Char Char"/>
    <w:link w:val="41"/>
    <w:semiHidden/>
    <w:qFormat/>
    <w:locked/>
    <w:rPr>
      <w:rFonts w:ascii="Arial" w:hAnsi="Arial" w:cs="Arial"/>
      <w:b/>
      <w:bCs/>
      <w:sz w:val="24"/>
      <w:szCs w:val="32"/>
    </w:rPr>
  </w:style>
  <w:style w:type="paragraph" w:customStyle="1" w:styleId="41">
    <w:name w:val="标题4"/>
    <w:basedOn w:val="Heading2"/>
    <w:next w:val="Index4"/>
    <w:link w:val="4CharChar"/>
    <w:semiHidden/>
    <w:qFormat/>
    <w:pPr>
      <w:spacing w:line="410" w:lineRule="auto"/>
    </w:pPr>
    <w:rPr>
      <w:rFonts w:ascii="Arial" w:hAnsi="Arial" w:eastAsiaTheme="minorEastAsia" w:cs="Arial"/>
      <w:kern w:val="0"/>
      <w:sz w:val="24"/>
      <w:lang w:eastAsia="en-US"/>
    </w:rPr>
  </w:style>
  <w:style w:type="character" w:customStyle="1" w:styleId="5CharChar">
    <w:name w:val="标题5 Char Char"/>
    <w:link w:val="50"/>
    <w:autoRedefine/>
    <w:semiHidden/>
    <w:qFormat/>
    <w:locked/>
    <w:rPr>
      <w:rFonts w:ascii="Arial" w:hAnsi="Arial" w:cs="Arial"/>
      <w:b/>
      <w:bCs/>
      <w:sz w:val="24"/>
      <w:szCs w:val="32"/>
    </w:rPr>
  </w:style>
  <w:style w:type="paragraph" w:customStyle="1" w:styleId="50">
    <w:name w:val="标题5"/>
    <w:basedOn w:val="Heading3"/>
    <w:link w:val="5CharChar"/>
    <w:semiHidden/>
    <w:qFormat/>
    <w:pPr>
      <w:spacing w:line="410" w:lineRule="auto"/>
    </w:pPr>
    <w:rPr>
      <w:rFonts w:ascii="Arial" w:hAnsi="Arial" w:eastAsiaTheme="minorEastAsia" w:cs="Arial"/>
      <w:kern w:val="0"/>
      <w:sz w:val="24"/>
      <w:lang w:eastAsia="en-US"/>
    </w:rPr>
  </w:style>
  <w:style w:type="paragraph" w:customStyle="1" w:styleId="378020">
    <w:name w:val="样式 标题 3 + (中文) 黑体 小四 非加粗 段前: 7.8 磅 段后: 0 磅 行距: 固定值 20 磅"/>
    <w:basedOn w:val="Heading3"/>
    <w:autoRedefine/>
    <w:semiHidden/>
    <w:qFormat/>
    <w:pPr>
      <w:spacing w:before="0" w:after="0" w:line="400" w:lineRule="exact"/>
    </w:pPr>
    <w:rPr>
      <w:rFonts w:ascii="Times New Roman" w:eastAsia="黑体" w:hAnsi="Times New Roman" w:cs="宋体"/>
      <w:b w:val="0"/>
      <w:bCs w:val="0"/>
      <w:sz w:val="24"/>
      <w:szCs w:val="20"/>
    </w:rPr>
  </w:style>
  <w:style w:type="paragraph" w:customStyle="1" w:styleId="10">
    <w:name w:val="修订1"/>
    <w:uiPriority w:val="99"/>
    <w:semiHidden/>
    <w:qFormat/>
    <w:rPr>
      <w:rFonts w:ascii="Calibri" w:eastAsia="宋体" w:hAnsi="Calibri" w:cs="Times New Roman"/>
      <w:kern w:val="2"/>
      <w:sz w:val="21"/>
      <w:szCs w:val="22"/>
      <w:lang w:val="en-US" w:eastAsia="zh-CN" w:bidi="ar-SA"/>
    </w:rPr>
  </w:style>
  <w:style w:type="character" w:customStyle="1" w:styleId="1Char">
    <w:name w:val="标题 1 Char"/>
    <w:link w:val="Heading10"/>
    <w:autoRedefine/>
    <w:uiPriority w:val="9"/>
    <w:semiHidden/>
    <w:qFormat/>
    <w:locked/>
    <w:rPr>
      <w:b/>
      <w:bCs/>
      <w:kern w:val="44"/>
      <w:sz w:val="44"/>
      <w:szCs w:val="44"/>
    </w:rPr>
  </w:style>
  <w:style w:type="paragraph" w:customStyle="1" w:styleId="Heading10">
    <w:name w:val="Heading 1_0"/>
    <w:basedOn w:val="Normal0"/>
    <w:next w:val="Normal0"/>
    <w:link w:val="1Char"/>
    <w:uiPriority w:val="9"/>
    <w:semiHidden/>
    <w:qFormat/>
    <w:pPr>
      <w:keepNext/>
      <w:keepLines/>
      <w:spacing w:line="360" w:lineRule="auto"/>
      <w:outlineLvl w:val="0"/>
    </w:pPr>
    <w:rPr>
      <w:rFonts w:ascii="Times New Roman" w:hAnsi="Times New Roman" w:eastAsiaTheme="minorEastAsia"/>
      <w:b/>
      <w:bCs/>
      <w:kern w:val="44"/>
      <w:sz w:val="44"/>
      <w:szCs w:val="44"/>
      <w:lang w:eastAsia="en-US"/>
    </w:rPr>
  </w:style>
  <w:style w:type="paragraph" w:customStyle="1" w:styleId="Normal1">
    <w:name w:val="Normal_1"/>
    <w:semiHidden/>
    <w:qFormat/>
    <w:pPr>
      <w:widowControl w:val="0"/>
      <w:jc w:val="both"/>
    </w:pPr>
    <w:rPr>
      <w:rFonts w:ascii="Calibri" w:eastAsia="宋体" w:hAnsi="Calibri" w:cs="Times New Roman"/>
      <w:kern w:val="2"/>
      <w:sz w:val="21"/>
      <w:szCs w:val="22"/>
      <w:lang w:val="en-US" w:eastAsia="zh-CN" w:bidi="ar-SA"/>
    </w:rPr>
  </w:style>
  <w:style w:type="paragraph" w:customStyle="1" w:styleId="a10">
    <w:name w:val="空半行"/>
    <w:basedOn w:val="Normal"/>
    <w:autoRedefine/>
    <w:semiHidden/>
    <w:qFormat/>
    <w:pPr>
      <w:widowControl w:val="0"/>
      <w:adjustRightInd w:val="0"/>
      <w:spacing w:line="120" w:lineRule="exact"/>
      <w:jc w:val="both"/>
    </w:pPr>
    <w:rPr>
      <w:rFonts w:eastAsia="仿宋_GB2312"/>
      <w:color w:val="FFFFFF"/>
      <w:sz w:val="30"/>
      <w:szCs w:val="20"/>
      <w:lang w:eastAsia="zh-CN"/>
    </w:rPr>
  </w:style>
  <w:style w:type="paragraph" w:customStyle="1" w:styleId="TOC10">
    <w:name w:val="TOC 标题1"/>
    <w:basedOn w:val="Heading10"/>
    <w:next w:val="Normal0"/>
    <w:uiPriority w:val="39"/>
    <w:semiHidden/>
    <w:qFormat/>
    <w:pPr>
      <w:widowControl/>
      <w:spacing w:before="480" w:line="276" w:lineRule="auto"/>
      <w:jc w:val="left"/>
      <w:outlineLvl w:val="9"/>
    </w:pPr>
    <w:rPr>
      <w:rFonts w:ascii="Cambria" w:hAnsi="Cambria"/>
      <w:color w:val="366091"/>
      <w:kern w:val="0"/>
      <w:sz w:val="28"/>
      <w:szCs w:val="28"/>
    </w:rPr>
  </w:style>
  <w:style w:type="character" w:styleId="PlaceholderText">
    <w:name w:val="Placeholder Text"/>
    <w:basedOn w:val="DefaultParagraphFont"/>
    <w:uiPriority w:val="99"/>
    <w:semiHidden/>
    <w:qFormat/>
    <w:rPr>
      <w:color w:val="808080"/>
    </w:rPr>
  </w:style>
  <w:style w:type="character" w:customStyle="1" w:styleId="textcontents">
    <w:name w:val="textcontents"/>
    <w:qFormat/>
    <w:rPr>
      <w:rFonts w:ascii="Times New Roman" w:hAnsi="Times New Roman" w:cs="Times New Roman" w:hint="default"/>
    </w:rPr>
  </w:style>
  <w:style w:type="character" w:customStyle="1" w:styleId="11">
    <w:name w:val="明显强调1"/>
    <w:qFormat/>
    <w:rPr>
      <w:b/>
      <w:bCs/>
      <w:i/>
      <w:iCs/>
      <w:color w:val="4F81BD"/>
    </w:rPr>
  </w:style>
  <w:style w:type="character" w:customStyle="1" w:styleId="12">
    <w:name w:val="明显引用 字符1"/>
    <w:uiPriority w:val="99"/>
    <w:qFormat/>
    <w:rPr>
      <w:rFonts w:ascii="Calibri" w:eastAsia="宋体" w:hAnsi="Calibri" w:cs="Times New Roman" w:hint="default"/>
      <w:i/>
      <w:iCs/>
      <w:color w:val="4F81BD"/>
      <w:kern w:val="2"/>
      <w:sz w:val="21"/>
      <w:szCs w:val="22"/>
    </w:rPr>
  </w:style>
  <w:style w:type="character" w:customStyle="1" w:styleId="Char1">
    <w:name w:val="文档结构图 Char1"/>
    <w:qFormat/>
    <w:rPr>
      <w:rFonts w:ascii="宋体" w:eastAsia="宋体" w:hAnsi="宋体" w:hint="eastAsia"/>
      <w:kern w:val="2"/>
      <w:sz w:val="18"/>
      <w:szCs w:val="18"/>
    </w:rPr>
  </w:style>
  <w:style w:type="character" w:customStyle="1" w:styleId="13">
    <w:name w:val="引用 字符1"/>
    <w:uiPriority w:val="99"/>
    <w:qFormat/>
    <w:rPr>
      <w:rFonts w:ascii="Calibri" w:eastAsia="宋体" w:hAnsi="Calibri" w:cs="Times New Roman" w:hint="default"/>
      <w:i/>
      <w:iCs/>
      <w:color w:val="3F3F3F"/>
      <w:kern w:val="2"/>
      <w:sz w:val="21"/>
      <w:szCs w:val="22"/>
    </w:rPr>
  </w:style>
  <w:style w:type="character" w:customStyle="1" w:styleId="14">
    <w:name w:val="明显参考1"/>
    <w:qFormat/>
    <w:rPr>
      <w:b/>
      <w:bCs/>
      <w:smallCaps/>
      <w:color w:val="C0504D"/>
      <w:spacing w:val="5"/>
      <w:u w:val="single"/>
    </w:rPr>
  </w:style>
  <w:style w:type="character" w:customStyle="1" w:styleId="CharChar">
    <w:name w:val="批注文字 Char Char"/>
    <w:qFormat/>
    <w:rPr>
      <w:rFonts w:ascii="宋体" w:eastAsia="宋体" w:hAnsi="Times New Roman" w:cs="Times New Roman" w:hint="eastAsia"/>
      <w:sz w:val="28"/>
      <w:szCs w:val="20"/>
    </w:rPr>
  </w:style>
  <w:style w:type="character" w:customStyle="1" w:styleId="Char10">
    <w:name w:val="批注主题 Char1"/>
    <w:qFormat/>
    <w:rPr>
      <w:b/>
      <w:bCs/>
      <w:kern w:val="2"/>
      <w:sz w:val="21"/>
      <w:szCs w:val="22"/>
    </w:rPr>
  </w:style>
  <w:style w:type="character" w:customStyle="1" w:styleId="15">
    <w:name w:val="不明显参考1"/>
    <w:qFormat/>
    <w:rPr>
      <w:smallCaps/>
      <w:color w:val="C0504D"/>
      <w:u w:val="single"/>
    </w:rPr>
  </w:style>
  <w:style w:type="character" w:customStyle="1" w:styleId="16">
    <w:name w:val="副标题 字符1"/>
    <w:uiPriority w:val="11"/>
    <w:qFormat/>
    <w:rPr>
      <w:rFonts w:ascii="Calibri" w:eastAsia="宋体" w:hAnsi="Calibri" w:cs="Times New Roman" w:hint="default"/>
      <w:b/>
      <w:bCs/>
      <w:kern w:val="28"/>
      <w:sz w:val="32"/>
      <w:szCs w:val="32"/>
    </w:rPr>
  </w:style>
  <w:style w:type="character" w:customStyle="1" w:styleId="17">
    <w:name w:val="书籍标题1"/>
    <w:qFormat/>
    <w:rPr>
      <w:b/>
      <w:bCs/>
      <w:smallCaps/>
      <w:spacing w:val="5"/>
    </w:rPr>
  </w:style>
  <w:style w:type="character" w:customStyle="1" w:styleId="a11">
    <w:name w:val="批注框文本 字符"/>
    <w:basedOn w:val="DefaultParagraphFont"/>
    <w:link w:val="BalloonText"/>
    <w:qFormat/>
    <w:rPr>
      <w:rFonts w:asciiTheme="minorHAnsi" w:hAnsiTheme="minorHAnsi" w:cstheme="minorBidi"/>
      <w:kern w:val="2"/>
      <w:sz w:val="18"/>
      <w:szCs w:val="18"/>
      <w:lang w:eastAsia="zh-CN"/>
    </w:rPr>
  </w:style>
  <w:style w:type="character" w:customStyle="1" w:styleId="Char11">
    <w:name w:val="正文文本 Char1"/>
    <w:qFormat/>
    <w:rPr>
      <w:kern w:val="2"/>
      <w:sz w:val="21"/>
      <w:szCs w:val="22"/>
    </w:rPr>
  </w:style>
  <w:style w:type="character" w:customStyle="1" w:styleId="18">
    <w:name w:val="标题 字符1"/>
    <w:uiPriority w:val="10"/>
    <w:qFormat/>
    <w:rPr>
      <w:rFonts w:ascii="Cambria" w:eastAsia="宋体" w:hAnsi="Cambria" w:cs="Times New Roman" w:hint="default"/>
      <w:b/>
      <w:bCs/>
      <w:kern w:val="2"/>
      <w:sz w:val="32"/>
      <w:szCs w:val="32"/>
    </w:rPr>
  </w:style>
  <w:style w:type="character" w:customStyle="1" w:styleId="Char12">
    <w:name w:val="批注框文本 Char1"/>
    <w:qFormat/>
    <w:rPr>
      <w:kern w:val="2"/>
      <w:sz w:val="18"/>
      <w:szCs w:val="18"/>
    </w:rPr>
  </w:style>
  <w:style w:type="character" w:customStyle="1" w:styleId="19">
    <w:name w:val="文档结构图 字符1"/>
    <w:uiPriority w:val="99"/>
    <w:semiHidden/>
    <w:qFormat/>
    <w:rPr>
      <w:rFonts w:ascii="Microsoft YaHei UI" w:eastAsia="Microsoft YaHei UI" w:hAnsi="Calibri" w:cs="Times New Roman" w:hint="eastAsia"/>
      <w:kern w:val="2"/>
      <w:sz w:val="18"/>
      <w:szCs w:val="18"/>
    </w:rPr>
  </w:style>
  <w:style w:type="character" w:customStyle="1" w:styleId="110">
    <w:name w:val="不明显强调1"/>
    <w:qFormat/>
    <w:rPr>
      <w:i/>
      <w:iCs/>
      <w:color w:val="808080"/>
    </w:rPr>
  </w:style>
  <w:style w:type="character" w:customStyle="1" w:styleId="111">
    <w:name w:val="正文文本 字符1"/>
    <w:uiPriority w:val="99"/>
    <w:semiHidden/>
    <w:qFormat/>
    <w:rPr>
      <w:rFonts w:ascii="Calibri" w:eastAsia="宋体" w:hAnsi="Calibri" w:cs="Times New Roman" w:hint="default"/>
      <w:kern w:val="2"/>
      <w:sz w:val="21"/>
      <w:szCs w:val="22"/>
    </w:rPr>
  </w:style>
  <w:style w:type="character" w:customStyle="1" w:styleId="Char13">
    <w:name w:val="日期 Char1"/>
    <w:qFormat/>
    <w:rPr>
      <w:kern w:val="2"/>
      <w:sz w:val="21"/>
      <w:szCs w:val="22"/>
    </w:rPr>
  </w:style>
  <w:style w:type="character" w:customStyle="1" w:styleId="112">
    <w:name w:val="日期 字符1"/>
    <w:uiPriority w:val="99"/>
    <w:semiHidden/>
    <w:qFormat/>
    <w:rPr>
      <w:rFonts w:ascii="Calibri" w:eastAsia="宋体" w:hAnsi="Calibri" w:cs="Times New Roman" w:hint="default"/>
      <w:kern w:val="2"/>
      <w:sz w:val="21"/>
      <w:szCs w:val="22"/>
    </w:rPr>
  </w:style>
  <w:style w:type="character" w:customStyle="1" w:styleId="21">
    <w:name w:val="副标题 字符2"/>
    <w:basedOn w:val="DefaultParagraphFont"/>
    <w:uiPriority w:val="11"/>
    <w:qFormat/>
    <w:rPr>
      <w:b/>
      <w:bCs/>
      <w:kern w:val="28"/>
      <w:sz w:val="32"/>
      <w:szCs w:val="32"/>
    </w:rPr>
  </w:style>
  <w:style w:type="character" w:customStyle="1" w:styleId="113">
    <w:name w:val="批注框文本 字符1"/>
    <w:basedOn w:val="DefaultParagraphFont"/>
    <w:uiPriority w:val="99"/>
    <w:semiHidden/>
    <w:qFormat/>
    <w:rPr>
      <w:rFonts w:ascii="Calibri" w:eastAsia="宋体" w:hAnsi="Calibri" w:cs="Times New Roman" w:hint="default"/>
      <w:sz w:val="18"/>
      <w:szCs w:val="18"/>
    </w:rPr>
  </w:style>
  <w:style w:type="character" w:customStyle="1" w:styleId="114">
    <w:name w:val="批注文字 字符1"/>
    <w:basedOn w:val="DefaultParagraphFont"/>
    <w:link w:val="CommentText"/>
    <w:semiHidden/>
    <w:qFormat/>
    <w:locked/>
    <w:rPr>
      <w:rFonts w:ascii="Calibri" w:eastAsia="宋体" w:hAnsi="Calibri"/>
      <w:kern w:val="2"/>
      <w:sz w:val="21"/>
      <w:szCs w:val="22"/>
      <w:lang w:eastAsia="zh-CN"/>
    </w:rPr>
  </w:style>
  <w:style w:type="character" w:customStyle="1" w:styleId="115">
    <w:name w:val="批注主题 字符1"/>
    <w:basedOn w:val="114"/>
    <w:uiPriority w:val="99"/>
    <w:semiHidden/>
    <w:qFormat/>
    <w:rPr>
      <w:rFonts w:ascii="Calibri" w:eastAsia="宋体" w:hAnsi="Calibri"/>
      <w:b/>
      <w:bCs/>
      <w:kern w:val="2"/>
      <w:sz w:val="21"/>
      <w:szCs w:val="22"/>
      <w:lang w:eastAsia="zh-CN"/>
    </w:rPr>
  </w:style>
  <w:style w:type="character" w:customStyle="1" w:styleId="22">
    <w:name w:val="标题 字符2"/>
    <w:basedOn w:val="DefaultParagraphFont"/>
    <w:uiPriority w:val="10"/>
    <w:qFormat/>
    <w:rPr>
      <w:rFonts w:asciiTheme="majorHAnsi" w:eastAsiaTheme="majorEastAsia" w:hAnsiTheme="majorHAnsi" w:cstheme="majorBidi" w:hint="eastAsia"/>
      <w:b/>
      <w:bCs/>
      <w:sz w:val="32"/>
      <w:szCs w:val="32"/>
    </w:rPr>
  </w:style>
  <w:style w:type="character" w:customStyle="1" w:styleId="23">
    <w:name w:val="日期 字符2"/>
    <w:basedOn w:val="DefaultParagraphFont"/>
    <w:uiPriority w:val="99"/>
    <w:semiHidden/>
    <w:qFormat/>
    <w:rPr>
      <w:rFonts w:ascii="Calibri" w:eastAsia="宋体" w:hAnsi="Calibri" w:cs="Times New Roman" w:hint="default"/>
    </w:rPr>
  </w:style>
  <w:style w:type="character" w:customStyle="1" w:styleId="24">
    <w:name w:val="正文文本 字符2"/>
    <w:basedOn w:val="DefaultParagraphFont"/>
    <w:uiPriority w:val="99"/>
    <w:semiHidden/>
    <w:qFormat/>
    <w:rPr>
      <w:rFonts w:ascii="Calibri" w:eastAsia="宋体" w:hAnsi="Calibri" w:cs="Times New Roman" w:hint="default"/>
    </w:rPr>
  </w:style>
  <w:style w:type="character" w:customStyle="1" w:styleId="25">
    <w:name w:val="文档结构图 字符2"/>
    <w:basedOn w:val="DefaultParagraphFont"/>
    <w:uiPriority w:val="99"/>
    <w:semiHidden/>
    <w:qFormat/>
    <w:rPr>
      <w:rFonts w:ascii="Microsoft YaHei UI" w:eastAsia="Microsoft YaHei UI" w:hAnsi="Calibri" w:cs="Times New Roman" w:hint="eastAsia"/>
      <w:sz w:val="18"/>
      <w:szCs w:val="18"/>
    </w:rPr>
  </w:style>
  <w:style w:type="character" w:customStyle="1" w:styleId="26">
    <w:name w:val="明显引用 字符2"/>
    <w:basedOn w:val="DefaultParagraphFont"/>
    <w:uiPriority w:val="30"/>
    <w:qFormat/>
    <w:rPr>
      <w:rFonts w:ascii="Calibri" w:eastAsia="宋体" w:hAnsi="Calibri" w:cs="Times New Roman" w:hint="default"/>
      <w:i/>
      <w:iCs/>
      <w:color w:val="4F81BD" w:themeColor="accent1"/>
      <w14:textFill>
        <w14:solidFill>
          <w14:schemeClr w14:val="accent1"/>
        </w14:solidFill>
      </w14:textFill>
    </w:rPr>
  </w:style>
  <w:style w:type="character" w:customStyle="1" w:styleId="27">
    <w:name w:val="引用 字符2"/>
    <w:basedOn w:val="DefaultParagraphFont"/>
    <w:uiPriority w:val="29"/>
    <w:qFormat/>
    <w:rPr>
      <w:rFonts w:ascii="Calibri" w:eastAsia="宋体" w:hAnsi="Calibri" w:cs="Times New Roman" w:hint="default"/>
      <w:i/>
      <w:iCs/>
      <w:color w:val="404040" w:themeColor="text1" w:themeTint="BF"/>
      <w14:textFill>
        <w14:solidFill>
          <w14:schemeClr w14:val="tx1">
            <w14:lumMod w14:val="75000"/>
            <w14:lumOff w14:val="25000"/>
          </w14:schemeClr>
        </w14:solidFill>
      </w14:textFill>
    </w:rPr>
  </w:style>
  <w:style w:type="paragraph" w:customStyle="1" w:styleId="TableParagraph">
    <w:name w:val="Table Paragraph"/>
    <w:basedOn w:val="Normal"/>
    <w:qFormat/>
    <w:pPr>
      <w:jc w:val="left"/>
    </w:pPr>
    <w:rPr>
      <w:kern w:val="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wmf" /><Relationship Id="rId11" Type="http://schemas.openxmlformats.org/officeDocument/2006/relationships/oleObject" Target="embeddings/oleObject2.bin" /><Relationship Id="rId12" Type="http://schemas.openxmlformats.org/officeDocument/2006/relationships/image" Target="media/image4.wmf" /><Relationship Id="rId13" Type="http://schemas.openxmlformats.org/officeDocument/2006/relationships/oleObject" Target="embeddings/oleObject3.bin" /><Relationship Id="rId14" Type="http://schemas.openxmlformats.org/officeDocument/2006/relationships/image" Target="media/image5.wmf" /><Relationship Id="rId15" Type="http://schemas.openxmlformats.org/officeDocument/2006/relationships/oleObject" Target="embeddings/oleObject4.bin" /><Relationship Id="rId16" Type="http://schemas.openxmlformats.org/officeDocument/2006/relationships/image" Target="media/image6.wmf" /><Relationship Id="rId17" Type="http://schemas.openxmlformats.org/officeDocument/2006/relationships/oleObject" Target="embeddings/oleObject5.bin" /><Relationship Id="rId18" Type="http://schemas.openxmlformats.org/officeDocument/2006/relationships/oleObject" Target="embeddings/oleObject6.bin" /><Relationship Id="rId19" Type="http://schemas.openxmlformats.org/officeDocument/2006/relationships/oleObject" Target="embeddings/oleObject7.bin" /><Relationship Id="rId2" Type="http://schemas.openxmlformats.org/officeDocument/2006/relationships/webSettings" Target="webSettings.xml" /><Relationship Id="rId20" Type="http://schemas.openxmlformats.org/officeDocument/2006/relationships/oleObject" Target="embeddings/oleObject8.bin" /><Relationship Id="rId21" Type="http://schemas.openxmlformats.org/officeDocument/2006/relationships/oleObject" Target="embeddings/oleObject9.bin" /><Relationship Id="rId22" Type="http://schemas.openxmlformats.org/officeDocument/2006/relationships/oleObject" Target="embeddings/oleObject10.bin"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file:///C:\Program%20Files%20(x86)\&#31569;&#40857;&#36719;&#20214;\&#36930;&#23425;&#27169;&#26495;&#25991;&#20214;&#32534;&#21046;&#24037;&#20855;\Temp\bd7fdacb-4b50-4209-bef7-1527a5f30c22\Template.docx" TargetMode="External" /><Relationship Id="rId7" Type="http://schemas.openxmlformats.org/officeDocument/2006/relationships/hyperlink" Target="http://www.snsggzy.com/" TargetMode="External" /><Relationship Id="rId8" Type="http://schemas.openxmlformats.org/officeDocument/2006/relationships/image" Target="media/image2.wmf" /><Relationship Id="rId9"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Template</Template>
  <TotalTime>65</TotalTime>
  <Pages>372</Pages>
  <Words>174641</Words>
  <Characters>184199</Characters>
  <Application>Microsoft Office Word</Application>
  <DocSecurity>0</DocSecurity>
  <Lines>1477</Lines>
  <Paragraphs>415</Paragraphs>
  <ScaleCrop>false</ScaleCrop>
  <Company/>
  <LinksUpToDate>false</LinksUpToDate>
  <CharactersWithSpaces>204288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LOEE.DESKTOP-B6TDTUA</dc:creator>
  <cp:lastModifiedBy>代理部-B</cp:lastModifiedBy>
  <cp:revision>13</cp:revision>
  <cp:lastPrinted>2026-06-29T07:14:22Z</cp:lastPrinted>
  <dcterms:created xsi:type="dcterms:W3CDTF">2021-07-29T06:31:00Z</dcterms:created>
  <dcterms:modified xsi:type="dcterms:W3CDTF">2026-06-29T03:41:21Z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90908C26EF354184A03F23D7C6903524</vt:lpwstr>
  </property>
  <property fmtid="{D5CDD505-2E9C-101B-9397-08002B2CF9AE}" pid="3" name="KSOProductBuildVer">
    <vt:lpwstr>2052-12.1.0.26895</vt:lpwstr>
  </property>
  <property fmtid="{D5CDD505-2E9C-101B-9397-08002B2CF9AE}" pid="4" name="KSOTemplateDocerSaveRecord">
    <vt:lpwstr>eyJoZGlkIjoiNzVhMjIxMmU1OGUwM2JkOWQwMjZkNDRjZmEzMmQ2MGMiLCJ1c2VySWQiOiIzMDcwNjE5MTYifQ==</vt:lpwstr>
  </property>
</Properties>
</file>