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0F91506">
      <w:pPr>
        <w:keepNext w:val="0"/>
        <w:keepLines w:val="0"/>
        <w:pageBreakBefore w:val="0"/>
        <w:kinsoku/>
        <w:overflowPunct/>
        <w:topLinePunct w:val="0"/>
        <w:autoSpaceDE/>
        <w:autoSpaceDN/>
        <w:bidi w:val="0"/>
        <w:snapToGrid/>
        <w:ind w:firstLine="643" w:firstLineChars="200"/>
        <w:jc w:val="center"/>
        <w:rPr>
          <w:rFonts w:hint="default" w:ascii="Calibri" w:hAnsi="Calibri" w:eastAsia="宋体" w:cs="Times New Roman"/>
          <w:b/>
          <w:bCs/>
          <w:sz w:val="32"/>
          <w:szCs w:val="32"/>
          <w:highlight w:val="none"/>
          <w:lang w:eastAsia="zh-CN"/>
        </w:rPr>
      </w:pPr>
      <w:r>
        <w:rPr>
          <w:rFonts w:hint="default" w:ascii="Calibri" w:hAnsi="Calibri" w:eastAsia="宋体" w:cs="Times New Roman"/>
          <w:b/>
          <w:bCs/>
          <w:sz w:val="32"/>
          <w:szCs w:val="32"/>
          <w:highlight w:val="none"/>
          <w:lang w:eastAsia="zh-CN"/>
        </w:rPr>
        <w:t>遂安快捷通道(安居段)建设工程—道路工程建设项目</w:t>
      </w:r>
    </w:p>
    <w:p w14:paraId="465758F8">
      <w:pPr>
        <w:keepNext w:val="0"/>
        <w:keepLines w:val="0"/>
        <w:pageBreakBefore w:val="0"/>
        <w:kinsoku/>
        <w:overflowPunct/>
        <w:topLinePunct w:val="0"/>
        <w:autoSpaceDE/>
        <w:autoSpaceDN/>
        <w:bidi w:val="0"/>
        <w:snapToGrid/>
        <w:ind w:firstLine="643" w:firstLineChars="200"/>
        <w:jc w:val="center"/>
        <w:rPr>
          <w:rFonts w:hint="eastAsia"/>
          <w:b/>
          <w:bCs/>
          <w:sz w:val="32"/>
          <w:szCs w:val="32"/>
          <w:highlight w:val="none"/>
        </w:rPr>
      </w:pPr>
      <w:r>
        <w:rPr>
          <w:rFonts w:hint="eastAsia"/>
          <w:b/>
          <w:bCs/>
          <w:sz w:val="32"/>
          <w:szCs w:val="32"/>
          <w:highlight w:val="none"/>
          <w:lang w:eastAsia="zh-CN"/>
        </w:rPr>
        <w:t>水土保持监理</w:t>
      </w:r>
      <w:r>
        <w:rPr>
          <w:rFonts w:hint="eastAsia"/>
          <w:b/>
          <w:bCs/>
          <w:sz w:val="32"/>
          <w:szCs w:val="32"/>
          <w:highlight w:val="none"/>
        </w:rPr>
        <w:t>报价邀请函</w:t>
      </w:r>
    </w:p>
    <w:p w14:paraId="27A44EA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sz w:val="28"/>
          <w:szCs w:val="28"/>
          <w:highlight w:val="none"/>
        </w:rPr>
      </w:pPr>
      <w:r>
        <w:rPr>
          <w:rFonts w:hint="eastAsia"/>
          <w:sz w:val="28"/>
          <w:szCs w:val="28"/>
          <w:highlight w:val="none"/>
        </w:rPr>
        <w:t>各水土保持监理单位：</w:t>
      </w:r>
    </w:p>
    <w:p w14:paraId="6B254EA9">
      <w:pPr>
        <w:keepNext w:val="0"/>
        <w:keepLines w:val="0"/>
        <w:pageBreakBefore w:val="0"/>
        <w:kinsoku/>
        <w:overflowPunct/>
        <w:topLinePunct w:val="0"/>
        <w:autoSpaceDE/>
        <w:autoSpaceDN/>
        <w:bidi w:val="0"/>
        <w:snapToGrid/>
        <w:ind w:firstLine="560" w:firstLineChars="200"/>
        <w:rPr>
          <w:rFonts w:hint="eastAsia"/>
          <w:sz w:val="28"/>
          <w:szCs w:val="28"/>
          <w:highlight w:val="none"/>
        </w:rPr>
      </w:pPr>
      <w:r>
        <w:rPr>
          <w:rFonts w:hint="eastAsia"/>
          <w:sz w:val="28"/>
          <w:szCs w:val="28"/>
          <w:highlight w:val="none"/>
        </w:rPr>
        <w:t>我公司即将</w:t>
      </w:r>
      <w:r>
        <w:rPr>
          <w:rFonts w:hint="eastAsia"/>
          <w:sz w:val="28"/>
          <w:szCs w:val="28"/>
          <w:highlight w:val="none"/>
          <w:lang w:eastAsia="zh-CN"/>
        </w:rPr>
        <w:t>启动</w:t>
      </w:r>
      <w:r>
        <w:rPr>
          <w:rFonts w:hint="default" w:ascii="Calibri" w:hAnsi="Calibri" w:eastAsia="宋体" w:cs="Times New Roman"/>
          <w:b/>
          <w:bCs/>
          <w:sz w:val="28"/>
          <w:szCs w:val="28"/>
          <w:highlight w:val="none"/>
          <w:lang w:eastAsia="zh-CN"/>
        </w:rPr>
        <w:t>遂安快捷通道(安居段)建设工程—道路工程建设项目</w:t>
      </w:r>
      <w:r>
        <w:rPr>
          <w:rFonts w:hint="eastAsia"/>
          <w:sz w:val="28"/>
          <w:szCs w:val="28"/>
          <w:highlight w:val="none"/>
          <w:lang w:eastAsia="zh-CN"/>
        </w:rPr>
        <w:t>水土保持监理</w:t>
      </w:r>
      <w:r>
        <w:rPr>
          <w:rFonts w:hint="eastAsia"/>
          <w:sz w:val="28"/>
          <w:szCs w:val="28"/>
          <w:highlight w:val="none"/>
        </w:rPr>
        <w:t>工作，现诚邀各单位进行报价，工程概况、具体要求及报价表格式如下：</w:t>
      </w:r>
    </w:p>
    <w:p w14:paraId="2062A03F">
      <w:pPr>
        <w:keepNext w:val="0"/>
        <w:keepLines w:val="0"/>
        <w:pageBreakBefore w:val="0"/>
        <w:numPr>
          <w:ilvl w:val="0"/>
          <w:numId w:val="1"/>
        </w:numPr>
        <w:kinsoku/>
        <w:overflowPunct/>
        <w:topLinePunct w:val="0"/>
        <w:autoSpaceDE/>
        <w:autoSpaceDN/>
        <w:bidi w:val="0"/>
        <w:snapToGrid/>
        <w:ind w:firstLine="560" w:firstLineChars="200"/>
        <w:rPr>
          <w:rFonts w:ascii="宋体" w:hAnsi="宋体" w:eastAsia="宋体" w:cs="宋体"/>
          <w:sz w:val="24"/>
          <w:szCs w:val="24"/>
          <w:highlight w:val="none"/>
        </w:rPr>
      </w:pPr>
      <w:r>
        <w:rPr>
          <w:rFonts w:hint="eastAsia"/>
          <w:sz w:val="28"/>
          <w:szCs w:val="28"/>
          <w:highlight w:val="none"/>
        </w:rPr>
        <w:t>工程概况</w:t>
      </w:r>
    </w:p>
    <w:p w14:paraId="6309B8C8">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sz w:val="28"/>
          <w:szCs w:val="28"/>
          <w:highlight w:val="none"/>
          <w:lang w:val="en-US" w:eastAsia="zh-CN"/>
        </w:rPr>
      </w:pPr>
      <w:r>
        <w:rPr>
          <w:rFonts w:hint="eastAsia"/>
          <w:sz w:val="28"/>
          <w:szCs w:val="28"/>
          <w:highlight w:val="none"/>
          <w:lang w:val="en-US" w:eastAsia="zh-CN"/>
        </w:rPr>
        <w:t>项目为一级公路，长 9.05 公里，路基宽 33.5 米，大桥 1 座中桥 4 座，涵洞 41 道，互通式立体交叉 3 处及附属配套工程，其中挖土石方约307万方左右，土石方回填约186万方左右。</w:t>
      </w:r>
    </w:p>
    <w:p w14:paraId="71EBA021">
      <w:pPr>
        <w:keepNext w:val="0"/>
        <w:keepLines w:val="0"/>
        <w:pageBreakBefore w:val="0"/>
        <w:numPr>
          <w:ilvl w:val="0"/>
          <w:numId w:val="1"/>
        </w:numPr>
        <w:kinsoku/>
        <w:overflowPunct/>
        <w:topLinePunct w:val="0"/>
        <w:autoSpaceDE/>
        <w:autoSpaceDN/>
        <w:bidi w:val="0"/>
        <w:snapToGrid/>
        <w:ind w:left="0" w:leftChars="0" w:firstLine="560" w:firstLineChars="200"/>
        <w:rPr>
          <w:rFonts w:hint="eastAsia"/>
          <w:sz w:val="28"/>
          <w:szCs w:val="28"/>
          <w:highlight w:val="none"/>
        </w:rPr>
      </w:pPr>
      <w:r>
        <w:rPr>
          <w:rFonts w:hint="eastAsia"/>
          <w:sz w:val="28"/>
          <w:szCs w:val="28"/>
          <w:highlight w:val="none"/>
        </w:rPr>
        <w:t>资质要求</w:t>
      </w:r>
    </w:p>
    <w:p w14:paraId="731EB8C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rPr>
          <w:rFonts w:hint="eastAsia"/>
          <w:sz w:val="28"/>
          <w:szCs w:val="28"/>
          <w:highlight w:val="none"/>
          <w:lang w:val="en-US" w:eastAsia="zh-CN"/>
        </w:rPr>
      </w:pPr>
      <w:r>
        <w:rPr>
          <w:rFonts w:hint="eastAsia"/>
          <w:sz w:val="28"/>
          <w:szCs w:val="28"/>
          <w:highlight w:val="none"/>
          <w:lang w:val="en-US" w:eastAsia="zh-CN"/>
        </w:rPr>
        <w:t>具备水利部颁发的水土保持工程施工监理乙级或以上资质。</w:t>
      </w:r>
    </w:p>
    <w:p w14:paraId="7E03CA37">
      <w:pPr>
        <w:keepNext w:val="0"/>
        <w:keepLines w:val="0"/>
        <w:pageBreakBefore w:val="0"/>
        <w:kinsoku/>
        <w:overflowPunct/>
        <w:topLinePunct w:val="0"/>
        <w:autoSpaceDE/>
        <w:autoSpaceDN/>
        <w:bidi w:val="0"/>
        <w:snapToGrid/>
        <w:ind w:firstLine="560" w:firstLineChars="200"/>
        <w:rPr>
          <w:rFonts w:hint="eastAsia" w:eastAsia="宋体"/>
          <w:sz w:val="28"/>
          <w:szCs w:val="28"/>
          <w:highlight w:val="none"/>
          <w:lang w:val="en-US" w:eastAsia="zh-CN"/>
        </w:rPr>
      </w:pPr>
      <w:r>
        <w:rPr>
          <w:rFonts w:hint="eastAsia"/>
          <w:sz w:val="28"/>
          <w:szCs w:val="28"/>
          <w:highlight w:val="none"/>
        </w:rPr>
        <w:t>三、报价要求及其他</w:t>
      </w:r>
      <w:r>
        <w:rPr>
          <w:rFonts w:hint="eastAsia"/>
          <w:sz w:val="28"/>
          <w:szCs w:val="28"/>
          <w:highlight w:val="none"/>
          <w:lang w:val="en-US" w:eastAsia="zh-CN"/>
        </w:rPr>
        <w:t>要求</w:t>
      </w:r>
    </w:p>
    <w:p w14:paraId="5EFC961D">
      <w:pPr>
        <w:keepNext w:val="0"/>
        <w:keepLines w:val="0"/>
        <w:pageBreakBefore w:val="0"/>
        <w:widowControl/>
        <w:numPr>
          <w:ilvl w:val="0"/>
          <w:numId w:val="2"/>
        </w:numPr>
        <w:suppressLineNumbers w:val="0"/>
        <w:kinsoku/>
        <w:wordWrap/>
        <w:overflowPunct/>
        <w:topLinePunct w:val="0"/>
        <w:bidi w:val="0"/>
        <w:snapToGrid/>
        <w:spacing w:line="360" w:lineRule="auto"/>
        <w:ind w:left="0" w:leftChars="0" w:firstLine="560" w:firstLineChars="200"/>
        <w:jc w:val="left"/>
        <w:textAlignment w:val="auto"/>
        <w:rPr>
          <w:rFonts w:hint="eastAsia"/>
          <w:sz w:val="28"/>
          <w:szCs w:val="28"/>
          <w:highlight w:val="none"/>
        </w:rPr>
      </w:pPr>
      <w:r>
        <w:rPr>
          <w:rFonts w:hint="eastAsia"/>
          <w:sz w:val="28"/>
          <w:szCs w:val="28"/>
          <w:highlight w:val="none"/>
          <w:lang w:val="en-US" w:eastAsia="zh-CN"/>
        </w:rPr>
        <w:t>本次招标范围包含但不限于现场水土保持监理工作、水保措施质量管控、建立水土保持风险隐患排查制度对施工方案中水土保持相关内容提出意见或建议；参与配合各类检查工作，协助招标人对外协调</w:t>
      </w:r>
      <w:bookmarkStart w:id="0" w:name="_GoBack"/>
      <w:bookmarkEnd w:id="0"/>
      <w:r>
        <w:rPr>
          <w:rFonts w:hint="eastAsia"/>
          <w:sz w:val="28"/>
          <w:szCs w:val="28"/>
          <w:highlight w:val="none"/>
          <w:lang w:val="en-US" w:eastAsia="zh-CN"/>
        </w:rPr>
        <w:t>水土保持相关工作，配合水土保持设施验收工作；定期向招标人提供监理报告，及协助招标人向相关行政主管部门报送相关报告、监理档案资料；</w:t>
      </w:r>
      <w:r>
        <w:rPr>
          <w:rFonts w:hint="eastAsia"/>
          <w:sz w:val="28"/>
          <w:szCs w:val="28"/>
          <w:highlight w:val="none"/>
        </w:rPr>
        <w:t>中选单位需对</w:t>
      </w:r>
      <w:r>
        <w:rPr>
          <w:rFonts w:hint="eastAsia"/>
          <w:sz w:val="28"/>
          <w:szCs w:val="28"/>
          <w:highlight w:val="none"/>
          <w:lang w:val="en-US" w:eastAsia="zh-CN"/>
        </w:rPr>
        <w:t>本</w:t>
      </w:r>
      <w:r>
        <w:rPr>
          <w:rFonts w:hint="eastAsia"/>
          <w:sz w:val="28"/>
          <w:szCs w:val="28"/>
          <w:highlight w:val="none"/>
        </w:rPr>
        <w:t>工程</w:t>
      </w:r>
      <w:r>
        <w:rPr>
          <w:rFonts w:hint="eastAsia"/>
          <w:sz w:val="28"/>
          <w:szCs w:val="28"/>
          <w:highlight w:val="none"/>
          <w:lang w:eastAsia="zh-CN"/>
        </w:rPr>
        <w:t>水土保持</w:t>
      </w:r>
      <w:r>
        <w:rPr>
          <w:rFonts w:hint="eastAsia"/>
          <w:sz w:val="28"/>
          <w:szCs w:val="28"/>
          <w:highlight w:val="none"/>
          <w:lang w:val="en-US" w:eastAsia="zh-CN"/>
        </w:rPr>
        <w:t>监理</w:t>
      </w:r>
      <w:r>
        <w:rPr>
          <w:rFonts w:hint="eastAsia"/>
          <w:sz w:val="28"/>
          <w:szCs w:val="28"/>
          <w:highlight w:val="none"/>
        </w:rPr>
        <w:t>工作进行全过程跟进负责</w:t>
      </w:r>
      <w:r>
        <w:rPr>
          <w:rFonts w:hint="eastAsia"/>
          <w:sz w:val="28"/>
          <w:szCs w:val="28"/>
          <w:highlight w:val="none"/>
          <w:lang w:val="en-US" w:eastAsia="zh-CN"/>
        </w:rPr>
        <w:t>等工作</w:t>
      </w:r>
      <w:r>
        <w:rPr>
          <w:rFonts w:hint="eastAsia"/>
          <w:sz w:val="28"/>
          <w:szCs w:val="28"/>
          <w:highlight w:val="none"/>
        </w:rPr>
        <w:t>。</w:t>
      </w:r>
    </w:p>
    <w:p w14:paraId="1D5D4A42">
      <w:pPr>
        <w:keepNext w:val="0"/>
        <w:keepLines w:val="0"/>
        <w:pageBreakBefore w:val="0"/>
        <w:widowControl w:val="0"/>
        <w:numPr>
          <w:ilvl w:val="0"/>
          <w:numId w:val="2"/>
        </w:numPr>
        <w:kinsoku/>
        <w:wordWrap/>
        <w:overflowPunct/>
        <w:topLinePunct w:val="0"/>
        <w:autoSpaceDE/>
        <w:autoSpaceDN/>
        <w:bidi w:val="0"/>
        <w:adjustRightInd w:val="0"/>
        <w:snapToGrid/>
        <w:spacing w:line="360" w:lineRule="auto"/>
        <w:ind w:left="0" w:leftChars="0" w:firstLine="425" w:firstLineChars="0"/>
        <w:jc w:val="left"/>
        <w:textAlignment w:val="auto"/>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lang w:val="en-US" w:eastAsia="zh-CN"/>
        </w:rPr>
        <w:t>控制价</w:t>
      </w:r>
      <w:r>
        <w:rPr>
          <w:rFonts w:hint="eastAsia" w:ascii="宋体" w:hAnsi="宋体" w:cs="宋体"/>
          <w:sz w:val="28"/>
          <w:szCs w:val="28"/>
          <w:highlight w:val="none"/>
          <w:u w:val="single"/>
          <w:lang w:val="en-US" w:eastAsia="zh-CN"/>
        </w:rPr>
        <w:t xml:space="preserve"> 200000</w:t>
      </w:r>
      <w:r>
        <w:rPr>
          <w:rFonts w:hint="eastAsia" w:ascii="宋体" w:hAnsi="宋体" w:eastAsia="宋体" w:cs="宋体"/>
          <w:sz w:val="28"/>
          <w:szCs w:val="28"/>
          <w:highlight w:val="none"/>
          <w:u w:val="single"/>
          <w:lang w:val="en-US" w:eastAsia="zh-CN"/>
        </w:rPr>
        <w:t>元</w:t>
      </w:r>
      <w:r>
        <w:rPr>
          <w:rFonts w:hint="eastAsia" w:ascii="宋体" w:hAnsi="宋体" w:cs="宋体"/>
          <w:sz w:val="28"/>
          <w:szCs w:val="28"/>
          <w:highlight w:val="none"/>
          <w:lang w:val="en-US" w:eastAsia="zh-CN"/>
        </w:rPr>
        <w:t>，</w:t>
      </w:r>
      <w:r>
        <w:rPr>
          <w:rFonts w:hint="eastAsia"/>
          <w:sz w:val="28"/>
          <w:szCs w:val="28"/>
          <w:highlight w:val="none"/>
        </w:rPr>
        <w:t>报价需包含工程</w:t>
      </w:r>
      <w:r>
        <w:rPr>
          <w:rFonts w:hint="eastAsia"/>
          <w:sz w:val="28"/>
          <w:szCs w:val="28"/>
          <w:highlight w:val="none"/>
          <w:lang w:eastAsia="zh-CN"/>
        </w:rPr>
        <w:t>水土保持</w:t>
      </w:r>
      <w:r>
        <w:rPr>
          <w:rFonts w:hint="eastAsia"/>
          <w:sz w:val="28"/>
          <w:szCs w:val="28"/>
          <w:highlight w:val="none"/>
          <w:lang w:val="en-US" w:eastAsia="zh-CN"/>
        </w:rPr>
        <w:t>监理各种</w:t>
      </w:r>
      <w:r>
        <w:rPr>
          <w:rFonts w:hint="eastAsia"/>
          <w:sz w:val="28"/>
          <w:szCs w:val="28"/>
          <w:highlight w:val="none"/>
          <w:lang w:eastAsia="zh-CN"/>
        </w:rPr>
        <w:t>费</w:t>
      </w:r>
      <w:r>
        <w:rPr>
          <w:rFonts w:hint="eastAsia"/>
          <w:sz w:val="28"/>
          <w:szCs w:val="28"/>
          <w:highlight w:val="none"/>
          <w:lang w:val="en-US" w:eastAsia="zh-CN"/>
        </w:rPr>
        <w:t>用及增值税税金。本次报价</w:t>
      </w:r>
      <w:r>
        <w:rPr>
          <w:rFonts w:hint="eastAsia" w:ascii="宋体" w:hAnsi="宋体" w:eastAsia="宋体" w:cs="宋体"/>
          <w:sz w:val="28"/>
          <w:szCs w:val="28"/>
          <w:highlight w:val="none"/>
          <w:lang w:val="en-US" w:eastAsia="zh-CN"/>
        </w:rPr>
        <w:t>以总价报下浮比例</w:t>
      </w:r>
      <w:r>
        <w:rPr>
          <w:rFonts w:hint="eastAsia" w:ascii="宋体" w:hAnsi="宋体" w:cs="宋体"/>
          <w:sz w:val="28"/>
          <w:szCs w:val="28"/>
          <w:highlight w:val="none"/>
          <w:lang w:val="en-US" w:eastAsia="zh-CN"/>
        </w:rPr>
        <w:t>（包含税率6%），</w:t>
      </w:r>
      <w:r>
        <w:rPr>
          <w:rFonts w:hint="eastAsia" w:ascii="宋体" w:hAnsi="宋体" w:eastAsia="宋体" w:cs="宋体"/>
          <w:sz w:val="28"/>
          <w:szCs w:val="28"/>
          <w:highlight w:val="none"/>
          <w:lang w:eastAsia="zh-CN"/>
        </w:rPr>
        <w:t>报价超过控制价视为无效报价</w:t>
      </w:r>
      <w:r>
        <w:rPr>
          <w:rFonts w:hint="eastAsia" w:ascii="宋体" w:hAnsi="宋体" w:cs="宋体"/>
          <w:sz w:val="28"/>
          <w:szCs w:val="28"/>
          <w:highlight w:val="none"/>
          <w:lang w:eastAsia="zh-CN"/>
        </w:rPr>
        <w:t>，</w:t>
      </w:r>
      <w:r>
        <w:rPr>
          <w:rFonts w:hint="eastAsia" w:ascii="宋体" w:hAnsi="宋体" w:cs="宋体"/>
          <w:sz w:val="28"/>
          <w:szCs w:val="28"/>
          <w:highlight w:val="none"/>
          <w:lang w:val="en-US" w:eastAsia="zh-CN"/>
        </w:rPr>
        <w:t>下浮比例最高的单位中选</w:t>
      </w:r>
      <w:r>
        <w:rPr>
          <w:rFonts w:hint="eastAsia" w:ascii="宋体" w:hAnsi="宋体" w:eastAsia="宋体" w:cs="宋体"/>
          <w:sz w:val="28"/>
          <w:szCs w:val="28"/>
          <w:highlight w:val="none"/>
          <w:lang w:val="en-US" w:eastAsia="zh-CN"/>
        </w:rPr>
        <w:t>。</w:t>
      </w:r>
      <w:r>
        <w:rPr>
          <w:rFonts w:hint="eastAsia" w:ascii="宋体" w:hAnsi="宋体" w:eastAsia="宋体" w:cs="宋体"/>
          <w:sz w:val="28"/>
          <w:szCs w:val="28"/>
          <w:highlight w:val="none"/>
          <w:lang w:eastAsia="zh-CN"/>
        </w:rPr>
        <w:t>若开选时，参选单位不足三家或资格审查通过不足三家，则视为本次比选无效。</w:t>
      </w:r>
    </w:p>
    <w:p w14:paraId="257422EF">
      <w:pPr>
        <w:keepNext w:val="0"/>
        <w:keepLines w:val="0"/>
        <w:pageBreakBefore w:val="0"/>
        <w:numPr>
          <w:ilvl w:val="0"/>
          <w:numId w:val="2"/>
        </w:numPr>
        <w:kinsoku/>
        <w:wordWrap/>
        <w:overflowPunct/>
        <w:topLinePunct w:val="0"/>
        <w:autoSpaceDE/>
        <w:autoSpaceDN/>
        <w:bidi w:val="0"/>
        <w:snapToGrid/>
        <w:spacing w:line="360" w:lineRule="auto"/>
        <w:ind w:left="0" w:leftChars="0" w:firstLine="560" w:firstLineChars="200"/>
        <w:jc w:val="left"/>
        <w:textAlignment w:val="auto"/>
        <w:rPr>
          <w:rFonts w:hint="eastAsia" w:ascii="Calibri" w:hAnsi="Calibri" w:eastAsia="宋体" w:cs="Times New Roman"/>
          <w:sz w:val="28"/>
          <w:szCs w:val="28"/>
          <w:highlight w:val="none"/>
          <w:lang w:val="en-US" w:eastAsia="zh-CN"/>
        </w:rPr>
      </w:pPr>
      <w:r>
        <w:rPr>
          <w:rFonts w:hint="eastAsia" w:ascii="Calibri" w:hAnsi="Calibri" w:eastAsia="宋体" w:cs="Times New Roman"/>
          <w:sz w:val="28"/>
          <w:szCs w:val="28"/>
          <w:highlight w:val="none"/>
          <w:lang w:val="en-US" w:eastAsia="zh-CN"/>
        </w:rPr>
        <w:t>中选单位确定方式：</w:t>
      </w:r>
    </w:p>
    <w:p w14:paraId="6127539F">
      <w:pPr>
        <w:keepNext w:val="0"/>
        <w:keepLines w:val="0"/>
        <w:pageBreakBefore w:val="0"/>
        <w:numPr>
          <w:ilvl w:val="0"/>
          <w:numId w:val="0"/>
        </w:numPr>
        <w:tabs>
          <w:tab w:val="left" w:pos="5040"/>
        </w:tabs>
        <w:kinsoku/>
        <w:wordWrap/>
        <w:overflowPunct/>
        <w:topLinePunct w:val="0"/>
        <w:autoSpaceDE w:val="0"/>
        <w:autoSpaceDN w:val="0"/>
        <w:bidi w:val="0"/>
        <w:adjustRightInd w:val="0"/>
        <w:snapToGrid/>
        <w:spacing w:line="360" w:lineRule="auto"/>
        <w:ind w:leftChars="0" w:firstLine="560" w:firstLineChars="200"/>
        <w:jc w:val="left"/>
        <w:textAlignment w:val="auto"/>
        <w:rPr>
          <w:rFonts w:hint="eastAsia" w:ascii="Calibri" w:hAnsi="Calibri" w:eastAsia="宋体" w:cs="Times New Roman"/>
          <w:sz w:val="28"/>
          <w:szCs w:val="28"/>
          <w:highlight w:val="none"/>
          <w:lang w:val="en-US" w:eastAsia="zh-CN"/>
        </w:rPr>
      </w:pPr>
      <w:r>
        <w:rPr>
          <w:rFonts w:hint="eastAsia" w:ascii="宋体" w:hAnsi="宋体" w:cs="宋体"/>
          <w:sz w:val="28"/>
          <w:szCs w:val="28"/>
          <w:highlight w:val="none"/>
          <w:lang w:val="en-US" w:eastAsia="zh-CN"/>
        </w:rPr>
        <w:t>报价最低</w:t>
      </w:r>
      <w:r>
        <w:rPr>
          <w:rFonts w:hint="default" w:ascii="宋体" w:hAnsi="宋体" w:cs="宋体"/>
          <w:sz w:val="28"/>
          <w:szCs w:val="28"/>
          <w:highlight w:val="none"/>
          <w:lang w:val="en-US" w:eastAsia="zh-CN"/>
        </w:rPr>
        <w:t>的单位</w:t>
      </w:r>
      <w:r>
        <w:rPr>
          <w:rFonts w:hint="eastAsia" w:ascii="宋体" w:hAnsi="宋体" w:cs="宋体"/>
          <w:sz w:val="28"/>
          <w:szCs w:val="28"/>
          <w:highlight w:val="none"/>
          <w:lang w:val="en-US" w:eastAsia="zh-CN"/>
        </w:rPr>
        <w:t>中选</w:t>
      </w:r>
      <w:r>
        <w:rPr>
          <w:rFonts w:hint="default" w:ascii="宋体" w:hAnsi="宋体" w:cs="宋体"/>
          <w:sz w:val="28"/>
          <w:szCs w:val="28"/>
          <w:highlight w:val="none"/>
          <w:lang w:val="en-US" w:eastAsia="zh-CN"/>
        </w:rPr>
        <w:t>，</w:t>
      </w:r>
      <w:r>
        <w:rPr>
          <w:rFonts w:hint="eastAsia" w:ascii="宋体" w:hAnsi="宋体" w:cs="宋体"/>
          <w:sz w:val="28"/>
          <w:szCs w:val="28"/>
          <w:highlight w:val="none"/>
          <w:lang w:val="en-US" w:eastAsia="zh-CN"/>
        </w:rPr>
        <w:t>超过控制价视为无效报价。（若出现两家及以上单位报价相同则采取抽乒乓球方式确定中选单位，抽取方式：在密闭箱内放入与参与抽取的比选申请人相同数量的乒乓球，且乒乓球在密闭箱中抓取号球，由抽到号球1的单位中选。）</w:t>
      </w:r>
    </w:p>
    <w:p w14:paraId="1D7F3A22">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5" w:firstLineChars="0"/>
        <w:jc w:val="left"/>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支付方式：</w:t>
      </w:r>
    </w:p>
    <w:p w14:paraId="41C1428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280" w:firstLineChars="100"/>
        <w:jc w:val="left"/>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4.1合同签订后预付10%，施工进度过半付至60%，水土保持专项验收通过后结清余款。</w:t>
      </w:r>
    </w:p>
    <w:p w14:paraId="11315EB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280" w:firstLineChars="100"/>
        <w:jc w:val="left"/>
        <w:textAlignment w:val="auto"/>
        <w:rPr>
          <w:rFonts w:hint="default"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4.2甲方每次转款前，乙方需完善相关资料并交付相应合法有效完整的税务发票并作为甲方付款的附件，否则甲方有权暂缓款项支付并不视为甲方违约。（税率</w:t>
      </w:r>
      <w:r>
        <w:rPr>
          <w:rFonts w:hint="eastAsia" w:ascii="宋体" w:hAnsi="宋体" w:cs="宋体"/>
          <w:sz w:val="28"/>
          <w:szCs w:val="28"/>
          <w:highlight w:val="none"/>
          <w:lang w:val="en-US" w:eastAsia="zh-CN"/>
        </w:rPr>
        <w:t>6</w:t>
      </w:r>
      <w:r>
        <w:rPr>
          <w:rFonts w:hint="eastAsia" w:ascii="宋体" w:hAnsi="宋体" w:eastAsia="宋体" w:cs="宋体"/>
          <w:sz w:val="28"/>
          <w:szCs w:val="28"/>
          <w:highlight w:val="none"/>
          <w:lang w:val="en-US" w:eastAsia="zh-CN"/>
        </w:rPr>
        <w:t>%的增值税专用发票）</w:t>
      </w:r>
    </w:p>
    <w:p w14:paraId="6A45C07D">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5" w:firstLineChars="0"/>
        <w:jc w:val="left"/>
        <w:textAlignment w:val="auto"/>
        <w:rPr>
          <w:rFonts w:hint="eastAsia" w:ascii="仿宋" w:hAnsi="仿宋" w:eastAsia="仿宋" w:cs="仿宋"/>
          <w:sz w:val="28"/>
          <w:szCs w:val="28"/>
          <w:highlight w:val="none"/>
          <w:lang w:val="en-US" w:eastAsia="zh-CN"/>
        </w:rPr>
      </w:pPr>
      <w:r>
        <w:rPr>
          <w:rFonts w:hint="eastAsia" w:ascii="宋体" w:hAnsi="宋体" w:eastAsia="宋体" w:cs="宋体"/>
          <w:sz w:val="28"/>
          <w:szCs w:val="28"/>
          <w:highlight w:val="none"/>
          <w:lang w:val="en-US" w:eastAsia="zh-CN"/>
        </w:rPr>
        <w:t>请愿意参加本次报价的单位于2026年8月</w:t>
      </w:r>
      <w:r>
        <w:rPr>
          <w:rFonts w:hint="eastAsia" w:ascii="宋体" w:hAnsi="宋体" w:cs="宋体"/>
          <w:sz w:val="28"/>
          <w:szCs w:val="28"/>
          <w:highlight w:val="none"/>
          <w:lang w:val="en-US" w:eastAsia="zh-CN"/>
        </w:rPr>
        <w:t>10</w:t>
      </w:r>
      <w:r>
        <w:rPr>
          <w:rFonts w:hint="eastAsia" w:ascii="宋体" w:hAnsi="宋体" w:eastAsia="宋体" w:cs="宋体"/>
          <w:sz w:val="28"/>
          <w:szCs w:val="28"/>
          <w:highlight w:val="none"/>
          <w:lang w:val="en-US" w:eastAsia="zh-CN"/>
        </w:rPr>
        <w:t xml:space="preserve"> 日上午9：30 前将加盖企业鲜章的有效的营业执照复印件、资质证书复印件、报价表、承诺书、法人代表身份证明（适用于法人代表亲自报价）或法人代表授权委托书（适用于委托代理人报价，代理人本公司6个月社保证明）密封并现场递交至鹏安公司，未现场递交或逾期递交视为自动放弃。我公司将于2026年</w:t>
      </w:r>
      <w:r>
        <w:rPr>
          <w:rFonts w:hint="eastAsia" w:ascii="宋体" w:hAnsi="宋体" w:cs="宋体"/>
          <w:sz w:val="28"/>
          <w:szCs w:val="28"/>
          <w:highlight w:val="none"/>
          <w:lang w:val="en-US" w:eastAsia="zh-CN"/>
        </w:rPr>
        <w:t>8</w:t>
      </w:r>
      <w:r>
        <w:rPr>
          <w:rFonts w:hint="eastAsia" w:ascii="宋体" w:hAnsi="宋体" w:eastAsia="宋体" w:cs="宋体"/>
          <w:sz w:val="28"/>
          <w:szCs w:val="28"/>
          <w:highlight w:val="none"/>
          <w:lang w:val="en-US" w:eastAsia="zh-CN"/>
        </w:rPr>
        <w:t>月</w:t>
      </w:r>
      <w:r>
        <w:rPr>
          <w:rFonts w:hint="eastAsia" w:ascii="宋体" w:hAnsi="宋体" w:cs="宋体"/>
          <w:sz w:val="28"/>
          <w:szCs w:val="28"/>
          <w:highlight w:val="none"/>
          <w:lang w:val="en-US" w:eastAsia="zh-CN"/>
        </w:rPr>
        <w:t>10</w:t>
      </w:r>
      <w:r>
        <w:rPr>
          <w:rFonts w:hint="eastAsia" w:ascii="宋体" w:hAnsi="宋体" w:eastAsia="宋体" w:cs="宋体"/>
          <w:sz w:val="28"/>
          <w:szCs w:val="28"/>
          <w:highlight w:val="none"/>
          <w:lang w:val="en-US" w:eastAsia="zh-CN"/>
        </w:rPr>
        <w:t>日上午</w:t>
      </w:r>
      <w:r>
        <w:rPr>
          <w:rFonts w:hint="eastAsia" w:ascii="宋体" w:hAnsi="宋体" w:cs="宋体"/>
          <w:sz w:val="28"/>
          <w:szCs w:val="28"/>
          <w:highlight w:val="none"/>
          <w:lang w:val="en-US" w:eastAsia="zh-CN"/>
        </w:rPr>
        <w:t>9</w:t>
      </w:r>
      <w:r>
        <w:rPr>
          <w:rFonts w:hint="eastAsia" w:ascii="宋体" w:hAnsi="宋体" w:eastAsia="宋体" w:cs="宋体"/>
          <w:sz w:val="28"/>
          <w:szCs w:val="28"/>
          <w:highlight w:val="none"/>
          <w:lang w:val="en-US" w:eastAsia="zh-CN"/>
        </w:rPr>
        <w:t>：</w:t>
      </w:r>
      <w:r>
        <w:rPr>
          <w:rFonts w:hint="eastAsia" w:ascii="宋体" w:hAnsi="宋体" w:cs="宋体"/>
          <w:sz w:val="28"/>
          <w:szCs w:val="28"/>
          <w:highlight w:val="none"/>
          <w:lang w:val="en-US" w:eastAsia="zh-CN"/>
        </w:rPr>
        <w:t>3</w:t>
      </w:r>
      <w:r>
        <w:rPr>
          <w:rFonts w:hint="eastAsia" w:ascii="宋体" w:hAnsi="宋体" w:eastAsia="宋体" w:cs="宋体"/>
          <w:sz w:val="28"/>
          <w:szCs w:val="28"/>
          <w:highlight w:val="none"/>
          <w:lang w:val="en-US" w:eastAsia="zh-CN"/>
        </w:rPr>
        <w:t>0 在鹏安公司二楼会议室统一拆封所有报价资料，逾期递交视为自动放弃。报价资料递交地址：遂宁市安居区黄林路 190号（凤凰半岛三期）一层商铺。计价和招投标部联系人：唐先生 0825-8666908。</w:t>
      </w:r>
    </w:p>
    <w:p w14:paraId="5D6BCBCC">
      <w:pPr>
        <w:pStyle w:val="15"/>
        <w:keepNext w:val="0"/>
        <w:keepLines w:val="0"/>
        <w:pageBreakBefore w:val="0"/>
        <w:kinsoku/>
        <w:overflowPunct/>
        <w:topLinePunct w:val="0"/>
        <w:autoSpaceDE/>
        <w:autoSpaceDN/>
        <w:bidi w:val="0"/>
        <w:snapToGrid/>
        <w:spacing w:line="560" w:lineRule="exact"/>
        <w:ind w:firstLine="560" w:firstLineChars="200"/>
        <w:rPr>
          <w:rFonts w:hint="eastAsia" w:ascii="仿宋" w:hAnsi="仿宋" w:eastAsia="仿宋" w:cs="仿宋"/>
          <w:sz w:val="28"/>
          <w:szCs w:val="28"/>
          <w:highlight w:val="none"/>
          <w:lang w:val="en-US" w:eastAsia="zh-CN"/>
        </w:rPr>
      </w:pPr>
    </w:p>
    <w:p w14:paraId="084AD1BC">
      <w:pPr>
        <w:keepNext w:val="0"/>
        <w:keepLines w:val="0"/>
        <w:pageBreakBefore w:val="0"/>
        <w:widowControl w:val="0"/>
        <w:numPr>
          <w:ilvl w:val="0"/>
          <w:numId w:val="0"/>
        </w:numPr>
        <w:kinsoku/>
        <w:wordWrap w:val="0"/>
        <w:overflowPunct/>
        <w:topLinePunct w:val="0"/>
        <w:autoSpaceDE/>
        <w:autoSpaceDN/>
        <w:bidi w:val="0"/>
        <w:snapToGrid/>
        <w:spacing w:line="560" w:lineRule="exact"/>
        <w:ind w:firstLine="560" w:firstLineChars="200"/>
        <w:jc w:val="right"/>
        <w:textAlignment w:val="auto"/>
        <w:rPr>
          <w:rFonts w:hint="default" w:ascii="仿宋" w:hAnsi="仿宋" w:eastAsia="仿宋" w:cs="仿宋"/>
          <w:sz w:val="28"/>
          <w:szCs w:val="28"/>
          <w:highlight w:val="none"/>
          <w:lang w:val="en-US" w:eastAsia="zh-CN"/>
        </w:rPr>
      </w:pPr>
      <w:r>
        <w:rPr>
          <w:rFonts w:hint="eastAsia" w:ascii="仿宋" w:hAnsi="仿宋" w:eastAsia="仿宋" w:cs="仿宋"/>
          <w:b w:val="0"/>
          <w:kern w:val="2"/>
          <w:sz w:val="28"/>
          <w:szCs w:val="28"/>
          <w:highlight w:val="none"/>
          <w:lang w:val="en-US" w:eastAsia="zh-CN" w:bidi="ar-SA"/>
        </w:rPr>
        <w:t xml:space="preserve">                  </w:t>
      </w:r>
      <w:r>
        <w:rPr>
          <w:rFonts w:hint="eastAsia" w:ascii="宋体" w:hAnsi="宋体" w:eastAsia="宋体" w:cs="宋体"/>
          <w:sz w:val="28"/>
          <w:szCs w:val="28"/>
          <w:highlight w:val="none"/>
          <w:lang w:val="en-US" w:eastAsia="zh-CN"/>
        </w:rPr>
        <w:t>遂宁市鹏安投资有限公司</w:t>
      </w:r>
    </w:p>
    <w:p w14:paraId="33EC10BB">
      <w:pPr>
        <w:keepNext w:val="0"/>
        <w:keepLines w:val="0"/>
        <w:pageBreakBefore w:val="0"/>
        <w:widowControl w:val="0"/>
        <w:kinsoku/>
        <w:overflowPunct/>
        <w:topLinePunct w:val="0"/>
        <w:autoSpaceDE/>
        <w:autoSpaceDN/>
        <w:bidi w:val="0"/>
        <w:snapToGrid/>
        <w:spacing w:line="560" w:lineRule="exact"/>
        <w:ind w:firstLine="560" w:firstLineChars="200"/>
        <w:jc w:val="right"/>
        <w:textAlignment w:val="auto"/>
        <w:rPr>
          <w:rFonts w:hint="default" w:ascii="宋体" w:hAnsi="宋体" w:eastAsia="宋体" w:cs="宋体"/>
          <w:sz w:val="28"/>
          <w:szCs w:val="28"/>
          <w:highlight w:val="none"/>
          <w:lang w:val="en-US" w:eastAsia="zh-CN"/>
        </w:rPr>
        <w:sectPr>
          <w:pgSz w:w="11906" w:h="16838"/>
          <w:pgMar w:top="1440" w:right="1080" w:bottom="1440" w:left="1080" w:header="851" w:footer="992" w:gutter="0"/>
          <w:cols w:space="720" w:num="1"/>
          <w:docGrid w:type="lines" w:linePitch="312" w:charSpace="0"/>
        </w:sectPr>
      </w:pPr>
      <w:r>
        <w:rPr>
          <w:rFonts w:hint="eastAsia" w:ascii="仿宋" w:hAnsi="仿宋" w:eastAsia="仿宋" w:cs="仿宋"/>
          <w:sz w:val="28"/>
          <w:szCs w:val="28"/>
          <w:highlight w:val="none"/>
          <w:lang w:val="en-US" w:eastAsia="zh-CN"/>
        </w:rPr>
        <w:t xml:space="preserve">                         </w:t>
      </w:r>
      <w:r>
        <w:rPr>
          <w:rFonts w:hint="eastAsia" w:ascii="宋体" w:hAnsi="宋体" w:eastAsia="宋体" w:cs="宋体"/>
          <w:sz w:val="28"/>
          <w:szCs w:val="28"/>
          <w:highlight w:val="none"/>
          <w:lang w:val="en-US" w:eastAsia="zh-CN"/>
        </w:rPr>
        <w:t xml:space="preserve"> 2026年</w:t>
      </w:r>
      <w:r>
        <w:rPr>
          <w:rFonts w:hint="eastAsia" w:ascii="宋体" w:hAnsi="宋体" w:cs="宋体"/>
          <w:sz w:val="28"/>
          <w:szCs w:val="28"/>
          <w:highlight w:val="none"/>
          <w:lang w:val="en-US" w:eastAsia="zh-CN"/>
        </w:rPr>
        <w:t>8</w:t>
      </w:r>
      <w:r>
        <w:rPr>
          <w:rFonts w:hint="eastAsia" w:ascii="宋体" w:hAnsi="宋体" w:eastAsia="宋体" w:cs="宋体"/>
          <w:sz w:val="28"/>
          <w:szCs w:val="28"/>
          <w:highlight w:val="none"/>
          <w:lang w:val="en-US" w:eastAsia="zh-CN"/>
        </w:rPr>
        <w:t>月</w:t>
      </w:r>
      <w:r>
        <w:rPr>
          <w:rFonts w:hint="eastAsia" w:ascii="宋体" w:hAnsi="宋体" w:cs="宋体"/>
          <w:sz w:val="28"/>
          <w:szCs w:val="28"/>
          <w:highlight w:val="none"/>
          <w:lang w:val="en-US" w:eastAsia="zh-CN"/>
        </w:rPr>
        <w:t>6</w:t>
      </w:r>
      <w:r>
        <w:rPr>
          <w:rFonts w:hint="eastAsia" w:ascii="宋体" w:hAnsi="宋体" w:eastAsia="宋体" w:cs="宋体"/>
          <w:sz w:val="28"/>
          <w:szCs w:val="28"/>
          <w:highlight w:val="none"/>
          <w:lang w:val="en-US" w:eastAsia="zh-CN"/>
        </w:rPr>
        <w:t>日</w:t>
      </w:r>
    </w:p>
    <w:p w14:paraId="34ED9AA2">
      <w:pPr>
        <w:keepNext w:val="0"/>
        <w:keepLines w:val="0"/>
        <w:pageBreakBefore w:val="0"/>
        <w:kinsoku/>
        <w:overflowPunct/>
        <w:topLinePunct w:val="0"/>
        <w:autoSpaceDE/>
        <w:autoSpaceDN/>
        <w:bidi w:val="0"/>
        <w:snapToGrid/>
        <w:jc w:val="center"/>
        <w:rPr>
          <w:rFonts w:hint="default" w:ascii="Calibri" w:hAnsi="Calibri" w:eastAsia="宋体" w:cs="Times New Roman"/>
          <w:sz w:val="28"/>
          <w:szCs w:val="28"/>
          <w:highlight w:val="none"/>
          <w:lang w:val="en-US" w:eastAsia="zh-CN"/>
        </w:rPr>
      </w:pPr>
      <w:r>
        <w:rPr>
          <w:rFonts w:hint="default" w:ascii="Calibri" w:hAnsi="Calibri" w:eastAsia="宋体" w:cs="Times New Roman"/>
          <w:sz w:val="28"/>
          <w:szCs w:val="28"/>
          <w:highlight w:val="none"/>
          <w:lang w:val="en-US" w:eastAsia="zh-CN"/>
        </w:rPr>
        <w:t>遂安快捷通道(安居段)建设工程—道路工程建设项目</w:t>
      </w:r>
    </w:p>
    <w:p w14:paraId="6F51E1DA">
      <w:pPr>
        <w:keepNext w:val="0"/>
        <w:keepLines w:val="0"/>
        <w:pageBreakBefore w:val="0"/>
        <w:kinsoku/>
        <w:overflowPunct/>
        <w:topLinePunct w:val="0"/>
        <w:autoSpaceDE/>
        <w:autoSpaceDN/>
        <w:bidi w:val="0"/>
        <w:snapToGrid/>
        <w:jc w:val="center"/>
        <w:rPr>
          <w:rFonts w:hint="default"/>
          <w:sz w:val="15"/>
          <w:szCs w:val="15"/>
          <w:highlight w:val="none"/>
          <w:lang w:val="en-US"/>
        </w:rPr>
      </w:pPr>
      <w:r>
        <w:rPr>
          <w:rFonts w:hint="eastAsia" w:ascii="Calibri" w:hAnsi="Calibri" w:eastAsia="宋体" w:cs="Times New Roman"/>
          <w:sz w:val="28"/>
          <w:szCs w:val="28"/>
          <w:highlight w:val="none"/>
          <w:lang w:val="en-US" w:eastAsia="zh-CN"/>
        </w:rPr>
        <w:t>水土保持监理报价表</w:t>
      </w:r>
    </w:p>
    <w:tbl>
      <w:tblPr>
        <w:tblStyle w:val="7"/>
        <w:tblW w:w="15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3378"/>
        <w:gridCol w:w="5331"/>
        <w:gridCol w:w="3065"/>
        <w:gridCol w:w="2104"/>
      </w:tblGrid>
      <w:tr w14:paraId="1382F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1152" w:type="dxa"/>
            <w:noWrap w:val="0"/>
            <w:vAlign w:val="center"/>
          </w:tcPr>
          <w:p w14:paraId="399EEAE9">
            <w:pPr>
              <w:keepNext w:val="0"/>
              <w:keepLines w:val="0"/>
              <w:pageBreakBefore w:val="0"/>
              <w:kinsoku/>
              <w:overflowPunct/>
              <w:topLinePunct w:val="0"/>
              <w:autoSpaceDE/>
              <w:autoSpaceDN/>
              <w:bidi w:val="0"/>
              <w:snapToGrid/>
              <w:jc w:val="center"/>
              <w:rPr>
                <w:rFonts w:hint="eastAsia"/>
                <w:b/>
                <w:bCs/>
                <w:sz w:val="28"/>
                <w:szCs w:val="28"/>
                <w:highlight w:val="none"/>
                <w:lang w:eastAsia="zh-CN"/>
              </w:rPr>
            </w:pPr>
            <w:r>
              <w:rPr>
                <w:rFonts w:hint="eastAsia"/>
                <w:b/>
                <w:bCs/>
                <w:sz w:val="28"/>
                <w:szCs w:val="28"/>
                <w:highlight w:val="none"/>
                <w:lang w:eastAsia="zh-CN"/>
              </w:rPr>
              <w:t>序号</w:t>
            </w:r>
          </w:p>
        </w:tc>
        <w:tc>
          <w:tcPr>
            <w:tcW w:w="3378" w:type="dxa"/>
            <w:noWrap w:val="0"/>
            <w:vAlign w:val="center"/>
          </w:tcPr>
          <w:p w14:paraId="32854A29">
            <w:pPr>
              <w:keepNext w:val="0"/>
              <w:keepLines w:val="0"/>
              <w:pageBreakBefore w:val="0"/>
              <w:kinsoku/>
              <w:overflowPunct/>
              <w:topLinePunct w:val="0"/>
              <w:autoSpaceDE/>
              <w:autoSpaceDN/>
              <w:bidi w:val="0"/>
              <w:snapToGrid/>
              <w:ind w:firstLine="562" w:firstLineChars="200"/>
              <w:jc w:val="center"/>
              <w:rPr>
                <w:rFonts w:hint="eastAsia"/>
                <w:b/>
                <w:bCs/>
                <w:sz w:val="28"/>
                <w:szCs w:val="28"/>
                <w:highlight w:val="none"/>
              </w:rPr>
            </w:pPr>
            <w:r>
              <w:rPr>
                <w:rFonts w:hint="eastAsia"/>
                <w:b/>
                <w:bCs/>
                <w:sz w:val="28"/>
                <w:szCs w:val="28"/>
                <w:highlight w:val="none"/>
              </w:rPr>
              <w:t>工程名称</w:t>
            </w:r>
          </w:p>
        </w:tc>
        <w:tc>
          <w:tcPr>
            <w:tcW w:w="5331" w:type="dxa"/>
            <w:noWrap w:val="0"/>
            <w:vAlign w:val="center"/>
          </w:tcPr>
          <w:p w14:paraId="7FCE9B8A">
            <w:pPr>
              <w:keepNext w:val="0"/>
              <w:keepLines w:val="0"/>
              <w:pageBreakBefore w:val="0"/>
              <w:kinsoku/>
              <w:overflowPunct/>
              <w:topLinePunct w:val="0"/>
              <w:autoSpaceDE/>
              <w:autoSpaceDN/>
              <w:bidi w:val="0"/>
              <w:snapToGrid/>
              <w:ind w:firstLine="562" w:firstLineChars="200"/>
              <w:jc w:val="center"/>
              <w:rPr>
                <w:rFonts w:hint="eastAsia" w:eastAsia="宋体"/>
                <w:b/>
                <w:bCs/>
                <w:sz w:val="28"/>
                <w:szCs w:val="28"/>
                <w:highlight w:val="none"/>
                <w:lang w:eastAsia="zh-CN"/>
              </w:rPr>
            </w:pPr>
            <w:r>
              <w:rPr>
                <w:rFonts w:hint="eastAsia"/>
                <w:b/>
                <w:bCs/>
                <w:sz w:val="28"/>
                <w:szCs w:val="28"/>
                <w:highlight w:val="none"/>
              </w:rPr>
              <w:t>工程规模</w:t>
            </w:r>
          </w:p>
        </w:tc>
        <w:tc>
          <w:tcPr>
            <w:tcW w:w="3065" w:type="dxa"/>
            <w:noWrap w:val="0"/>
            <w:vAlign w:val="center"/>
          </w:tcPr>
          <w:p w14:paraId="039B0EC6">
            <w:pPr>
              <w:keepNext w:val="0"/>
              <w:keepLines w:val="0"/>
              <w:pageBreakBefore w:val="0"/>
              <w:kinsoku/>
              <w:overflowPunct/>
              <w:topLinePunct w:val="0"/>
              <w:autoSpaceDE/>
              <w:autoSpaceDN/>
              <w:bidi w:val="0"/>
              <w:snapToGrid/>
              <w:ind w:firstLine="562" w:firstLineChars="200"/>
              <w:jc w:val="both"/>
              <w:rPr>
                <w:rFonts w:hint="eastAsia"/>
                <w:b/>
                <w:bCs/>
                <w:sz w:val="28"/>
                <w:szCs w:val="28"/>
                <w:highlight w:val="none"/>
              </w:rPr>
            </w:pPr>
            <w:r>
              <w:rPr>
                <w:rFonts w:hint="eastAsia"/>
                <w:b/>
                <w:bCs/>
                <w:sz w:val="28"/>
                <w:szCs w:val="28"/>
                <w:highlight w:val="none"/>
                <w:lang w:eastAsia="zh-CN"/>
              </w:rPr>
              <w:t>控制价</w:t>
            </w:r>
            <w:r>
              <w:rPr>
                <w:rFonts w:hint="eastAsia"/>
                <w:b/>
                <w:bCs/>
                <w:sz w:val="28"/>
                <w:szCs w:val="28"/>
                <w:highlight w:val="none"/>
              </w:rPr>
              <w:t>（元）</w:t>
            </w:r>
          </w:p>
        </w:tc>
        <w:tc>
          <w:tcPr>
            <w:tcW w:w="2104" w:type="dxa"/>
            <w:noWrap w:val="0"/>
            <w:vAlign w:val="center"/>
          </w:tcPr>
          <w:p w14:paraId="34972552">
            <w:pPr>
              <w:keepNext w:val="0"/>
              <w:keepLines w:val="0"/>
              <w:pageBreakBefore w:val="0"/>
              <w:kinsoku/>
              <w:overflowPunct/>
              <w:topLinePunct w:val="0"/>
              <w:autoSpaceDE/>
              <w:autoSpaceDN/>
              <w:bidi w:val="0"/>
              <w:snapToGrid/>
              <w:jc w:val="both"/>
              <w:rPr>
                <w:rFonts w:hint="eastAsia" w:eastAsia="宋体"/>
                <w:b/>
                <w:bCs/>
                <w:sz w:val="28"/>
                <w:szCs w:val="28"/>
                <w:highlight w:val="none"/>
                <w:lang w:eastAsia="zh-CN"/>
              </w:rPr>
            </w:pPr>
            <w:r>
              <w:rPr>
                <w:rFonts w:hint="eastAsia"/>
                <w:b/>
                <w:bCs/>
                <w:sz w:val="28"/>
                <w:szCs w:val="28"/>
                <w:highlight w:val="none"/>
                <w:vertAlign w:val="baseline"/>
                <w:lang w:val="en-US" w:eastAsia="zh-CN"/>
              </w:rPr>
              <w:t>下浮比例（%）</w:t>
            </w:r>
          </w:p>
        </w:tc>
      </w:tr>
      <w:tr w14:paraId="68BD7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6" w:hRule="atLeast"/>
          <w:jc w:val="center"/>
        </w:trPr>
        <w:tc>
          <w:tcPr>
            <w:tcW w:w="1152" w:type="dxa"/>
            <w:noWrap w:val="0"/>
            <w:vAlign w:val="center"/>
          </w:tcPr>
          <w:p w14:paraId="3A9542FC">
            <w:pPr>
              <w:keepNext w:val="0"/>
              <w:keepLines w:val="0"/>
              <w:pageBreakBefore w:val="0"/>
              <w:kinsoku/>
              <w:overflowPunct/>
              <w:topLinePunct w:val="0"/>
              <w:autoSpaceDE/>
              <w:autoSpaceDN/>
              <w:bidi w:val="0"/>
              <w:snapToGrid/>
              <w:jc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1</w:t>
            </w:r>
          </w:p>
        </w:tc>
        <w:tc>
          <w:tcPr>
            <w:tcW w:w="3378" w:type="dxa"/>
            <w:noWrap w:val="0"/>
            <w:vAlign w:val="center"/>
          </w:tcPr>
          <w:p w14:paraId="3D8E5C91">
            <w:pPr>
              <w:keepNext w:val="0"/>
              <w:keepLines w:val="0"/>
              <w:pageBreakBefore w:val="0"/>
              <w:kinsoku/>
              <w:overflowPunct/>
              <w:topLinePunct w:val="0"/>
              <w:autoSpaceDE/>
              <w:autoSpaceDN/>
              <w:bidi w:val="0"/>
              <w:snapToGrid/>
              <w:jc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遂</w:t>
            </w:r>
            <w:r>
              <w:rPr>
                <w:rFonts w:hint="eastAsia" w:ascii="宋体" w:hAnsi="宋体" w:eastAsia="宋体" w:cs="宋体"/>
                <w:b w:val="0"/>
                <w:bCs w:val="0"/>
                <w:sz w:val="28"/>
                <w:szCs w:val="28"/>
                <w:highlight w:val="none"/>
                <w:lang w:val="en-US" w:eastAsia="zh-CN"/>
              </w:rPr>
              <w:t>安快捷通道(安居段)</w:t>
            </w:r>
            <w:r>
              <w:rPr>
                <w:rFonts w:hint="eastAsia" w:ascii="宋体" w:hAnsi="宋体" w:eastAsia="宋体" w:cs="宋体"/>
                <w:sz w:val="28"/>
                <w:szCs w:val="28"/>
                <w:highlight w:val="none"/>
                <w:lang w:val="en-US" w:eastAsia="zh-CN"/>
              </w:rPr>
              <w:t>建设工程—道路工程建设项目-水土保持监理</w:t>
            </w:r>
          </w:p>
        </w:tc>
        <w:tc>
          <w:tcPr>
            <w:tcW w:w="5331" w:type="dxa"/>
            <w:noWrap w:val="0"/>
            <w:vAlign w:val="center"/>
          </w:tcPr>
          <w:p w14:paraId="21173C52">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highlight w:val="none"/>
                <w:lang w:val="en-US" w:eastAsia="zh-CN"/>
              </w:rPr>
            </w:pPr>
          </w:p>
          <w:p w14:paraId="44E37CDA">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项目为一级公路，长 9.05 公里，路基宽 33.5 米，大桥 1 座中桥 4 座，涵洞 41 道，互通式立体交叉 3 处及附属配套工程，</w:t>
            </w:r>
            <w:r>
              <w:rPr>
                <w:rFonts w:hint="eastAsia"/>
                <w:sz w:val="28"/>
                <w:szCs w:val="28"/>
                <w:highlight w:val="none"/>
                <w:lang w:val="en-US" w:eastAsia="zh-CN"/>
              </w:rPr>
              <w:t>其中挖土石方约307万方左右，土石方回填约186万方左右。</w:t>
            </w:r>
          </w:p>
          <w:p w14:paraId="0266BCEA">
            <w:pPr>
              <w:keepNext w:val="0"/>
              <w:keepLines w:val="0"/>
              <w:pageBreakBefore w:val="0"/>
              <w:kinsoku/>
              <w:overflowPunct/>
              <w:topLinePunct w:val="0"/>
              <w:autoSpaceDE/>
              <w:autoSpaceDN/>
              <w:bidi w:val="0"/>
              <w:snapToGrid/>
              <w:jc w:val="center"/>
              <w:rPr>
                <w:rFonts w:hint="eastAsia" w:ascii="宋体" w:hAnsi="宋体" w:eastAsia="宋体" w:cs="宋体"/>
                <w:sz w:val="28"/>
                <w:szCs w:val="28"/>
                <w:highlight w:val="none"/>
                <w:lang w:val="en-US" w:eastAsia="zh-CN"/>
              </w:rPr>
            </w:pPr>
          </w:p>
        </w:tc>
        <w:tc>
          <w:tcPr>
            <w:tcW w:w="3065" w:type="dxa"/>
            <w:noWrap w:val="0"/>
            <w:vAlign w:val="center"/>
          </w:tcPr>
          <w:p w14:paraId="723C68C5">
            <w:pPr>
              <w:keepNext w:val="0"/>
              <w:keepLines w:val="0"/>
              <w:pageBreakBefore w:val="0"/>
              <w:kinsoku/>
              <w:overflowPunct/>
              <w:topLinePunct w:val="0"/>
              <w:autoSpaceDE/>
              <w:autoSpaceDN/>
              <w:bidi w:val="0"/>
              <w:snapToGrid/>
              <w:ind w:firstLine="840" w:firstLineChars="300"/>
              <w:jc w:val="left"/>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u w:val="single"/>
                <w:lang w:val="en-US" w:eastAsia="zh-CN"/>
              </w:rPr>
              <w:t xml:space="preserve"> </w:t>
            </w:r>
            <w:r>
              <w:rPr>
                <w:rFonts w:hint="eastAsia" w:ascii="宋体" w:hAnsi="宋体" w:cs="宋体"/>
                <w:sz w:val="28"/>
                <w:szCs w:val="28"/>
                <w:highlight w:val="none"/>
                <w:u w:val="single"/>
                <w:lang w:val="en-US" w:eastAsia="zh-CN"/>
              </w:rPr>
              <w:t>20</w:t>
            </w:r>
            <w:r>
              <w:rPr>
                <w:rFonts w:hint="eastAsia" w:ascii="宋体" w:hAnsi="宋体" w:eastAsia="宋体" w:cs="宋体"/>
                <w:sz w:val="28"/>
                <w:szCs w:val="28"/>
                <w:highlight w:val="none"/>
                <w:u w:val="single"/>
                <w:lang w:val="en-US" w:eastAsia="zh-CN"/>
              </w:rPr>
              <w:t>0000 元</w:t>
            </w:r>
          </w:p>
        </w:tc>
        <w:tc>
          <w:tcPr>
            <w:tcW w:w="2104" w:type="dxa"/>
            <w:noWrap w:val="0"/>
            <w:vAlign w:val="center"/>
          </w:tcPr>
          <w:p w14:paraId="4C5FF100">
            <w:pPr>
              <w:keepNext w:val="0"/>
              <w:keepLines w:val="0"/>
              <w:pageBreakBefore w:val="0"/>
              <w:kinsoku/>
              <w:overflowPunct/>
              <w:topLinePunct w:val="0"/>
              <w:autoSpaceDE/>
              <w:autoSpaceDN/>
              <w:bidi w:val="0"/>
              <w:snapToGrid/>
              <w:ind w:firstLine="480" w:firstLineChars="200"/>
              <w:jc w:val="center"/>
              <w:rPr>
                <w:rFonts w:hint="eastAsia"/>
                <w:sz w:val="24"/>
                <w:szCs w:val="24"/>
                <w:highlight w:val="none"/>
              </w:rPr>
            </w:pPr>
          </w:p>
        </w:tc>
      </w:tr>
    </w:tbl>
    <w:p w14:paraId="6320B8F6">
      <w:pPr>
        <w:keepNext w:val="0"/>
        <w:keepLines w:val="0"/>
        <w:pageBreakBefore w:val="0"/>
        <w:kinsoku/>
        <w:overflowPunct/>
        <w:topLinePunct w:val="0"/>
        <w:autoSpaceDE/>
        <w:autoSpaceDN/>
        <w:bidi w:val="0"/>
        <w:snapToGrid/>
        <w:ind w:firstLine="300" w:firstLineChars="200"/>
        <w:rPr>
          <w:rFonts w:hint="eastAsia"/>
          <w:sz w:val="15"/>
          <w:szCs w:val="15"/>
          <w:highlight w:val="none"/>
        </w:rPr>
      </w:pPr>
    </w:p>
    <w:p w14:paraId="10166709">
      <w:pPr>
        <w:keepNext w:val="0"/>
        <w:keepLines w:val="0"/>
        <w:pageBreakBefore w:val="0"/>
        <w:kinsoku/>
        <w:overflowPunct/>
        <w:topLinePunct w:val="0"/>
        <w:autoSpaceDE/>
        <w:autoSpaceDN/>
        <w:bidi w:val="0"/>
        <w:snapToGrid/>
        <w:ind w:firstLine="560" w:firstLineChars="200"/>
        <w:jc w:val="center"/>
        <w:rPr>
          <w:rFonts w:hint="eastAsia"/>
          <w:sz w:val="28"/>
          <w:szCs w:val="28"/>
          <w:highlight w:val="none"/>
        </w:rPr>
      </w:pPr>
      <w:r>
        <w:rPr>
          <w:rFonts w:hint="eastAsia"/>
          <w:sz w:val="28"/>
          <w:szCs w:val="28"/>
          <w:highlight w:val="none"/>
          <w:lang w:val="en-US" w:eastAsia="zh-CN"/>
        </w:rPr>
        <w:t xml:space="preserve">                                                            </w:t>
      </w:r>
      <w:r>
        <w:rPr>
          <w:rFonts w:hint="eastAsia"/>
          <w:sz w:val="28"/>
          <w:szCs w:val="28"/>
          <w:highlight w:val="none"/>
        </w:rPr>
        <w:t>报价单位：（盖章）</w:t>
      </w:r>
    </w:p>
    <w:p w14:paraId="4B8164BB">
      <w:pPr>
        <w:keepNext w:val="0"/>
        <w:keepLines w:val="0"/>
        <w:pageBreakBefore w:val="0"/>
        <w:kinsoku/>
        <w:overflowPunct/>
        <w:topLinePunct w:val="0"/>
        <w:autoSpaceDE/>
        <w:autoSpaceDN/>
        <w:bidi w:val="0"/>
        <w:snapToGrid/>
        <w:ind w:firstLine="560" w:firstLineChars="200"/>
        <w:rPr>
          <w:rFonts w:hint="eastAsia"/>
          <w:sz w:val="28"/>
          <w:szCs w:val="28"/>
          <w:highlight w:val="none"/>
        </w:rPr>
      </w:pPr>
      <w:r>
        <w:rPr>
          <w:rFonts w:hint="eastAsia"/>
          <w:sz w:val="28"/>
          <w:szCs w:val="28"/>
          <w:highlight w:val="none"/>
        </w:rPr>
        <w:t xml:space="preserve">                                                                 </w:t>
      </w:r>
      <w:r>
        <w:rPr>
          <w:rFonts w:hint="eastAsia"/>
          <w:sz w:val="28"/>
          <w:szCs w:val="28"/>
          <w:highlight w:val="none"/>
          <w:lang w:val="en-US" w:eastAsia="zh-CN"/>
        </w:rPr>
        <w:t xml:space="preserve">    </w:t>
      </w:r>
      <w:r>
        <w:rPr>
          <w:rFonts w:hint="eastAsia"/>
          <w:sz w:val="28"/>
          <w:szCs w:val="28"/>
          <w:highlight w:val="none"/>
        </w:rPr>
        <w:t>联系人及电话：</w:t>
      </w:r>
    </w:p>
    <w:sectPr>
      <w:type w:val="continuous"/>
      <w:pgSz w:w="16838" w:h="11906" w:orient="landscape"/>
      <w:pgMar w:top="1576"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07367F"/>
    <w:multiLevelType w:val="singleLevel"/>
    <w:tmpl w:val="2707367F"/>
    <w:lvl w:ilvl="0" w:tentative="0">
      <w:start w:val="1"/>
      <w:numFmt w:val="decimal"/>
      <w:lvlText w:val="%1."/>
      <w:lvlJc w:val="left"/>
      <w:pPr>
        <w:ind w:left="425" w:hanging="425"/>
      </w:pPr>
      <w:rPr>
        <w:rFonts w:hint="default"/>
      </w:rPr>
    </w:lvl>
  </w:abstractNum>
  <w:abstractNum w:abstractNumId="1">
    <w:nsid w:val="55CC27DC"/>
    <w:multiLevelType w:val="singleLevel"/>
    <w:tmpl w:val="55CC27DC"/>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mZDhmMWExYTRmYzkyZjhkOThkY2M0M2VkYzIzYjgifQ=="/>
  </w:docVars>
  <w:rsids>
    <w:rsidRoot w:val="00172A27"/>
    <w:rsid w:val="00041252"/>
    <w:rsid w:val="001D5FB4"/>
    <w:rsid w:val="003533EB"/>
    <w:rsid w:val="004108AE"/>
    <w:rsid w:val="004F5AEB"/>
    <w:rsid w:val="00755DF0"/>
    <w:rsid w:val="00757B9E"/>
    <w:rsid w:val="00864308"/>
    <w:rsid w:val="00977B14"/>
    <w:rsid w:val="0098388D"/>
    <w:rsid w:val="00A40DEF"/>
    <w:rsid w:val="00AE77AD"/>
    <w:rsid w:val="00B905FE"/>
    <w:rsid w:val="00CD05ED"/>
    <w:rsid w:val="00EE1A99"/>
    <w:rsid w:val="019978BC"/>
    <w:rsid w:val="02104022"/>
    <w:rsid w:val="02195EEB"/>
    <w:rsid w:val="02266AAF"/>
    <w:rsid w:val="023870D5"/>
    <w:rsid w:val="025F28B4"/>
    <w:rsid w:val="026B1259"/>
    <w:rsid w:val="029C1412"/>
    <w:rsid w:val="02DA4630"/>
    <w:rsid w:val="03541CED"/>
    <w:rsid w:val="036B7036"/>
    <w:rsid w:val="037979A5"/>
    <w:rsid w:val="03FD2384"/>
    <w:rsid w:val="04F10DEF"/>
    <w:rsid w:val="050F05C1"/>
    <w:rsid w:val="0530678A"/>
    <w:rsid w:val="057C377D"/>
    <w:rsid w:val="06532730"/>
    <w:rsid w:val="06640947"/>
    <w:rsid w:val="06B50CF4"/>
    <w:rsid w:val="0717375D"/>
    <w:rsid w:val="077C5CB6"/>
    <w:rsid w:val="07FF744E"/>
    <w:rsid w:val="080C703A"/>
    <w:rsid w:val="080F6B2A"/>
    <w:rsid w:val="082C3238"/>
    <w:rsid w:val="0842480A"/>
    <w:rsid w:val="084762C4"/>
    <w:rsid w:val="08EF7436"/>
    <w:rsid w:val="094375A6"/>
    <w:rsid w:val="0A5C592B"/>
    <w:rsid w:val="0B536D2E"/>
    <w:rsid w:val="0CC9374C"/>
    <w:rsid w:val="0D9F26FE"/>
    <w:rsid w:val="0DBC0BBA"/>
    <w:rsid w:val="0DC40C23"/>
    <w:rsid w:val="0DD028B8"/>
    <w:rsid w:val="0DF30354"/>
    <w:rsid w:val="0E2055ED"/>
    <w:rsid w:val="0EDB32C2"/>
    <w:rsid w:val="0EE77EB9"/>
    <w:rsid w:val="0EF45B18"/>
    <w:rsid w:val="0F2A5FF8"/>
    <w:rsid w:val="0FC24482"/>
    <w:rsid w:val="1017657C"/>
    <w:rsid w:val="1025513D"/>
    <w:rsid w:val="10F7015B"/>
    <w:rsid w:val="11072A94"/>
    <w:rsid w:val="112A558F"/>
    <w:rsid w:val="113118BF"/>
    <w:rsid w:val="11745F0B"/>
    <w:rsid w:val="11C21003"/>
    <w:rsid w:val="127F48AC"/>
    <w:rsid w:val="13165211"/>
    <w:rsid w:val="13515442"/>
    <w:rsid w:val="13675A6C"/>
    <w:rsid w:val="139D3360"/>
    <w:rsid w:val="13D24E09"/>
    <w:rsid w:val="14A73D9A"/>
    <w:rsid w:val="14D53810"/>
    <w:rsid w:val="15080B89"/>
    <w:rsid w:val="152810E0"/>
    <w:rsid w:val="15396F94"/>
    <w:rsid w:val="15E909BB"/>
    <w:rsid w:val="16011297"/>
    <w:rsid w:val="160E21CF"/>
    <w:rsid w:val="16FE0496"/>
    <w:rsid w:val="173E4D36"/>
    <w:rsid w:val="175715F2"/>
    <w:rsid w:val="1776627E"/>
    <w:rsid w:val="1805622F"/>
    <w:rsid w:val="18530C45"/>
    <w:rsid w:val="18D05E62"/>
    <w:rsid w:val="18E0603D"/>
    <w:rsid w:val="18E35B95"/>
    <w:rsid w:val="18F26A29"/>
    <w:rsid w:val="195A6195"/>
    <w:rsid w:val="19EC11AD"/>
    <w:rsid w:val="19FB6F0E"/>
    <w:rsid w:val="1A136006"/>
    <w:rsid w:val="1A1D50D7"/>
    <w:rsid w:val="1A22449B"/>
    <w:rsid w:val="1A5257E6"/>
    <w:rsid w:val="1A6B565C"/>
    <w:rsid w:val="1B0167A6"/>
    <w:rsid w:val="1B4D19EC"/>
    <w:rsid w:val="1BAF0483"/>
    <w:rsid w:val="1CC17F9B"/>
    <w:rsid w:val="1CD87093"/>
    <w:rsid w:val="1D817490"/>
    <w:rsid w:val="1DEA37E0"/>
    <w:rsid w:val="1DEF6D8A"/>
    <w:rsid w:val="1E4B787E"/>
    <w:rsid w:val="1EBD29E4"/>
    <w:rsid w:val="1F215E0C"/>
    <w:rsid w:val="1F486752"/>
    <w:rsid w:val="1F4D3D68"/>
    <w:rsid w:val="1FD73F22"/>
    <w:rsid w:val="201C373B"/>
    <w:rsid w:val="20670E5A"/>
    <w:rsid w:val="20B3618E"/>
    <w:rsid w:val="213D7E0C"/>
    <w:rsid w:val="2175445C"/>
    <w:rsid w:val="217F0425"/>
    <w:rsid w:val="21894E00"/>
    <w:rsid w:val="21A97250"/>
    <w:rsid w:val="21AA3265"/>
    <w:rsid w:val="22791318"/>
    <w:rsid w:val="23007343"/>
    <w:rsid w:val="2309269C"/>
    <w:rsid w:val="234F4B40"/>
    <w:rsid w:val="2351194D"/>
    <w:rsid w:val="236B40EE"/>
    <w:rsid w:val="23AE6894"/>
    <w:rsid w:val="23B02B18"/>
    <w:rsid w:val="23B1063E"/>
    <w:rsid w:val="23E50BF5"/>
    <w:rsid w:val="2443661F"/>
    <w:rsid w:val="247D50F0"/>
    <w:rsid w:val="24FD1D8D"/>
    <w:rsid w:val="25553977"/>
    <w:rsid w:val="255676EF"/>
    <w:rsid w:val="25F0369F"/>
    <w:rsid w:val="266876DA"/>
    <w:rsid w:val="26934177"/>
    <w:rsid w:val="26D7660D"/>
    <w:rsid w:val="27196C26"/>
    <w:rsid w:val="27BF5A1F"/>
    <w:rsid w:val="27DB7216"/>
    <w:rsid w:val="285717B4"/>
    <w:rsid w:val="288F53F1"/>
    <w:rsid w:val="28A6098D"/>
    <w:rsid w:val="28C80903"/>
    <w:rsid w:val="29331757"/>
    <w:rsid w:val="293B6129"/>
    <w:rsid w:val="29600B3C"/>
    <w:rsid w:val="29986528"/>
    <w:rsid w:val="29B75678"/>
    <w:rsid w:val="29C4731D"/>
    <w:rsid w:val="29F85218"/>
    <w:rsid w:val="2A03518E"/>
    <w:rsid w:val="2A1F4553"/>
    <w:rsid w:val="2A9A62D0"/>
    <w:rsid w:val="2AD52E64"/>
    <w:rsid w:val="2ADE61BC"/>
    <w:rsid w:val="2AE632C3"/>
    <w:rsid w:val="2BE71ED2"/>
    <w:rsid w:val="2C16251C"/>
    <w:rsid w:val="2C581F9E"/>
    <w:rsid w:val="2C5A3F68"/>
    <w:rsid w:val="2CC55886"/>
    <w:rsid w:val="2D8D1641"/>
    <w:rsid w:val="2EBC6814"/>
    <w:rsid w:val="2EC21951"/>
    <w:rsid w:val="2F324D29"/>
    <w:rsid w:val="2F67044C"/>
    <w:rsid w:val="2FC242FE"/>
    <w:rsid w:val="2FD63906"/>
    <w:rsid w:val="303E0CF0"/>
    <w:rsid w:val="30A01D5C"/>
    <w:rsid w:val="30F009F7"/>
    <w:rsid w:val="31264419"/>
    <w:rsid w:val="313C3C3D"/>
    <w:rsid w:val="315E1E05"/>
    <w:rsid w:val="32103FEE"/>
    <w:rsid w:val="3247038E"/>
    <w:rsid w:val="32981D85"/>
    <w:rsid w:val="330662B0"/>
    <w:rsid w:val="335373EA"/>
    <w:rsid w:val="33941B0E"/>
    <w:rsid w:val="33D75E9F"/>
    <w:rsid w:val="345D45F6"/>
    <w:rsid w:val="34691DA5"/>
    <w:rsid w:val="34767465"/>
    <w:rsid w:val="347D07F4"/>
    <w:rsid w:val="34CA77B1"/>
    <w:rsid w:val="34D16D92"/>
    <w:rsid w:val="358362DE"/>
    <w:rsid w:val="358F3D6E"/>
    <w:rsid w:val="363A6AB8"/>
    <w:rsid w:val="36633D60"/>
    <w:rsid w:val="369B31B3"/>
    <w:rsid w:val="36EB413B"/>
    <w:rsid w:val="375717D0"/>
    <w:rsid w:val="375D2B5F"/>
    <w:rsid w:val="37B63132"/>
    <w:rsid w:val="37FC4126"/>
    <w:rsid w:val="37FD5409"/>
    <w:rsid w:val="38305B7D"/>
    <w:rsid w:val="38390ED6"/>
    <w:rsid w:val="38B20EE7"/>
    <w:rsid w:val="39567866"/>
    <w:rsid w:val="39810822"/>
    <w:rsid w:val="3A085004"/>
    <w:rsid w:val="3A371445"/>
    <w:rsid w:val="3A5169AB"/>
    <w:rsid w:val="3A63048C"/>
    <w:rsid w:val="3A8D375B"/>
    <w:rsid w:val="3AF92B9E"/>
    <w:rsid w:val="3B057795"/>
    <w:rsid w:val="3B6A75F8"/>
    <w:rsid w:val="3BE473AB"/>
    <w:rsid w:val="3C1934F8"/>
    <w:rsid w:val="3C81109D"/>
    <w:rsid w:val="3D17730C"/>
    <w:rsid w:val="3D5440BC"/>
    <w:rsid w:val="3D6E33D0"/>
    <w:rsid w:val="3D94095C"/>
    <w:rsid w:val="3DAE1090"/>
    <w:rsid w:val="3DAE7C70"/>
    <w:rsid w:val="3DF37D79"/>
    <w:rsid w:val="3DFB398F"/>
    <w:rsid w:val="3EB2553E"/>
    <w:rsid w:val="3ECD34FD"/>
    <w:rsid w:val="3EDC25BB"/>
    <w:rsid w:val="3F375A43"/>
    <w:rsid w:val="3F3F561C"/>
    <w:rsid w:val="3F6F1681"/>
    <w:rsid w:val="3F76656C"/>
    <w:rsid w:val="400A1F81"/>
    <w:rsid w:val="404D19C2"/>
    <w:rsid w:val="40A84E4B"/>
    <w:rsid w:val="41032081"/>
    <w:rsid w:val="416C5E78"/>
    <w:rsid w:val="427A3024"/>
    <w:rsid w:val="42E61C5A"/>
    <w:rsid w:val="42EA174A"/>
    <w:rsid w:val="42FB4E6F"/>
    <w:rsid w:val="430E0BD3"/>
    <w:rsid w:val="439B47F3"/>
    <w:rsid w:val="43F42155"/>
    <w:rsid w:val="442742D8"/>
    <w:rsid w:val="445A5F90"/>
    <w:rsid w:val="445F155D"/>
    <w:rsid w:val="446C43E1"/>
    <w:rsid w:val="44894DED"/>
    <w:rsid w:val="44A818BD"/>
    <w:rsid w:val="44B33DBE"/>
    <w:rsid w:val="45BC6CA2"/>
    <w:rsid w:val="45E85D11"/>
    <w:rsid w:val="460A3EB2"/>
    <w:rsid w:val="46202C1B"/>
    <w:rsid w:val="47C702AC"/>
    <w:rsid w:val="482B6361"/>
    <w:rsid w:val="482E032B"/>
    <w:rsid w:val="48763A80"/>
    <w:rsid w:val="48943F06"/>
    <w:rsid w:val="48EC5AF0"/>
    <w:rsid w:val="494E2307"/>
    <w:rsid w:val="4A2B1F55"/>
    <w:rsid w:val="4A473FD3"/>
    <w:rsid w:val="4AAC19DB"/>
    <w:rsid w:val="4B045CC7"/>
    <w:rsid w:val="4BAB57EF"/>
    <w:rsid w:val="4C5D5CF6"/>
    <w:rsid w:val="4C605AC0"/>
    <w:rsid w:val="4C982217"/>
    <w:rsid w:val="4D150469"/>
    <w:rsid w:val="4D7A191D"/>
    <w:rsid w:val="4DA1334D"/>
    <w:rsid w:val="4DAC0570"/>
    <w:rsid w:val="4DB66785"/>
    <w:rsid w:val="4DD728CB"/>
    <w:rsid w:val="4E2875CB"/>
    <w:rsid w:val="4E345F70"/>
    <w:rsid w:val="4E7914C9"/>
    <w:rsid w:val="4F860A4D"/>
    <w:rsid w:val="50F950DC"/>
    <w:rsid w:val="511C61DF"/>
    <w:rsid w:val="5153495F"/>
    <w:rsid w:val="51913184"/>
    <w:rsid w:val="51F15F26"/>
    <w:rsid w:val="52613729"/>
    <w:rsid w:val="528648C0"/>
    <w:rsid w:val="5312043B"/>
    <w:rsid w:val="535D7D17"/>
    <w:rsid w:val="53CE29C2"/>
    <w:rsid w:val="53CF7B87"/>
    <w:rsid w:val="545F79F1"/>
    <w:rsid w:val="54F9719B"/>
    <w:rsid w:val="550A17D8"/>
    <w:rsid w:val="55350158"/>
    <w:rsid w:val="563D798B"/>
    <w:rsid w:val="5672674B"/>
    <w:rsid w:val="568E30D2"/>
    <w:rsid w:val="57030BD5"/>
    <w:rsid w:val="57827D4C"/>
    <w:rsid w:val="57A001D2"/>
    <w:rsid w:val="57DE6F4C"/>
    <w:rsid w:val="58BD71CE"/>
    <w:rsid w:val="58F76517"/>
    <w:rsid w:val="59253085"/>
    <w:rsid w:val="593A7A7E"/>
    <w:rsid w:val="59440DB8"/>
    <w:rsid w:val="59D6437F"/>
    <w:rsid w:val="59EA4E23"/>
    <w:rsid w:val="59FB5B93"/>
    <w:rsid w:val="5A054C64"/>
    <w:rsid w:val="5AE14D89"/>
    <w:rsid w:val="5B32501E"/>
    <w:rsid w:val="5BAB5397"/>
    <w:rsid w:val="5BC07095"/>
    <w:rsid w:val="5BDB5C7C"/>
    <w:rsid w:val="5BE10DB9"/>
    <w:rsid w:val="5C763BF7"/>
    <w:rsid w:val="5CDD77D2"/>
    <w:rsid w:val="5CE84AF5"/>
    <w:rsid w:val="5CEB6393"/>
    <w:rsid w:val="5CEC66CD"/>
    <w:rsid w:val="5DBE3B11"/>
    <w:rsid w:val="5E940365"/>
    <w:rsid w:val="5F2913F5"/>
    <w:rsid w:val="5F423FD1"/>
    <w:rsid w:val="5F4973A1"/>
    <w:rsid w:val="5F8B566C"/>
    <w:rsid w:val="60041FE2"/>
    <w:rsid w:val="602045A6"/>
    <w:rsid w:val="60504608"/>
    <w:rsid w:val="60557755"/>
    <w:rsid w:val="60687CFB"/>
    <w:rsid w:val="60894991"/>
    <w:rsid w:val="609D1752"/>
    <w:rsid w:val="60AC70A1"/>
    <w:rsid w:val="616109D2"/>
    <w:rsid w:val="61720E31"/>
    <w:rsid w:val="61D2367E"/>
    <w:rsid w:val="627B1F67"/>
    <w:rsid w:val="630319A2"/>
    <w:rsid w:val="633917C5"/>
    <w:rsid w:val="634E4F86"/>
    <w:rsid w:val="638C2DDA"/>
    <w:rsid w:val="63D6002F"/>
    <w:rsid w:val="643028DD"/>
    <w:rsid w:val="64410F8F"/>
    <w:rsid w:val="6457430E"/>
    <w:rsid w:val="64630F05"/>
    <w:rsid w:val="6488096B"/>
    <w:rsid w:val="648A46E4"/>
    <w:rsid w:val="64B62594"/>
    <w:rsid w:val="64F875AA"/>
    <w:rsid w:val="655A2308"/>
    <w:rsid w:val="659B0C36"/>
    <w:rsid w:val="65A92947"/>
    <w:rsid w:val="65B85280"/>
    <w:rsid w:val="66210A68"/>
    <w:rsid w:val="6646463A"/>
    <w:rsid w:val="666F3B91"/>
    <w:rsid w:val="66815672"/>
    <w:rsid w:val="668E172B"/>
    <w:rsid w:val="66D42697"/>
    <w:rsid w:val="66D659BE"/>
    <w:rsid w:val="66E75E1D"/>
    <w:rsid w:val="674A63AC"/>
    <w:rsid w:val="67867E8B"/>
    <w:rsid w:val="68815DFE"/>
    <w:rsid w:val="68B7537B"/>
    <w:rsid w:val="68BE495C"/>
    <w:rsid w:val="6914456A"/>
    <w:rsid w:val="692D1AE1"/>
    <w:rsid w:val="697B284D"/>
    <w:rsid w:val="698C75B8"/>
    <w:rsid w:val="69EB1780"/>
    <w:rsid w:val="69FF522C"/>
    <w:rsid w:val="6A4E3ABD"/>
    <w:rsid w:val="6A9F256B"/>
    <w:rsid w:val="6B560E7C"/>
    <w:rsid w:val="6B7B2FD8"/>
    <w:rsid w:val="6C24541E"/>
    <w:rsid w:val="6CEB7CE9"/>
    <w:rsid w:val="6D1014FE"/>
    <w:rsid w:val="6D6D4BA2"/>
    <w:rsid w:val="6DD469CF"/>
    <w:rsid w:val="6DDD5884"/>
    <w:rsid w:val="6E753D0F"/>
    <w:rsid w:val="6FF375E1"/>
    <w:rsid w:val="701D28B0"/>
    <w:rsid w:val="70383246"/>
    <w:rsid w:val="70A711B4"/>
    <w:rsid w:val="71027B60"/>
    <w:rsid w:val="711D243B"/>
    <w:rsid w:val="71641E18"/>
    <w:rsid w:val="719941B8"/>
    <w:rsid w:val="723467FA"/>
    <w:rsid w:val="73652B14"/>
    <w:rsid w:val="7419550A"/>
    <w:rsid w:val="74363F40"/>
    <w:rsid w:val="74604B19"/>
    <w:rsid w:val="75D91027"/>
    <w:rsid w:val="75D94B83"/>
    <w:rsid w:val="76CF41D8"/>
    <w:rsid w:val="7758524F"/>
    <w:rsid w:val="775F2708"/>
    <w:rsid w:val="778B00FF"/>
    <w:rsid w:val="779571D0"/>
    <w:rsid w:val="782A3DBC"/>
    <w:rsid w:val="7857749F"/>
    <w:rsid w:val="794B3787"/>
    <w:rsid w:val="798474FC"/>
    <w:rsid w:val="79E32474"/>
    <w:rsid w:val="79E81839"/>
    <w:rsid w:val="7A2D6FD8"/>
    <w:rsid w:val="7AA5597C"/>
    <w:rsid w:val="7ADA305B"/>
    <w:rsid w:val="7AF8216E"/>
    <w:rsid w:val="7B0703E4"/>
    <w:rsid w:val="7B0E322E"/>
    <w:rsid w:val="7B114DBF"/>
    <w:rsid w:val="7B5D6256"/>
    <w:rsid w:val="7CE64029"/>
    <w:rsid w:val="7D064A03"/>
    <w:rsid w:val="7D2A03BA"/>
    <w:rsid w:val="7D684ECB"/>
    <w:rsid w:val="7D722620"/>
    <w:rsid w:val="7D7B0C16"/>
    <w:rsid w:val="7D985324"/>
    <w:rsid w:val="7DBB2E3D"/>
    <w:rsid w:val="7E5073C7"/>
    <w:rsid w:val="7E971A7F"/>
    <w:rsid w:val="7EF23159"/>
    <w:rsid w:val="7FB12A0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character" w:default="1" w:styleId="9">
    <w:name w:val="Default Paragraph Font"/>
    <w:qFormat/>
    <w:uiPriority w:val="0"/>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Body Text Indent"/>
    <w:basedOn w:val="1"/>
    <w:qFormat/>
    <w:uiPriority w:val="0"/>
    <w:pPr>
      <w:spacing w:after="0"/>
      <w:ind w:firstLine="480" w:firstLineChars="178"/>
    </w:pPr>
    <w:rPr>
      <w:rFonts w:ascii="Times New Roman" w:hAnsi="Times New Roman"/>
      <w:sz w:val="28"/>
      <w:szCs w:val="2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6">
    <w:name w:val="Body Text First Indent 2"/>
    <w:basedOn w:val="2"/>
    <w:qFormat/>
    <w:uiPriority w:val="0"/>
    <w:pPr>
      <w:ind w:firstLine="210"/>
    </w:pPr>
    <w:rPr>
      <w:sz w:val="21"/>
      <w:szCs w:val="20"/>
    </w:rPr>
  </w:style>
  <w:style w:type="table" w:styleId="8">
    <w:name w:val="Table Grid"/>
    <w:basedOn w:val="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paragraph" w:customStyle="1" w:styleId="11">
    <w:name w:val="Body text|1"/>
    <w:basedOn w:val="1"/>
    <w:qFormat/>
    <w:uiPriority w:val="0"/>
    <w:pPr>
      <w:widowControl w:val="0"/>
      <w:shd w:val="clear" w:color="auto" w:fill="auto"/>
      <w:spacing w:line="379" w:lineRule="auto"/>
      <w:ind w:firstLine="400"/>
    </w:pPr>
    <w:rPr>
      <w:rFonts w:ascii="宋体" w:hAnsi="宋体" w:eastAsia="宋体" w:cs="宋体"/>
      <w:sz w:val="30"/>
      <w:szCs w:val="30"/>
      <w:u w:val="none"/>
      <w:shd w:val="clear" w:color="auto" w:fill="auto"/>
      <w:lang w:val="zh-TW" w:eastAsia="zh-TW" w:bidi="zh-TW"/>
    </w:rPr>
  </w:style>
  <w:style w:type="paragraph" w:customStyle="1" w:styleId="12">
    <w:name w:val="Body text|3"/>
    <w:basedOn w:val="1"/>
    <w:qFormat/>
    <w:uiPriority w:val="0"/>
    <w:pPr>
      <w:widowControl w:val="0"/>
      <w:shd w:val="clear" w:color="auto" w:fill="auto"/>
      <w:spacing w:after="260" w:line="560" w:lineRule="exact"/>
      <w:ind w:firstLine="470"/>
    </w:pPr>
    <w:rPr>
      <w:sz w:val="28"/>
      <w:szCs w:val="28"/>
      <w:u w:val="none"/>
      <w:shd w:val="clear" w:color="auto" w:fill="auto"/>
    </w:rPr>
  </w:style>
  <w:style w:type="paragraph" w:customStyle="1" w:styleId="13">
    <w:name w:val="Body text|2"/>
    <w:basedOn w:val="1"/>
    <w:qFormat/>
    <w:uiPriority w:val="0"/>
    <w:pPr>
      <w:widowControl w:val="0"/>
      <w:shd w:val="clear" w:color="auto" w:fill="auto"/>
      <w:spacing w:line="560" w:lineRule="exact"/>
      <w:ind w:left="80" w:firstLine="640"/>
    </w:pPr>
    <w:rPr>
      <w:rFonts w:ascii="宋体" w:hAnsi="宋体" w:eastAsia="宋体" w:cs="宋体"/>
      <w:sz w:val="30"/>
      <w:szCs w:val="30"/>
      <w:u w:val="none"/>
      <w:shd w:val="clear" w:color="auto" w:fill="auto"/>
      <w:lang w:val="zh-TW" w:eastAsia="zh-TW" w:bidi="zh-TW"/>
    </w:rPr>
  </w:style>
  <w:style w:type="paragraph" w:customStyle="1" w:styleId="14">
    <w:name w:val="章标题"/>
    <w:basedOn w:val="1"/>
    <w:next w:val="15"/>
    <w:qFormat/>
    <w:uiPriority w:val="0"/>
    <w:pPr>
      <w:widowControl/>
      <w:spacing w:before="158" w:beforeLines="0" w:after="153" w:afterLines="0" w:line="323" w:lineRule="atLeast"/>
      <w:ind w:right="-120"/>
      <w:jc w:val="center"/>
      <w:textAlignment w:val="baseline"/>
    </w:pPr>
    <w:rPr>
      <w:color w:val="FF0000"/>
      <w:kern w:val="0"/>
      <w:sz w:val="18"/>
      <w:szCs w:val="18"/>
    </w:rPr>
  </w:style>
  <w:style w:type="paragraph" w:customStyle="1" w:styleId="15">
    <w:name w:val="节标题"/>
    <w:basedOn w:val="1"/>
    <w:next w:val="1"/>
    <w:qFormat/>
    <w:uiPriority w:val="0"/>
    <w:pPr>
      <w:widowControl/>
      <w:spacing w:line="289" w:lineRule="atLeast"/>
      <w:jc w:val="center"/>
      <w:textAlignment w:val="baseline"/>
    </w:pPr>
    <w:rPr>
      <w:color w:val="000000"/>
      <w:kern w:val="0"/>
      <w:sz w:val="28"/>
      <w:szCs w:val="20"/>
      <w:u w:val="none" w:color="00000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1206</Words>
  <Characters>1274</Characters>
  <Lines>7</Lines>
  <Paragraphs>2</Paragraphs>
  <TotalTime>14</TotalTime>
  <ScaleCrop>false</ScaleCrop>
  <LinksUpToDate>false</LinksUpToDate>
  <CharactersWithSpaces>1479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2015-03-20T04:44:00Z</dcterms:created>
  <dc:creator>admin</dc:creator>
  <cp:lastModifiedBy>柒柒柒柒柒</cp:lastModifiedBy>
  <cp:lastPrinted>2026-08-03T01:32:00Z</cp:lastPrinted>
  <dcterms:modified xsi:type="dcterms:W3CDTF">2026-08-06T08:23:56Z</dcterms:modified>
  <dc:title>遂宁市安居区龙眼井区间道路二等工程可行性研究报告编制报价邀请函</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29A367AAAE1D47118D8523D318D4C4C2_13</vt:lpwstr>
  </property>
  <property fmtid="{D5CDD505-2E9C-101B-9397-08002B2CF9AE}" pid="4" name="KSOTemplateDocerSaveRecord">
    <vt:lpwstr>eyJoZGlkIjoiZWEzN2UwMjlkN2NkZTc3N2UzODNmNTQ2ZTA3YmYwYTUiLCJ1c2VySWQiOiI3MDQxNDEwNzMifQ==</vt:lpwstr>
  </property>
</Properties>
</file>