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71FA2EC">
      <w:pPr>
        <w:keepNext w:val="0"/>
        <w:keepLines w:val="0"/>
        <w:pageBreakBefore w:val="0"/>
        <w:kinsoku/>
        <w:overflowPunct/>
        <w:topLinePunct w:val="0"/>
        <w:autoSpaceDE/>
        <w:autoSpaceDN/>
        <w:bidi w:val="0"/>
        <w:snapToGrid/>
        <w:ind w:firstLine="643" w:firstLineChars="200"/>
        <w:jc w:val="center"/>
        <w:rPr>
          <w:rFonts w:hint="eastAsia" w:cs="Times New Roman"/>
          <w:b/>
          <w:bCs/>
          <w:sz w:val="32"/>
          <w:szCs w:val="32"/>
          <w:highlight w:val="none"/>
          <w:lang w:eastAsia="zh-CN"/>
        </w:rPr>
      </w:pPr>
      <w:r>
        <w:rPr>
          <w:rFonts w:hint="eastAsia" w:cs="Times New Roman"/>
          <w:b/>
          <w:bCs/>
          <w:sz w:val="32"/>
          <w:szCs w:val="32"/>
          <w:highlight w:val="none"/>
          <w:lang w:eastAsia="zh-CN"/>
        </w:rPr>
        <w:t>遂宁市安居区凤栖悦府建设项目</w:t>
      </w:r>
    </w:p>
    <w:p w14:paraId="465758F8">
      <w:pPr>
        <w:keepNext w:val="0"/>
        <w:keepLines w:val="0"/>
        <w:pageBreakBefore w:val="0"/>
        <w:kinsoku/>
        <w:overflowPunct/>
        <w:topLinePunct w:val="0"/>
        <w:autoSpaceDE/>
        <w:autoSpaceDN/>
        <w:bidi w:val="0"/>
        <w:snapToGrid/>
        <w:ind w:firstLine="643" w:firstLineChars="200"/>
        <w:jc w:val="center"/>
        <w:rPr>
          <w:rFonts w:hint="eastAsia"/>
          <w:b/>
          <w:bCs/>
          <w:sz w:val="32"/>
          <w:szCs w:val="32"/>
          <w:highlight w:val="none"/>
        </w:rPr>
      </w:pPr>
      <w:r>
        <w:rPr>
          <w:rFonts w:hint="eastAsia"/>
          <w:b/>
          <w:bCs/>
          <w:sz w:val="32"/>
          <w:szCs w:val="32"/>
          <w:highlight w:val="none"/>
          <w:lang w:val="en-US" w:eastAsia="zh-CN"/>
        </w:rPr>
        <w:t>招标代理服务单位</w:t>
      </w:r>
      <w:r>
        <w:rPr>
          <w:rFonts w:hint="eastAsia"/>
          <w:b/>
          <w:bCs/>
          <w:sz w:val="32"/>
          <w:szCs w:val="32"/>
          <w:highlight w:val="none"/>
        </w:rPr>
        <w:t>报价邀请函</w:t>
      </w:r>
    </w:p>
    <w:p w14:paraId="27A44EA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sz w:val="28"/>
          <w:szCs w:val="28"/>
          <w:highlight w:val="none"/>
        </w:rPr>
      </w:pPr>
      <w:r>
        <w:rPr>
          <w:rFonts w:hint="eastAsia"/>
          <w:sz w:val="28"/>
          <w:szCs w:val="28"/>
          <w:highlight w:val="none"/>
        </w:rPr>
        <w:t>各</w:t>
      </w:r>
      <w:r>
        <w:rPr>
          <w:rFonts w:hint="eastAsia"/>
          <w:sz w:val="28"/>
          <w:szCs w:val="28"/>
          <w:highlight w:val="none"/>
          <w:lang w:val="en-US" w:eastAsia="zh-CN"/>
        </w:rPr>
        <w:t>招标代理服务</w:t>
      </w:r>
      <w:r>
        <w:rPr>
          <w:rFonts w:hint="eastAsia"/>
          <w:sz w:val="28"/>
          <w:szCs w:val="28"/>
          <w:highlight w:val="none"/>
        </w:rPr>
        <w:t>单位：</w:t>
      </w:r>
    </w:p>
    <w:p w14:paraId="6B254EA9">
      <w:pPr>
        <w:keepNext w:val="0"/>
        <w:keepLines w:val="0"/>
        <w:pageBreakBefore w:val="0"/>
        <w:kinsoku/>
        <w:wordWrap/>
        <w:overflowPunct/>
        <w:topLinePunct w:val="0"/>
        <w:autoSpaceDE/>
        <w:autoSpaceDN/>
        <w:bidi w:val="0"/>
        <w:snapToGrid/>
        <w:spacing w:line="360" w:lineRule="auto"/>
        <w:ind w:firstLine="560" w:firstLineChars="200"/>
        <w:jc w:val="left"/>
        <w:textAlignment w:val="auto"/>
        <w:rPr>
          <w:rFonts w:hint="eastAsia"/>
          <w:sz w:val="28"/>
          <w:szCs w:val="28"/>
          <w:highlight w:val="none"/>
        </w:rPr>
      </w:pPr>
      <w:r>
        <w:rPr>
          <w:rFonts w:hint="eastAsia"/>
          <w:sz w:val="28"/>
          <w:szCs w:val="28"/>
          <w:highlight w:val="none"/>
        </w:rPr>
        <w:t>我公司即将</w:t>
      </w:r>
      <w:r>
        <w:rPr>
          <w:rFonts w:hint="eastAsia"/>
          <w:sz w:val="28"/>
          <w:szCs w:val="28"/>
          <w:highlight w:val="none"/>
          <w:lang w:eastAsia="zh-CN"/>
        </w:rPr>
        <w:t>启动遂宁市安居区凤栖悦府建设项目</w:t>
      </w:r>
      <w:r>
        <w:rPr>
          <w:rFonts w:hint="eastAsia"/>
          <w:sz w:val="28"/>
          <w:szCs w:val="28"/>
          <w:highlight w:val="none"/>
          <w:lang w:val="en-US" w:eastAsia="zh-CN"/>
        </w:rPr>
        <w:t>招标代理服务</w:t>
      </w:r>
      <w:r>
        <w:rPr>
          <w:rFonts w:hint="eastAsia"/>
          <w:sz w:val="28"/>
          <w:szCs w:val="28"/>
          <w:highlight w:val="none"/>
        </w:rPr>
        <w:t>工作，现诚邀各单位进行报价，工程概况、具体要求及报价表格式如下：</w:t>
      </w:r>
    </w:p>
    <w:p w14:paraId="2062A03F">
      <w:pPr>
        <w:keepNext w:val="0"/>
        <w:keepLines w:val="0"/>
        <w:pageBreakBefore w:val="0"/>
        <w:numPr>
          <w:ilvl w:val="0"/>
          <w:numId w:val="1"/>
        </w:numPr>
        <w:kinsoku/>
        <w:wordWrap/>
        <w:overflowPunct/>
        <w:topLinePunct w:val="0"/>
        <w:autoSpaceDE/>
        <w:autoSpaceDN/>
        <w:bidi w:val="0"/>
        <w:snapToGrid/>
        <w:spacing w:line="360" w:lineRule="auto"/>
        <w:ind w:firstLine="562" w:firstLineChars="200"/>
        <w:textAlignment w:val="auto"/>
        <w:rPr>
          <w:rFonts w:ascii="宋体" w:hAnsi="宋体" w:eastAsia="宋体" w:cs="宋体"/>
          <w:b/>
          <w:bCs/>
          <w:sz w:val="24"/>
          <w:szCs w:val="24"/>
          <w:highlight w:val="none"/>
        </w:rPr>
      </w:pPr>
      <w:r>
        <w:rPr>
          <w:rFonts w:hint="eastAsia"/>
          <w:b/>
          <w:bCs/>
          <w:sz w:val="28"/>
          <w:szCs w:val="28"/>
          <w:highlight w:val="none"/>
        </w:rPr>
        <w:t>工程概况</w:t>
      </w:r>
    </w:p>
    <w:p w14:paraId="0E6774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highlight w:val="none"/>
          <w:lang w:val="en-US" w:eastAsia="zh-CN"/>
        </w:rPr>
      </w:pPr>
      <w:r>
        <w:rPr>
          <w:rFonts w:hint="eastAsia"/>
          <w:sz w:val="28"/>
          <w:szCs w:val="28"/>
          <w:highlight w:val="none"/>
          <w:lang w:val="en-US" w:eastAsia="zh-CN"/>
        </w:rPr>
        <w:t>项目总投资约2.4亿元。总占地面积约60.亩:最高建筑高度住宅不大于60米，商业不大于27米，绿地率不小于35%。容租率不太于1.8，总建筑面积约97855平方米，主要建设住宅、商业，同时配套建设小区道路、景观绿化、管网工程等及其他相关附属设施。</w:t>
      </w:r>
    </w:p>
    <w:p w14:paraId="71EBA021">
      <w:pPr>
        <w:keepNext w:val="0"/>
        <w:keepLines w:val="0"/>
        <w:pageBreakBefore w:val="0"/>
        <w:numPr>
          <w:ilvl w:val="0"/>
          <w:numId w:val="1"/>
        </w:numPr>
        <w:kinsoku/>
        <w:wordWrap/>
        <w:overflowPunct/>
        <w:topLinePunct w:val="0"/>
        <w:autoSpaceDE/>
        <w:autoSpaceDN/>
        <w:bidi w:val="0"/>
        <w:adjustRightInd/>
        <w:snapToGrid/>
        <w:spacing w:line="360" w:lineRule="auto"/>
        <w:ind w:left="0" w:leftChars="0" w:firstLine="562" w:firstLineChars="200"/>
        <w:textAlignment w:val="auto"/>
        <w:rPr>
          <w:rFonts w:hint="eastAsia"/>
          <w:b/>
          <w:bCs/>
          <w:sz w:val="28"/>
          <w:szCs w:val="28"/>
          <w:highlight w:val="none"/>
        </w:rPr>
      </w:pPr>
      <w:r>
        <w:rPr>
          <w:rFonts w:hint="eastAsia"/>
          <w:b/>
          <w:bCs/>
          <w:sz w:val="28"/>
          <w:szCs w:val="28"/>
          <w:highlight w:val="none"/>
        </w:rPr>
        <w:t>资质要求</w:t>
      </w:r>
    </w:p>
    <w:p w14:paraId="76D29F72">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0" w:leftChars="0" w:firstLine="560" w:firstLineChars="200"/>
        <w:jc w:val="both"/>
        <w:textAlignment w:val="auto"/>
        <w:rPr>
          <w:rFonts w:hint="eastAsia" w:ascii="Calibri" w:hAnsi="Calibri" w:eastAsia="宋体" w:cs="Times New Roman"/>
          <w:kern w:val="2"/>
          <w:sz w:val="28"/>
          <w:szCs w:val="28"/>
          <w:highlight w:val="none"/>
          <w:lang w:val="en-US" w:eastAsia="zh-CN" w:bidi="ar-SA"/>
        </w:rPr>
      </w:pPr>
      <w:r>
        <w:rPr>
          <w:rFonts w:hint="eastAsia" w:ascii="Calibri" w:hAnsi="Calibri" w:eastAsia="宋体" w:cs="Times New Roman"/>
          <w:kern w:val="2"/>
          <w:sz w:val="28"/>
          <w:szCs w:val="28"/>
          <w:highlight w:val="none"/>
          <w:lang w:val="en-US" w:eastAsia="zh-CN" w:bidi="ar-SA"/>
        </w:rPr>
        <w:t>具备独立法人资格，持有有效营业执照；</w:t>
      </w:r>
    </w:p>
    <w:p w14:paraId="4DC028F7">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0" w:leftChars="0" w:firstLine="560" w:firstLineChars="200"/>
        <w:jc w:val="both"/>
        <w:textAlignment w:val="auto"/>
        <w:rPr>
          <w:rFonts w:hint="eastAsia" w:ascii="Calibri" w:hAnsi="Calibri" w:eastAsia="宋体" w:cs="Times New Roman"/>
          <w:kern w:val="2"/>
          <w:sz w:val="28"/>
          <w:szCs w:val="28"/>
          <w:highlight w:val="none"/>
          <w:lang w:val="en-US" w:eastAsia="zh-CN" w:bidi="ar-SA"/>
        </w:rPr>
      </w:pPr>
      <w:r>
        <w:rPr>
          <w:rFonts w:hint="eastAsia" w:ascii="Calibri" w:hAnsi="Calibri" w:eastAsia="宋体" w:cs="Times New Roman"/>
          <w:kern w:val="2"/>
          <w:sz w:val="28"/>
          <w:szCs w:val="28"/>
          <w:highlight w:val="none"/>
          <w:lang w:val="en-US" w:eastAsia="zh-CN" w:bidi="ar-SA"/>
        </w:rPr>
        <w:t>具备招标代理从业能力；</w:t>
      </w:r>
    </w:p>
    <w:p w14:paraId="6CECC4E3">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0" w:leftChars="0" w:firstLine="560" w:firstLineChars="200"/>
        <w:jc w:val="both"/>
        <w:textAlignment w:val="auto"/>
        <w:rPr>
          <w:rFonts w:hint="eastAsia" w:ascii="Calibri" w:hAnsi="Calibri" w:eastAsia="宋体" w:cs="Times New Roman"/>
          <w:kern w:val="2"/>
          <w:sz w:val="28"/>
          <w:szCs w:val="28"/>
          <w:highlight w:val="none"/>
          <w:lang w:val="en-US" w:eastAsia="zh-CN" w:bidi="ar-SA"/>
        </w:rPr>
      </w:pPr>
      <w:r>
        <w:rPr>
          <w:rFonts w:hint="eastAsia" w:ascii="Calibri" w:hAnsi="Calibri" w:eastAsia="宋体" w:cs="Times New Roman"/>
          <w:kern w:val="2"/>
          <w:sz w:val="28"/>
          <w:szCs w:val="28"/>
          <w:highlight w:val="none"/>
          <w:lang w:val="en-US" w:eastAsia="zh-CN" w:bidi="ar-SA"/>
        </w:rPr>
        <w:t>近3年无不良信用记录（“信用中国”查询）；</w:t>
      </w:r>
    </w:p>
    <w:p w14:paraId="094684EC">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0" w:leftChars="0" w:firstLine="560" w:firstLineChars="200"/>
        <w:jc w:val="both"/>
        <w:textAlignment w:val="auto"/>
        <w:rPr>
          <w:rFonts w:hint="eastAsia" w:ascii="Calibri" w:hAnsi="Calibri" w:eastAsia="宋体" w:cs="Times New Roman"/>
          <w:kern w:val="2"/>
          <w:sz w:val="28"/>
          <w:szCs w:val="28"/>
          <w:highlight w:val="none"/>
          <w:lang w:val="en-US" w:eastAsia="zh-CN" w:bidi="ar-SA"/>
        </w:rPr>
      </w:pPr>
      <w:r>
        <w:rPr>
          <w:rFonts w:hint="eastAsia" w:ascii="Calibri" w:hAnsi="Calibri" w:eastAsia="宋体" w:cs="Times New Roman"/>
          <w:kern w:val="2"/>
          <w:sz w:val="28"/>
          <w:szCs w:val="28"/>
          <w:highlight w:val="none"/>
          <w:lang w:val="en-US" w:eastAsia="zh-CN" w:bidi="ar-SA"/>
        </w:rPr>
        <w:t>具有类似项目（同规模或同类型）招标代理业绩</w:t>
      </w:r>
      <w:r>
        <w:rPr>
          <w:rFonts w:hint="eastAsia" w:ascii="Calibri" w:hAnsi="Calibri" w:cs="Times New Roman"/>
          <w:kern w:val="2"/>
          <w:sz w:val="28"/>
          <w:szCs w:val="28"/>
          <w:highlight w:val="none"/>
          <w:lang w:val="en-US" w:eastAsia="zh-CN" w:bidi="ar-SA"/>
        </w:rPr>
        <w:t>。</w:t>
      </w:r>
    </w:p>
    <w:p w14:paraId="7E03CA37">
      <w:pPr>
        <w:keepNext w:val="0"/>
        <w:keepLines w:val="0"/>
        <w:pageBreakBefore w:val="0"/>
        <w:kinsoku/>
        <w:wordWrap/>
        <w:overflowPunct/>
        <w:topLinePunct w:val="0"/>
        <w:autoSpaceDE/>
        <w:autoSpaceDN/>
        <w:bidi w:val="0"/>
        <w:snapToGrid/>
        <w:spacing w:line="360" w:lineRule="auto"/>
        <w:ind w:firstLine="562" w:firstLineChars="200"/>
        <w:textAlignment w:val="auto"/>
        <w:rPr>
          <w:rFonts w:hint="eastAsia" w:eastAsia="宋体"/>
          <w:b/>
          <w:bCs/>
          <w:sz w:val="28"/>
          <w:szCs w:val="28"/>
          <w:highlight w:val="none"/>
          <w:lang w:val="en-US" w:eastAsia="zh-CN"/>
        </w:rPr>
      </w:pPr>
      <w:r>
        <w:rPr>
          <w:rFonts w:hint="eastAsia"/>
          <w:b/>
          <w:bCs/>
          <w:sz w:val="28"/>
          <w:szCs w:val="28"/>
          <w:highlight w:val="none"/>
        </w:rPr>
        <w:t>三、报价要求及其他</w:t>
      </w:r>
      <w:r>
        <w:rPr>
          <w:rFonts w:hint="eastAsia"/>
          <w:b/>
          <w:bCs/>
          <w:sz w:val="28"/>
          <w:szCs w:val="28"/>
          <w:highlight w:val="none"/>
          <w:lang w:val="en-US" w:eastAsia="zh-CN"/>
        </w:rPr>
        <w:t>要求</w:t>
      </w:r>
    </w:p>
    <w:p w14:paraId="39EC060D">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firstLine="560" w:firstLineChars="200"/>
        <w:jc w:val="left"/>
        <w:textAlignment w:val="auto"/>
        <w:rPr>
          <w:rFonts w:hint="eastAsia" w:ascii="Calibri" w:hAnsi="Calibri" w:eastAsia="宋体" w:cs="Times New Roman"/>
          <w:kern w:val="2"/>
          <w:sz w:val="28"/>
          <w:szCs w:val="28"/>
          <w:highlight w:val="none"/>
          <w:lang w:val="en-US" w:eastAsia="zh-CN" w:bidi="ar-SA"/>
        </w:rPr>
      </w:pPr>
      <w:r>
        <w:rPr>
          <w:rFonts w:hint="eastAsia" w:ascii="Calibri" w:hAnsi="Calibri" w:eastAsia="宋体" w:cs="Times New Roman"/>
          <w:kern w:val="2"/>
          <w:sz w:val="28"/>
          <w:szCs w:val="28"/>
          <w:highlight w:val="none"/>
          <w:lang w:val="en-US" w:eastAsia="zh-CN" w:bidi="ar-SA"/>
        </w:rPr>
        <w:t>本次招标范围</w:t>
      </w:r>
      <w:r>
        <w:rPr>
          <w:rFonts w:hint="eastAsia" w:cs="Times New Roman"/>
          <w:kern w:val="2"/>
          <w:sz w:val="28"/>
          <w:szCs w:val="28"/>
          <w:highlight w:val="none"/>
          <w:lang w:val="en-US" w:eastAsia="zh-CN" w:bidi="ar-SA"/>
        </w:rPr>
        <w:t>为</w:t>
      </w:r>
      <w:r>
        <w:rPr>
          <w:rFonts w:hint="eastAsia" w:ascii="Calibri" w:hAnsi="Calibri" w:eastAsia="宋体" w:cs="Times New Roman"/>
          <w:kern w:val="2"/>
          <w:sz w:val="28"/>
          <w:szCs w:val="28"/>
          <w:highlight w:val="none"/>
          <w:lang w:val="en-US" w:eastAsia="zh-CN" w:bidi="ar-SA"/>
        </w:rPr>
        <w:t>现场项目劳务、专业、采购等专项分包单位招标代理服务</w:t>
      </w:r>
      <w:r>
        <w:rPr>
          <w:rFonts w:hint="eastAsia" w:cs="Times New Roman"/>
          <w:kern w:val="2"/>
          <w:sz w:val="28"/>
          <w:szCs w:val="28"/>
          <w:highlight w:val="none"/>
          <w:lang w:val="en-US" w:eastAsia="zh-CN" w:bidi="ar-SA"/>
        </w:rPr>
        <w:t>，</w:t>
      </w:r>
      <w:r>
        <w:rPr>
          <w:rFonts w:hint="eastAsia" w:ascii="Calibri" w:hAnsi="Calibri" w:eastAsia="宋体" w:cs="Times New Roman"/>
          <w:kern w:val="2"/>
          <w:sz w:val="28"/>
          <w:szCs w:val="28"/>
          <w:highlight w:val="none"/>
          <w:lang w:val="en-US" w:eastAsia="zh-CN" w:bidi="ar-SA"/>
        </w:rPr>
        <w:t>包含但不限于</w:t>
      </w:r>
      <w:r>
        <w:rPr>
          <w:rFonts w:hint="eastAsia" w:cs="Times New Roman"/>
          <w:kern w:val="2"/>
          <w:sz w:val="28"/>
          <w:szCs w:val="28"/>
          <w:highlight w:val="none"/>
          <w:lang w:val="en-US" w:eastAsia="zh-CN" w:bidi="ar-SA"/>
        </w:rPr>
        <w:t>以下内容：</w:t>
      </w:r>
    </w:p>
    <w:p w14:paraId="3BD36FC2">
      <w:pPr>
        <w:pStyle w:val="7"/>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firstLine="560" w:firstLineChars="200"/>
        <w:textAlignment w:val="auto"/>
        <w:rPr>
          <w:rFonts w:hint="eastAsia" w:ascii="Calibri" w:hAnsi="Calibri" w:eastAsia="宋体" w:cs="Times New Roman"/>
          <w:kern w:val="2"/>
          <w:sz w:val="28"/>
          <w:szCs w:val="28"/>
          <w:highlight w:val="none"/>
          <w:lang w:val="en-US" w:eastAsia="zh-CN" w:bidi="ar-SA"/>
        </w:rPr>
      </w:pPr>
      <w:r>
        <w:rPr>
          <w:rFonts w:hint="eastAsia" w:ascii="Calibri" w:hAnsi="Calibri" w:eastAsia="宋体" w:cs="Times New Roman"/>
          <w:kern w:val="2"/>
          <w:sz w:val="28"/>
          <w:szCs w:val="28"/>
          <w:highlight w:val="none"/>
          <w:lang w:val="en-US" w:eastAsia="zh-CN" w:bidi="ar-SA"/>
        </w:rPr>
        <w:t>前期准备：协助招标人办理招标备案手续，发布招标公告/发出投标邀请。</w:t>
      </w:r>
    </w:p>
    <w:p w14:paraId="590BE80F">
      <w:pPr>
        <w:pStyle w:val="7"/>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firstLine="560" w:firstLineChars="200"/>
        <w:textAlignment w:val="auto"/>
        <w:rPr>
          <w:rFonts w:hint="eastAsia" w:ascii="Calibri" w:hAnsi="Calibri" w:eastAsia="宋体" w:cs="Times New Roman"/>
          <w:kern w:val="2"/>
          <w:sz w:val="28"/>
          <w:szCs w:val="28"/>
          <w:highlight w:val="none"/>
          <w:lang w:val="en-US" w:eastAsia="zh-CN" w:bidi="ar-SA"/>
        </w:rPr>
      </w:pPr>
      <w:r>
        <w:rPr>
          <w:rFonts w:hint="eastAsia" w:ascii="Calibri" w:hAnsi="Calibri" w:eastAsia="宋体" w:cs="Times New Roman"/>
          <w:kern w:val="2"/>
          <w:sz w:val="28"/>
          <w:szCs w:val="28"/>
          <w:highlight w:val="none"/>
          <w:lang w:val="en-US" w:eastAsia="zh-CN" w:bidi="ar-SA"/>
        </w:rPr>
        <w:t>文件编制：编制资格预审文件、招标文件（含工程量清单核对配合、控制价对接等），并组织专家论证。</w:t>
      </w:r>
    </w:p>
    <w:p w14:paraId="12DCD6B6">
      <w:pPr>
        <w:pStyle w:val="7"/>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firstLine="560" w:firstLineChars="200"/>
        <w:textAlignment w:val="auto"/>
        <w:rPr>
          <w:rFonts w:hint="eastAsia" w:ascii="Calibri" w:hAnsi="Calibri" w:eastAsia="宋体" w:cs="Times New Roman"/>
          <w:kern w:val="2"/>
          <w:sz w:val="28"/>
          <w:szCs w:val="28"/>
          <w:highlight w:val="none"/>
          <w:lang w:val="en-US" w:eastAsia="zh-CN" w:bidi="ar-SA"/>
        </w:rPr>
      </w:pPr>
      <w:r>
        <w:rPr>
          <w:rFonts w:hint="eastAsia" w:ascii="Calibri" w:hAnsi="Calibri" w:eastAsia="宋体" w:cs="Times New Roman"/>
          <w:kern w:val="2"/>
          <w:sz w:val="28"/>
          <w:szCs w:val="28"/>
          <w:highlight w:val="none"/>
          <w:lang w:val="en-US" w:eastAsia="zh-CN" w:bidi="ar-SA"/>
        </w:rPr>
        <w:t>流程组织：组织现场踏勘、答疑会；接收投标文件；组织开标会议。</w:t>
      </w:r>
    </w:p>
    <w:p w14:paraId="43C77630">
      <w:pPr>
        <w:pStyle w:val="7"/>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firstLine="560" w:firstLineChars="200"/>
        <w:textAlignment w:val="auto"/>
        <w:rPr>
          <w:rFonts w:hint="eastAsia" w:ascii="Calibri" w:hAnsi="Calibri" w:eastAsia="宋体" w:cs="Times New Roman"/>
          <w:kern w:val="2"/>
          <w:sz w:val="28"/>
          <w:szCs w:val="28"/>
          <w:highlight w:val="none"/>
          <w:lang w:val="en-US" w:eastAsia="zh-CN" w:bidi="ar-SA"/>
        </w:rPr>
      </w:pPr>
      <w:r>
        <w:rPr>
          <w:rFonts w:hint="eastAsia" w:ascii="Calibri" w:hAnsi="Calibri" w:eastAsia="宋体" w:cs="Times New Roman"/>
          <w:kern w:val="2"/>
          <w:sz w:val="28"/>
          <w:szCs w:val="28"/>
          <w:highlight w:val="none"/>
          <w:lang w:val="en-US" w:eastAsia="zh-CN" w:bidi="ar-SA"/>
        </w:rPr>
        <w:t>评标协助：抽取专家、组织评标委员会、协助评标、汇总评标报告。</w:t>
      </w:r>
    </w:p>
    <w:p w14:paraId="1D5D4A42">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firstLine="560" w:firstLineChars="200"/>
        <w:textAlignment w:val="auto"/>
        <w:rPr>
          <w:rFonts w:hint="eastAsia" w:ascii="宋体" w:hAnsi="宋体" w:eastAsia="宋体" w:cs="宋体"/>
          <w:sz w:val="28"/>
          <w:szCs w:val="28"/>
          <w:highlight w:val="none"/>
          <w:lang w:eastAsia="zh-CN"/>
        </w:rPr>
      </w:pPr>
      <w:r>
        <w:rPr>
          <w:rFonts w:hint="eastAsia" w:ascii="Calibri" w:hAnsi="Calibri" w:cs="Times New Roman"/>
          <w:kern w:val="2"/>
          <w:sz w:val="28"/>
          <w:szCs w:val="28"/>
          <w:highlight w:val="none"/>
          <w:lang w:val="en-US" w:eastAsia="zh-CN" w:bidi="ar-SA"/>
        </w:rPr>
        <w:t>5.</w:t>
      </w:r>
      <w:r>
        <w:rPr>
          <w:rFonts w:hint="eastAsia" w:ascii="Calibri" w:hAnsi="Calibri" w:eastAsia="宋体" w:cs="Times New Roman"/>
          <w:kern w:val="2"/>
          <w:sz w:val="28"/>
          <w:szCs w:val="28"/>
          <w:highlight w:val="none"/>
          <w:lang w:val="en-US" w:eastAsia="zh-CN" w:bidi="ar-SA"/>
        </w:rPr>
        <w:t>后期工作：发布中标公示、发出中标通知书、协助合同签订、整理移交全套招标档案（含电子档案）。</w:t>
      </w:r>
    </w:p>
    <w:p w14:paraId="257422EF">
      <w:pPr>
        <w:keepNext w:val="0"/>
        <w:keepLines w:val="0"/>
        <w:pageBreakBefore w:val="0"/>
        <w:numPr>
          <w:ilvl w:val="0"/>
          <w:numId w:val="0"/>
        </w:numPr>
        <w:kinsoku/>
        <w:wordWrap/>
        <w:overflowPunct/>
        <w:topLinePunct w:val="0"/>
        <w:autoSpaceDE/>
        <w:autoSpaceDN/>
        <w:bidi w:val="0"/>
        <w:snapToGrid/>
        <w:spacing w:line="360" w:lineRule="auto"/>
        <w:ind w:firstLine="562" w:firstLineChars="200"/>
        <w:jc w:val="left"/>
        <w:textAlignment w:val="auto"/>
        <w:rPr>
          <w:rFonts w:hint="eastAsia" w:ascii="Calibri" w:hAnsi="Calibri" w:eastAsia="宋体" w:cs="Times New Roman"/>
          <w:b/>
          <w:bCs/>
          <w:sz w:val="28"/>
          <w:szCs w:val="28"/>
          <w:highlight w:val="none"/>
          <w:lang w:val="en-US" w:eastAsia="zh-CN"/>
        </w:rPr>
      </w:pPr>
      <w:r>
        <w:rPr>
          <w:rFonts w:hint="eastAsia" w:cs="Times New Roman"/>
          <w:b/>
          <w:bCs/>
          <w:sz w:val="28"/>
          <w:szCs w:val="28"/>
          <w:highlight w:val="none"/>
          <w:lang w:val="en-US" w:eastAsia="zh-CN"/>
        </w:rPr>
        <w:t>四、</w:t>
      </w:r>
      <w:r>
        <w:rPr>
          <w:rFonts w:hint="eastAsia" w:ascii="Calibri" w:hAnsi="Calibri" w:eastAsia="宋体" w:cs="Times New Roman"/>
          <w:b/>
          <w:bCs/>
          <w:sz w:val="28"/>
          <w:szCs w:val="28"/>
          <w:highlight w:val="none"/>
          <w:lang w:val="en-US" w:eastAsia="zh-CN"/>
        </w:rPr>
        <w:t>中选单位确定方式</w:t>
      </w:r>
      <w:r>
        <w:rPr>
          <w:rFonts w:hint="eastAsia" w:cs="Times New Roman"/>
          <w:b/>
          <w:bCs/>
          <w:sz w:val="28"/>
          <w:szCs w:val="28"/>
          <w:highlight w:val="none"/>
          <w:lang w:val="en-US" w:eastAsia="zh-CN"/>
        </w:rPr>
        <w:t>及支付方式</w:t>
      </w:r>
      <w:r>
        <w:rPr>
          <w:rFonts w:hint="eastAsia" w:ascii="Calibri" w:hAnsi="Calibri" w:eastAsia="宋体" w:cs="Times New Roman"/>
          <w:b/>
          <w:bCs/>
          <w:sz w:val="28"/>
          <w:szCs w:val="28"/>
          <w:highlight w:val="none"/>
          <w:lang w:val="en-US" w:eastAsia="zh-CN"/>
        </w:rPr>
        <w:t>：</w:t>
      </w:r>
    </w:p>
    <w:p w14:paraId="6127539F">
      <w:pPr>
        <w:keepNext w:val="0"/>
        <w:keepLines w:val="0"/>
        <w:pageBreakBefore w:val="0"/>
        <w:widowControl w:val="0"/>
        <w:numPr>
          <w:ilvl w:val="0"/>
          <w:numId w:val="0"/>
        </w:numPr>
        <w:tabs>
          <w:tab w:val="left" w:pos="5040"/>
        </w:tabs>
        <w:kinsoku/>
        <w:wordWrap/>
        <w:overflowPunct/>
        <w:topLinePunct w:val="0"/>
        <w:autoSpaceDE w:val="0"/>
        <w:autoSpaceDN w:val="0"/>
        <w:bidi w:val="0"/>
        <w:adjustRightInd w:val="0"/>
        <w:snapToGrid/>
        <w:spacing w:beforeAutospacing="0" w:afterAutospacing="0" w:line="360" w:lineRule="auto"/>
        <w:ind w:leftChars="0" w:firstLine="560" w:firstLineChars="200"/>
        <w:jc w:val="both"/>
        <w:textAlignment w:val="auto"/>
        <w:rPr>
          <w:rFonts w:hint="eastAsia" w:ascii="Calibri" w:hAnsi="Calibri" w:eastAsia="宋体" w:cs="Times New Roman"/>
          <w:sz w:val="28"/>
          <w:szCs w:val="28"/>
          <w:highlight w:val="none"/>
          <w:lang w:val="en-US" w:eastAsia="zh-CN"/>
        </w:rPr>
      </w:pPr>
      <w:r>
        <w:rPr>
          <w:rFonts w:hint="eastAsia"/>
          <w:sz w:val="28"/>
          <w:szCs w:val="28"/>
          <w:highlight w:val="none"/>
          <w:lang w:val="en-US" w:eastAsia="zh-CN"/>
        </w:rPr>
        <w:t>1.投标人根据《发改价格〔2015〕299号》，招标代理服务费实行市场调节价，由委托人与代理机构协商确定。本项目为便于比价，参考计价格〔2002〕1980号及发改价格〔2011〕534号差额定率累进标准测算基准价</w:t>
      </w:r>
      <w:bookmarkStart w:id="0" w:name="_GoBack"/>
      <w:bookmarkEnd w:id="0"/>
      <w:r>
        <w:rPr>
          <w:rFonts w:hint="eastAsia"/>
          <w:sz w:val="28"/>
          <w:szCs w:val="28"/>
          <w:highlight w:val="none"/>
          <w:lang w:val="en-US" w:eastAsia="zh-CN"/>
        </w:rPr>
        <w:t>（仅作为议价基数，不作为强制费率），在此基础上基准费率下浮20％作为控制价。投标人报</w:t>
      </w:r>
      <w:r>
        <w:rPr>
          <w:rFonts w:hint="eastAsia" w:cs="Times New Roman"/>
          <w:sz w:val="28"/>
          <w:szCs w:val="28"/>
          <w:highlight w:val="none"/>
          <w:lang w:val="en-US" w:eastAsia="zh-CN"/>
        </w:rPr>
        <w:t>下浮比例（百分比）</w:t>
      </w:r>
      <w:r>
        <w:rPr>
          <w:rFonts w:hint="eastAsia"/>
          <w:sz w:val="28"/>
          <w:szCs w:val="28"/>
          <w:highlight w:val="none"/>
          <w:lang w:val="en-US" w:eastAsia="zh-CN"/>
        </w:rPr>
        <w:t>，</w:t>
      </w:r>
      <w:r>
        <w:rPr>
          <w:rFonts w:hint="eastAsia" w:cs="Times New Roman"/>
          <w:sz w:val="28"/>
          <w:szCs w:val="28"/>
          <w:highlight w:val="none"/>
          <w:lang w:val="en-US" w:eastAsia="zh-CN"/>
        </w:rPr>
        <w:t>下浮比例最高的单位作为中选单位，并签订招标代理服务合同。</w:t>
      </w:r>
      <w:r>
        <w:rPr>
          <w:rFonts w:hint="eastAsia" w:ascii="宋体" w:hAnsi="宋体" w:eastAsia="宋体" w:cs="宋体"/>
          <w:sz w:val="28"/>
          <w:szCs w:val="28"/>
          <w:highlight w:val="none"/>
          <w:lang w:eastAsia="zh-CN"/>
        </w:rPr>
        <w:t>若开选时，参选单位不足三家或资格审查通过不足三家，则视为本次比选无效</w:t>
      </w:r>
      <w:r>
        <w:rPr>
          <w:rFonts w:hint="eastAsia" w:ascii="宋体" w:hAnsi="宋体" w:cs="宋体"/>
          <w:sz w:val="28"/>
          <w:szCs w:val="28"/>
          <w:highlight w:val="none"/>
          <w:lang w:val="en-US" w:eastAsia="zh-CN"/>
        </w:rPr>
        <w:t>。（若出现两家及以上单位报价相同则采取抽乒乓球方式确定中选单位，抽取方式：在密闭箱内放入与参与抽取的比选申请人相同数量的乒乓球，且乒乓球在密闭箱中抓取号球，由抽到号球1的单位中选。）</w:t>
      </w:r>
    </w:p>
    <w:p w14:paraId="41C1428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firstLine="280" w:firstLineChars="100"/>
        <w:jc w:val="left"/>
        <w:textAlignment w:val="auto"/>
        <w:rPr>
          <w:rFonts w:hint="eastAsia" w:ascii="宋体" w:hAnsi="宋体" w:cs="宋体"/>
          <w:sz w:val="28"/>
          <w:szCs w:val="28"/>
          <w:highlight w:val="none"/>
        </w:rPr>
      </w:pPr>
      <w:r>
        <w:rPr>
          <w:rFonts w:hint="eastAsia" w:cs="Times New Roman"/>
          <w:sz w:val="28"/>
          <w:szCs w:val="28"/>
          <w:highlight w:val="none"/>
          <w:lang w:val="en-US" w:eastAsia="zh-CN"/>
        </w:rPr>
        <w:t>2.</w:t>
      </w:r>
      <w:r>
        <w:rPr>
          <w:rFonts w:hint="eastAsia" w:ascii="Calibri" w:hAnsi="Calibri" w:eastAsia="宋体" w:cs="Times New Roman"/>
          <w:sz w:val="28"/>
          <w:szCs w:val="28"/>
          <w:highlight w:val="none"/>
          <w:lang w:val="en-US" w:eastAsia="zh-CN"/>
        </w:rPr>
        <w:t>支付方式</w:t>
      </w:r>
      <w:r>
        <w:rPr>
          <w:rFonts w:hint="eastAsia" w:ascii="宋体" w:hAnsi="宋体" w:eastAsia="宋体" w:cs="宋体"/>
          <w:sz w:val="28"/>
          <w:szCs w:val="28"/>
          <w:highlight w:val="none"/>
          <w:lang w:val="en-US" w:eastAsia="zh-CN"/>
        </w:rPr>
        <w:t>：</w:t>
      </w:r>
      <w:r>
        <w:rPr>
          <w:rFonts w:hint="eastAsia" w:ascii="宋体" w:hAnsi="宋体" w:cs="宋体"/>
          <w:sz w:val="28"/>
          <w:szCs w:val="28"/>
          <w:highlight w:val="none"/>
          <w:lang w:val="en-US" w:eastAsia="zh-CN"/>
        </w:rPr>
        <w:t>由拟招标项目的中标单位在领取中标通知书前一次性支付服务费</w:t>
      </w:r>
      <w:r>
        <w:rPr>
          <w:rFonts w:hint="eastAsia" w:ascii="宋体" w:hAnsi="宋体" w:cs="宋体"/>
          <w:sz w:val="28"/>
          <w:szCs w:val="28"/>
          <w:highlight w:val="none"/>
          <w:lang w:eastAsia="zh-CN"/>
        </w:rPr>
        <w:t>。</w:t>
      </w:r>
    </w:p>
    <w:p w14:paraId="7CF4C40C">
      <w:pPr>
        <w:pStyle w:val="7"/>
        <w:keepNext w:val="0"/>
        <w:keepLines w:val="0"/>
        <w:pageBreakBefore w:val="0"/>
        <w:widowControl/>
        <w:numPr>
          <w:ilvl w:val="0"/>
          <w:numId w:val="0"/>
        </w:numPr>
        <w:suppressLineNumbers w:val="0"/>
        <w:kinsoku/>
        <w:wordWrap/>
        <w:overflowPunct/>
        <w:topLinePunct w:val="0"/>
        <w:bidi w:val="0"/>
        <w:snapToGrid/>
        <w:spacing w:before="0" w:beforeAutospacing="0" w:after="0" w:afterAutospacing="0" w:line="240" w:lineRule="auto"/>
        <w:ind w:left="0" w:leftChars="0" w:firstLine="562" w:firstLineChars="200"/>
        <w:textAlignment w:val="auto"/>
        <w:rPr>
          <w:rFonts w:hint="eastAsia" w:ascii="宋体" w:hAnsi="宋体" w:eastAsia="宋体" w:cs="宋体"/>
          <w:b/>
          <w:bCs/>
          <w:kern w:val="2"/>
          <w:sz w:val="28"/>
          <w:szCs w:val="28"/>
          <w:highlight w:val="none"/>
          <w:lang w:val="en-US" w:eastAsia="zh-CN" w:bidi="ar-SA"/>
        </w:rPr>
      </w:pPr>
      <w:r>
        <w:rPr>
          <w:rFonts w:hint="eastAsia" w:cs="宋体"/>
          <w:b/>
          <w:bCs/>
          <w:kern w:val="2"/>
          <w:sz w:val="28"/>
          <w:szCs w:val="28"/>
          <w:highlight w:val="none"/>
          <w:lang w:val="en-US" w:eastAsia="zh-CN" w:bidi="ar-SA"/>
        </w:rPr>
        <w:t>五</w:t>
      </w:r>
      <w:r>
        <w:rPr>
          <w:rFonts w:hint="eastAsia" w:ascii="宋体" w:hAnsi="宋体" w:eastAsia="宋体" w:cs="宋体"/>
          <w:b/>
          <w:bCs/>
          <w:kern w:val="2"/>
          <w:sz w:val="28"/>
          <w:szCs w:val="28"/>
          <w:highlight w:val="none"/>
          <w:lang w:val="en-US" w:eastAsia="zh-CN" w:bidi="ar-SA"/>
        </w:rPr>
        <w:t>、投标文件要求</w:t>
      </w:r>
    </w:p>
    <w:p w14:paraId="6BB25F9B">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textAlignment w:val="auto"/>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投标表</w:t>
      </w:r>
      <w:r>
        <w:rPr>
          <w:rFonts w:hint="eastAsia" w:cs="宋体"/>
          <w:kern w:val="2"/>
          <w:sz w:val="28"/>
          <w:szCs w:val="28"/>
          <w:highlight w:val="none"/>
          <w:lang w:val="en-US" w:eastAsia="zh-CN" w:bidi="ar-SA"/>
        </w:rPr>
        <w:t>（详见附件1）</w:t>
      </w:r>
      <w:r>
        <w:rPr>
          <w:rFonts w:hint="eastAsia" w:ascii="宋体" w:hAnsi="宋体" w:eastAsia="宋体" w:cs="宋体"/>
          <w:kern w:val="2"/>
          <w:sz w:val="28"/>
          <w:szCs w:val="28"/>
          <w:highlight w:val="none"/>
          <w:lang w:val="en-US" w:eastAsia="zh-CN" w:bidi="ar-SA"/>
        </w:rPr>
        <w:t>；</w:t>
      </w:r>
    </w:p>
    <w:p w14:paraId="163BC859">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textAlignment w:val="auto"/>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法定代表人身份证明及授权委托书</w:t>
      </w:r>
      <w:r>
        <w:rPr>
          <w:rFonts w:hint="eastAsia" w:ascii="宋体" w:hAnsi="宋体" w:eastAsia="宋体" w:cs="宋体"/>
          <w:sz w:val="28"/>
          <w:szCs w:val="28"/>
          <w:highlight w:val="none"/>
          <w:lang w:val="en-US" w:eastAsia="zh-CN"/>
        </w:rPr>
        <w:t>（适用于委托代理人报价，代理人本公司6个月社保证明）</w:t>
      </w:r>
      <w:r>
        <w:rPr>
          <w:rFonts w:hint="eastAsia" w:ascii="宋体" w:hAnsi="宋体" w:eastAsia="宋体" w:cs="宋体"/>
          <w:kern w:val="2"/>
          <w:sz w:val="28"/>
          <w:szCs w:val="28"/>
          <w:highlight w:val="none"/>
          <w:lang w:val="en-US" w:eastAsia="zh-CN" w:bidi="ar-SA"/>
        </w:rPr>
        <w:t>；</w:t>
      </w:r>
    </w:p>
    <w:p w14:paraId="4718276F">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textAlignment w:val="auto"/>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资格审查资料（</w:t>
      </w:r>
      <w:r>
        <w:rPr>
          <w:rFonts w:hint="eastAsia" w:ascii="宋体" w:hAnsi="宋体" w:eastAsia="宋体" w:cs="宋体"/>
          <w:sz w:val="28"/>
          <w:szCs w:val="28"/>
          <w:highlight w:val="none"/>
          <w:lang w:val="en-US" w:eastAsia="zh-CN"/>
        </w:rPr>
        <w:t>营业执照复印件、资质证书复印件</w:t>
      </w:r>
      <w:r>
        <w:rPr>
          <w:rFonts w:hint="eastAsia" w:ascii="宋体" w:hAnsi="宋体" w:eastAsia="宋体" w:cs="宋体"/>
          <w:kern w:val="2"/>
          <w:sz w:val="28"/>
          <w:szCs w:val="28"/>
          <w:highlight w:val="none"/>
          <w:lang w:val="en-US" w:eastAsia="zh-CN" w:bidi="ar-SA"/>
        </w:rPr>
        <w:t>）；</w:t>
      </w:r>
    </w:p>
    <w:p w14:paraId="163DF2E7">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textAlignment w:val="auto"/>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诚信承诺书（无围标串标、无失信记录承诺）；</w:t>
      </w:r>
    </w:p>
    <w:p w14:paraId="3C54193A">
      <w:pPr>
        <w:pStyle w:val="7"/>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240" w:lineRule="auto"/>
        <w:ind w:left="0" w:leftChars="0" w:firstLine="0" w:firstLineChars="0"/>
        <w:textAlignment w:val="auto"/>
        <w:rPr>
          <w:rFonts w:hint="eastAsia" w:ascii="宋体" w:hAnsi="宋体" w:eastAsia="宋体" w:cs="宋体"/>
          <w:kern w:val="2"/>
          <w:sz w:val="28"/>
          <w:szCs w:val="28"/>
          <w:highlight w:val="none"/>
          <w:lang w:val="en-US" w:eastAsia="zh-CN" w:bidi="ar-SA"/>
        </w:rPr>
      </w:pPr>
      <w:r>
        <w:rPr>
          <w:rFonts w:hint="eastAsia" w:ascii="Calibri" w:hAnsi="Calibri" w:eastAsia="宋体" w:cs="Times New Roman"/>
          <w:kern w:val="2"/>
          <w:sz w:val="28"/>
          <w:szCs w:val="28"/>
          <w:highlight w:val="none"/>
          <w:lang w:val="en-US" w:eastAsia="zh-CN" w:bidi="ar-SA"/>
        </w:rPr>
        <w:t>类似项目（同规模或同类型）招标代理业绩</w:t>
      </w:r>
      <w:r>
        <w:rPr>
          <w:rFonts w:hint="eastAsia" w:ascii="宋体" w:hAnsi="宋体" w:eastAsia="宋体" w:cs="宋体"/>
          <w:kern w:val="2"/>
          <w:sz w:val="28"/>
          <w:szCs w:val="28"/>
          <w:highlight w:val="none"/>
          <w:lang w:val="en-US" w:eastAsia="zh-CN" w:bidi="ar-SA"/>
        </w:rPr>
        <w:t>（业绩合同复印件）</w:t>
      </w:r>
      <w:r>
        <w:rPr>
          <w:rFonts w:hint="eastAsia" w:ascii="Calibri" w:hAnsi="Calibri" w:cs="Times New Roman"/>
          <w:kern w:val="2"/>
          <w:sz w:val="28"/>
          <w:szCs w:val="28"/>
          <w:highlight w:val="none"/>
          <w:lang w:val="en-US" w:eastAsia="zh-CN" w:bidi="ar-SA"/>
        </w:rPr>
        <w:t>。</w:t>
      </w:r>
    </w:p>
    <w:p w14:paraId="5D6BCBC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 w:hAnsi="仿宋" w:eastAsia="仿宋" w:cs="仿宋"/>
          <w:sz w:val="28"/>
          <w:szCs w:val="28"/>
          <w:highlight w:val="none"/>
          <w:lang w:val="en-US" w:eastAsia="zh-CN"/>
        </w:rPr>
      </w:pPr>
      <w:r>
        <w:rPr>
          <w:rFonts w:hint="eastAsia" w:ascii="Calibri" w:hAnsi="Calibri" w:eastAsia="宋体" w:cs="Times New Roman"/>
          <w:sz w:val="28"/>
          <w:szCs w:val="28"/>
          <w:highlight w:val="none"/>
          <w:lang w:val="en-US" w:eastAsia="zh-CN"/>
        </w:rPr>
        <w:t>请愿意参加本次报价的单</w:t>
      </w:r>
      <w:r>
        <w:rPr>
          <w:rFonts w:hint="eastAsia" w:ascii="宋体" w:hAnsi="宋体" w:eastAsia="宋体" w:cs="宋体"/>
          <w:sz w:val="28"/>
          <w:szCs w:val="28"/>
          <w:highlight w:val="none"/>
          <w:lang w:val="en-US" w:eastAsia="zh-CN"/>
        </w:rPr>
        <w:t>位于2026年</w:t>
      </w:r>
      <w:r>
        <w:rPr>
          <w:rFonts w:hint="eastAsia" w:ascii="宋体" w:hAnsi="宋体" w:cs="宋体"/>
          <w:sz w:val="28"/>
          <w:szCs w:val="28"/>
          <w:highlight w:val="none"/>
          <w:lang w:val="en-US" w:eastAsia="zh-CN"/>
        </w:rPr>
        <w:t>8</w:t>
      </w:r>
      <w:r>
        <w:rPr>
          <w:rFonts w:hint="eastAsia" w:ascii="宋体" w:hAnsi="宋体" w:eastAsia="宋体" w:cs="宋体"/>
          <w:sz w:val="28"/>
          <w:szCs w:val="28"/>
          <w:highlight w:val="none"/>
          <w:lang w:val="en-US" w:eastAsia="zh-CN"/>
        </w:rPr>
        <w:t>月</w:t>
      </w:r>
      <w:r>
        <w:rPr>
          <w:rFonts w:hint="eastAsia" w:ascii="宋体" w:hAnsi="宋体" w:cs="宋体"/>
          <w:sz w:val="28"/>
          <w:szCs w:val="28"/>
          <w:highlight w:val="none"/>
          <w:lang w:val="en-US" w:eastAsia="zh-CN"/>
        </w:rPr>
        <w:t>3</w:t>
      </w:r>
      <w:r>
        <w:rPr>
          <w:rFonts w:hint="eastAsia" w:ascii="宋体" w:hAnsi="宋体" w:eastAsia="宋体" w:cs="宋体"/>
          <w:sz w:val="28"/>
          <w:szCs w:val="28"/>
          <w:highlight w:val="none"/>
          <w:lang w:val="en-US" w:eastAsia="zh-CN"/>
        </w:rPr>
        <w:t xml:space="preserve"> 日</w:t>
      </w:r>
      <w:r>
        <w:rPr>
          <w:rFonts w:hint="eastAsia" w:ascii="宋体" w:hAnsi="宋体" w:cs="宋体"/>
          <w:sz w:val="28"/>
          <w:szCs w:val="28"/>
          <w:highlight w:val="none"/>
          <w:lang w:val="en-US" w:eastAsia="zh-CN"/>
        </w:rPr>
        <w:t>15</w:t>
      </w:r>
      <w:r>
        <w:rPr>
          <w:rFonts w:hint="eastAsia" w:ascii="宋体" w:hAnsi="宋体" w:eastAsia="宋体" w:cs="宋体"/>
          <w:sz w:val="28"/>
          <w:szCs w:val="28"/>
          <w:highlight w:val="none"/>
          <w:lang w:val="en-US" w:eastAsia="zh-CN"/>
        </w:rPr>
        <w:t>：</w:t>
      </w:r>
      <w:r>
        <w:rPr>
          <w:rFonts w:hint="eastAsia" w:ascii="宋体" w:hAnsi="宋体" w:cs="宋体"/>
          <w:sz w:val="28"/>
          <w:szCs w:val="28"/>
          <w:highlight w:val="none"/>
          <w:lang w:val="en-US" w:eastAsia="zh-CN"/>
        </w:rPr>
        <w:t>3</w:t>
      </w:r>
      <w:r>
        <w:rPr>
          <w:rFonts w:hint="eastAsia" w:ascii="宋体" w:hAnsi="宋体" w:eastAsia="宋体" w:cs="宋体"/>
          <w:sz w:val="28"/>
          <w:szCs w:val="28"/>
          <w:highlight w:val="none"/>
          <w:lang w:val="en-US" w:eastAsia="zh-CN"/>
        </w:rPr>
        <w:t>0 前将加盖企业鲜章的有效</w:t>
      </w:r>
      <w:r>
        <w:rPr>
          <w:rFonts w:hint="eastAsia" w:ascii="宋体" w:hAnsi="宋体" w:cs="宋体"/>
          <w:sz w:val="28"/>
          <w:szCs w:val="28"/>
          <w:highlight w:val="none"/>
          <w:lang w:val="en-US" w:eastAsia="zh-CN"/>
        </w:rPr>
        <w:t>投标文件</w:t>
      </w:r>
      <w:r>
        <w:rPr>
          <w:rFonts w:hint="eastAsia" w:ascii="宋体" w:hAnsi="宋体" w:eastAsia="宋体" w:cs="宋体"/>
          <w:sz w:val="28"/>
          <w:szCs w:val="28"/>
          <w:highlight w:val="none"/>
          <w:lang w:val="en-US" w:eastAsia="zh-CN"/>
        </w:rPr>
        <w:t>密封并现场递交至鹏安公司，未现场递交或逾期递交视为自动放弃。我公司将于2026年</w:t>
      </w:r>
      <w:r>
        <w:rPr>
          <w:rFonts w:hint="eastAsia" w:ascii="宋体" w:hAnsi="宋体" w:cs="宋体"/>
          <w:sz w:val="28"/>
          <w:szCs w:val="28"/>
          <w:highlight w:val="none"/>
          <w:lang w:val="en-US" w:eastAsia="zh-CN"/>
        </w:rPr>
        <w:t>8</w:t>
      </w:r>
      <w:r>
        <w:rPr>
          <w:rFonts w:hint="eastAsia" w:ascii="宋体" w:hAnsi="宋体" w:eastAsia="宋体" w:cs="宋体"/>
          <w:sz w:val="28"/>
          <w:szCs w:val="28"/>
          <w:highlight w:val="none"/>
          <w:lang w:val="en-US" w:eastAsia="zh-CN"/>
        </w:rPr>
        <w:t>月</w:t>
      </w:r>
      <w:r>
        <w:rPr>
          <w:rFonts w:hint="eastAsia" w:ascii="宋体" w:hAnsi="宋体" w:cs="宋体"/>
          <w:sz w:val="28"/>
          <w:szCs w:val="28"/>
          <w:highlight w:val="none"/>
          <w:lang w:val="en-US" w:eastAsia="zh-CN"/>
        </w:rPr>
        <w:t>3</w:t>
      </w:r>
      <w:r>
        <w:rPr>
          <w:rFonts w:hint="eastAsia" w:ascii="宋体" w:hAnsi="宋体" w:eastAsia="宋体" w:cs="宋体"/>
          <w:sz w:val="28"/>
          <w:szCs w:val="28"/>
          <w:highlight w:val="none"/>
          <w:lang w:val="en-US" w:eastAsia="zh-CN"/>
        </w:rPr>
        <w:t>日</w:t>
      </w:r>
      <w:r>
        <w:rPr>
          <w:rFonts w:hint="eastAsia" w:ascii="宋体" w:hAnsi="宋体" w:cs="宋体"/>
          <w:sz w:val="28"/>
          <w:szCs w:val="28"/>
          <w:highlight w:val="none"/>
          <w:lang w:val="en-US" w:eastAsia="zh-CN"/>
        </w:rPr>
        <w:t>15</w:t>
      </w:r>
      <w:r>
        <w:rPr>
          <w:rFonts w:hint="eastAsia" w:ascii="宋体" w:hAnsi="宋体" w:eastAsia="宋体" w:cs="宋体"/>
          <w:sz w:val="28"/>
          <w:szCs w:val="28"/>
          <w:highlight w:val="none"/>
          <w:lang w:val="en-US" w:eastAsia="zh-CN"/>
        </w:rPr>
        <w:t>：</w:t>
      </w:r>
      <w:r>
        <w:rPr>
          <w:rFonts w:hint="eastAsia" w:ascii="宋体" w:hAnsi="宋体" w:cs="宋体"/>
          <w:sz w:val="28"/>
          <w:szCs w:val="28"/>
          <w:highlight w:val="none"/>
          <w:lang w:val="en-US" w:eastAsia="zh-CN"/>
        </w:rPr>
        <w:t>3</w:t>
      </w:r>
      <w:r>
        <w:rPr>
          <w:rFonts w:hint="eastAsia" w:ascii="宋体" w:hAnsi="宋体" w:eastAsia="宋体" w:cs="宋体"/>
          <w:sz w:val="28"/>
          <w:szCs w:val="28"/>
          <w:highlight w:val="none"/>
          <w:lang w:val="en-US" w:eastAsia="zh-CN"/>
        </w:rPr>
        <w:t>0 在鹏安公司二楼会议室统一拆封所有报价资料，逾期递交视为自动放弃。报价资料递交地址：遂宁市安居区黄林路 190号（凤凰半岛三期）一层商铺。计价招投标部联系人：唐先生 0825-8663232。</w:t>
      </w:r>
    </w:p>
    <w:p w14:paraId="084AD1BC">
      <w:pPr>
        <w:keepNext w:val="0"/>
        <w:keepLines w:val="0"/>
        <w:pageBreakBefore w:val="0"/>
        <w:widowControl w:val="0"/>
        <w:numPr>
          <w:ilvl w:val="0"/>
          <w:numId w:val="0"/>
        </w:numPr>
        <w:kinsoku/>
        <w:wordWrap w:val="0"/>
        <w:overflowPunct/>
        <w:topLinePunct w:val="0"/>
        <w:autoSpaceDE/>
        <w:autoSpaceDN/>
        <w:bidi w:val="0"/>
        <w:snapToGrid/>
        <w:spacing w:line="560" w:lineRule="exact"/>
        <w:ind w:firstLine="560" w:firstLineChars="200"/>
        <w:jc w:val="right"/>
        <w:textAlignment w:val="auto"/>
        <w:rPr>
          <w:rFonts w:hint="default" w:ascii="仿宋" w:hAnsi="仿宋" w:eastAsia="仿宋" w:cs="仿宋"/>
          <w:sz w:val="28"/>
          <w:szCs w:val="28"/>
          <w:highlight w:val="none"/>
          <w:lang w:val="en-US" w:eastAsia="zh-CN"/>
        </w:rPr>
      </w:pPr>
      <w:r>
        <w:rPr>
          <w:rFonts w:hint="eastAsia" w:ascii="仿宋" w:hAnsi="仿宋" w:eastAsia="仿宋" w:cs="仿宋"/>
          <w:b w:val="0"/>
          <w:kern w:val="2"/>
          <w:sz w:val="28"/>
          <w:szCs w:val="28"/>
          <w:highlight w:val="none"/>
          <w:lang w:val="en-US" w:eastAsia="zh-CN" w:bidi="ar-SA"/>
        </w:rPr>
        <w:t xml:space="preserve">                  </w:t>
      </w:r>
      <w:r>
        <w:rPr>
          <w:rFonts w:hint="eastAsia" w:ascii="宋体" w:hAnsi="宋体" w:eastAsia="宋体" w:cs="宋体"/>
          <w:sz w:val="28"/>
          <w:szCs w:val="28"/>
          <w:highlight w:val="none"/>
          <w:lang w:val="en-US" w:eastAsia="zh-CN"/>
        </w:rPr>
        <w:t>遂宁市鹏安投资有限公司</w:t>
      </w:r>
    </w:p>
    <w:p w14:paraId="33EC10BB">
      <w:pPr>
        <w:keepNext w:val="0"/>
        <w:keepLines w:val="0"/>
        <w:pageBreakBefore w:val="0"/>
        <w:widowControl w:val="0"/>
        <w:kinsoku/>
        <w:overflowPunct/>
        <w:topLinePunct w:val="0"/>
        <w:autoSpaceDE/>
        <w:autoSpaceDN/>
        <w:bidi w:val="0"/>
        <w:snapToGrid/>
        <w:spacing w:line="560" w:lineRule="exact"/>
        <w:ind w:firstLine="560" w:firstLineChars="200"/>
        <w:jc w:val="right"/>
        <w:textAlignment w:val="auto"/>
        <w:rPr>
          <w:rFonts w:hint="default" w:ascii="宋体" w:hAnsi="宋体" w:eastAsia="宋体" w:cs="宋体"/>
          <w:sz w:val="28"/>
          <w:szCs w:val="28"/>
          <w:highlight w:val="none"/>
          <w:lang w:val="en-US" w:eastAsia="zh-CN"/>
        </w:rPr>
        <w:sectPr>
          <w:pgSz w:w="11906" w:h="16838"/>
          <w:pgMar w:top="1134" w:right="1020" w:bottom="1134" w:left="1020" w:header="851" w:footer="992" w:gutter="0"/>
          <w:cols w:space="720" w:num="1"/>
          <w:docGrid w:type="lines" w:linePitch="312" w:charSpace="0"/>
        </w:sectPr>
      </w:pPr>
      <w:r>
        <w:rPr>
          <w:rFonts w:hint="eastAsia" w:ascii="仿宋" w:hAnsi="仿宋" w:eastAsia="仿宋" w:cs="仿宋"/>
          <w:sz w:val="28"/>
          <w:szCs w:val="28"/>
          <w:highlight w:val="none"/>
          <w:lang w:val="en-US" w:eastAsia="zh-CN"/>
        </w:rPr>
        <w:t xml:space="preserve">                         </w:t>
      </w:r>
      <w:r>
        <w:rPr>
          <w:rFonts w:hint="eastAsia" w:ascii="宋体" w:hAnsi="宋体" w:eastAsia="宋体" w:cs="宋体"/>
          <w:sz w:val="28"/>
          <w:szCs w:val="28"/>
          <w:highlight w:val="none"/>
          <w:lang w:val="en-US" w:eastAsia="zh-CN"/>
        </w:rPr>
        <w:t xml:space="preserve"> 2026年</w:t>
      </w:r>
      <w:r>
        <w:rPr>
          <w:rFonts w:hint="eastAsia" w:ascii="宋体" w:hAnsi="宋体" w:cs="宋体"/>
          <w:sz w:val="28"/>
          <w:szCs w:val="28"/>
          <w:highlight w:val="none"/>
          <w:lang w:val="en-US" w:eastAsia="zh-CN"/>
        </w:rPr>
        <w:t>8</w:t>
      </w:r>
      <w:r>
        <w:rPr>
          <w:rFonts w:hint="eastAsia" w:ascii="宋体" w:hAnsi="宋体" w:eastAsia="宋体" w:cs="宋体"/>
          <w:sz w:val="28"/>
          <w:szCs w:val="28"/>
          <w:highlight w:val="none"/>
          <w:lang w:val="en-US" w:eastAsia="zh-CN"/>
        </w:rPr>
        <w:t>月</w:t>
      </w:r>
      <w:r>
        <w:rPr>
          <w:rFonts w:hint="eastAsia" w:ascii="宋体" w:hAnsi="宋体" w:cs="宋体"/>
          <w:sz w:val="28"/>
          <w:szCs w:val="28"/>
          <w:highlight w:val="none"/>
          <w:lang w:val="en-US" w:eastAsia="zh-CN"/>
        </w:rPr>
        <w:t>1</w:t>
      </w:r>
      <w:r>
        <w:rPr>
          <w:rFonts w:hint="eastAsia" w:ascii="宋体" w:hAnsi="宋体" w:eastAsia="宋体" w:cs="宋体"/>
          <w:sz w:val="28"/>
          <w:szCs w:val="28"/>
          <w:highlight w:val="none"/>
          <w:lang w:val="en-US" w:eastAsia="zh-CN"/>
        </w:rPr>
        <w:t>日</w:t>
      </w:r>
    </w:p>
    <w:p w14:paraId="57484CAA">
      <w:pPr>
        <w:keepNext w:val="0"/>
        <w:keepLines w:val="0"/>
        <w:pageBreakBefore w:val="0"/>
        <w:kinsoku/>
        <w:overflowPunct/>
        <w:topLinePunct w:val="0"/>
        <w:autoSpaceDE/>
        <w:autoSpaceDN/>
        <w:bidi w:val="0"/>
        <w:snapToGrid/>
        <w:jc w:val="left"/>
        <w:rPr>
          <w:rFonts w:hint="eastAsia" w:cs="Times New Roman"/>
          <w:b/>
          <w:bCs/>
          <w:sz w:val="28"/>
          <w:szCs w:val="28"/>
          <w:highlight w:val="none"/>
          <w:lang w:val="en-US" w:eastAsia="zh-CN"/>
        </w:rPr>
      </w:pPr>
      <w:r>
        <w:rPr>
          <w:rFonts w:hint="eastAsia" w:cs="Times New Roman"/>
          <w:b/>
          <w:bCs/>
          <w:sz w:val="28"/>
          <w:szCs w:val="28"/>
          <w:highlight w:val="none"/>
          <w:lang w:val="en-US" w:eastAsia="zh-CN"/>
        </w:rPr>
        <w:t>附件1：</w:t>
      </w:r>
    </w:p>
    <w:p w14:paraId="6F51E1DA">
      <w:pPr>
        <w:keepNext w:val="0"/>
        <w:keepLines w:val="0"/>
        <w:pageBreakBefore w:val="0"/>
        <w:kinsoku/>
        <w:overflowPunct/>
        <w:topLinePunct w:val="0"/>
        <w:autoSpaceDE/>
        <w:autoSpaceDN/>
        <w:bidi w:val="0"/>
        <w:snapToGrid/>
        <w:jc w:val="center"/>
        <w:rPr>
          <w:rFonts w:hint="default"/>
          <w:b/>
          <w:bCs/>
          <w:sz w:val="15"/>
          <w:szCs w:val="15"/>
          <w:highlight w:val="none"/>
          <w:lang w:val="en-US"/>
        </w:rPr>
      </w:pPr>
      <w:r>
        <w:rPr>
          <w:rFonts w:hint="eastAsia" w:cs="Times New Roman"/>
          <w:b/>
          <w:bCs/>
          <w:sz w:val="28"/>
          <w:szCs w:val="28"/>
          <w:highlight w:val="none"/>
          <w:lang w:val="en-US" w:eastAsia="zh-CN"/>
        </w:rPr>
        <w:t>遂宁市安居区凤栖悦府建设项目招标代理服务</w:t>
      </w:r>
      <w:r>
        <w:rPr>
          <w:rFonts w:hint="eastAsia" w:ascii="Calibri" w:hAnsi="Calibri" w:eastAsia="宋体" w:cs="Times New Roman"/>
          <w:b/>
          <w:bCs/>
          <w:sz w:val="28"/>
          <w:szCs w:val="28"/>
          <w:highlight w:val="none"/>
          <w:lang w:val="en-US" w:eastAsia="zh-CN"/>
        </w:rPr>
        <w:t>报价表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5"/>
        <w:gridCol w:w="3993"/>
        <w:gridCol w:w="3846"/>
        <w:gridCol w:w="2603"/>
        <w:gridCol w:w="2603"/>
      </w:tblGrid>
      <w:tr w14:paraId="0201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1125" w:type="dxa"/>
            <w:noWrap w:val="0"/>
            <w:vAlign w:val="center"/>
          </w:tcPr>
          <w:p w14:paraId="399EEAE9">
            <w:pPr>
              <w:keepNext w:val="0"/>
              <w:keepLines w:val="0"/>
              <w:pageBreakBefore w:val="0"/>
              <w:kinsoku/>
              <w:overflowPunct/>
              <w:topLinePunct w:val="0"/>
              <w:autoSpaceDE/>
              <w:autoSpaceDN/>
              <w:bidi w:val="0"/>
              <w:snapToGrid/>
              <w:jc w:val="center"/>
              <w:rPr>
                <w:rFonts w:hint="eastAsia"/>
                <w:b/>
                <w:bCs/>
                <w:sz w:val="28"/>
                <w:szCs w:val="28"/>
                <w:highlight w:val="none"/>
                <w:lang w:eastAsia="zh-CN"/>
              </w:rPr>
            </w:pPr>
            <w:r>
              <w:rPr>
                <w:rFonts w:hint="eastAsia"/>
                <w:b/>
                <w:bCs/>
                <w:sz w:val="28"/>
                <w:szCs w:val="28"/>
                <w:highlight w:val="none"/>
                <w:lang w:eastAsia="zh-CN"/>
              </w:rPr>
              <w:t>序号</w:t>
            </w:r>
          </w:p>
        </w:tc>
        <w:tc>
          <w:tcPr>
            <w:tcW w:w="3993" w:type="dxa"/>
            <w:noWrap w:val="0"/>
            <w:vAlign w:val="center"/>
          </w:tcPr>
          <w:p w14:paraId="32854A29">
            <w:pPr>
              <w:keepNext w:val="0"/>
              <w:keepLines w:val="0"/>
              <w:pageBreakBefore w:val="0"/>
              <w:kinsoku/>
              <w:overflowPunct/>
              <w:topLinePunct w:val="0"/>
              <w:autoSpaceDE/>
              <w:autoSpaceDN/>
              <w:bidi w:val="0"/>
              <w:snapToGrid/>
              <w:ind w:firstLine="562" w:firstLineChars="200"/>
              <w:jc w:val="center"/>
              <w:rPr>
                <w:rFonts w:hint="eastAsia"/>
                <w:b/>
                <w:bCs/>
                <w:sz w:val="28"/>
                <w:szCs w:val="28"/>
                <w:highlight w:val="none"/>
              </w:rPr>
            </w:pPr>
            <w:r>
              <w:rPr>
                <w:rFonts w:hint="eastAsia"/>
                <w:b/>
                <w:bCs/>
                <w:sz w:val="28"/>
                <w:szCs w:val="28"/>
                <w:highlight w:val="none"/>
              </w:rPr>
              <w:t>工程名称</w:t>
            </w:r>
          </w:p>
        </w:tc>
        <w:tc>
          <w:tcPr>
            <w:tcW w:w="3846" w:type="dxa"/>
            <w:noWrap w:val="0"/>
            <w:vAlign w:val="center"/>
          </w:tcPr>
          <w:p w14:paraId="7FCE9B8A">
            <w:pPr>
              <w:keepNext w:val="0"/>
              <w:keepLines w:val="0"/>
              <w:pageBreakBefore w:val="0"/>
              <w:kinsoku/>
              <w:overflowPunct/>
              <w:topLinePunct w:val="0"/>
              <w:autoSpaceDE/>
              <w:autoSpaceDN/>
              <w:bidi w:val="0"/>
              <w:snapToGrid/>
              <w:ind w:firstLine="562" w:firstLineChars="200"/>
              <w:jc w:val="center"/>
              <w:rPr>
                <w:rFonts w:hint="default" w:eastAsia="宋体"/>
                <w:b/>
                <w:bCs/>
                <w:sz w:val="28"/>
                <w:szCs w:val="28"/>
                <w:highlight w:val="none"/>
                <w:lang w:val="en-US" w:eastAsia="zh-CN"/>
              </w:rPr>
            </w:pPr>
            <w:r>
              <w:rPr>
                <w:rFonts w:hint="eastAsia"/>
                <w:b/>
                <w:bCs/>
                <w:sz w:val="28"/>
                <w:szCs w:val="28"/>
                <w:highlight w:val="none"/>
                <w:lang w:val="en-US" w:eastAsia="zh-CN"/>
              </w:rPr>
              <w:t>报价依据</w:t>
            </w:r>
          </w:p>
        </w:tc>
        <w:tc>
          <w:tcPr>
            <w:tcW w:w="2603" w:type="dxa"/>
            <w:noWrap w:val="0"/>
            <w:vAlign w:val="center"/>
          </w:tcPr>
          <w:p w14:paraId="34972552">
            <w:pPr>
              <w:keepNext w:val="0"/>
              <w:keepLines w:val="0"/>
              <w:pageBreakBefore w:val="0"/>
              <w:kinsoku/>
              <w:overflowPunct/>
              <w:topLinePunct w:val="0"/>
              <w:autoSpaceDE/>
              <w:autoSpaceDN/>
              <w:bidi w:val="0"/>
              <w:snapToGrid/>
              <w:ind w:firstLine="562" w:firstLineChars="200"/>
              <w:jc w:val="both"/>
              <w:rPr>
                <w:rFonts w:hint="default" w:eastAsia="宋体"/>
                <w:b/>
                <w:bCs/>
                <w:sz w:val="28"/>
                <w:szCs w:val="28"/>
                <w:highlight w:val="none"/>
                <w:lang w:val="en-US" w:eastAsia="zh-CN"/>
              </w:rPr>
            </w:pPr>
            <w:r>
              <w:rPr>
                <w:rFonts w:hint="eastAsia"/>
                <w:b/>
                <w:bCs/>
                <w:sz w:val="28"/>
                <w:szCs w:val="28"/>
                <w:highlight w:val="none"/>
                <w:lang w:val="en-US" w:eastAsia="zh-CN"/>
              </w:rPr>
              <w:t>控制价</w:t>
            </w:r>
          </w:p>
        </w:tc>
        <w:tc>
          <w:tcPr>
            <w:tcW w:w="2603" w:type="dxa"/>
            <w:noWrap w:val="0"/>
            <w:vAlign w:val="center"/>
          </w:tcPr>
          <w:p w14:paraId="1A83ED14">
            <w:pPr>
              <w:keepNext w:val="0"/>
              <w:keepLines w:val="0"/>
              <w:pageBreakBefore w:val="0"/>
              <w:kinsoku/>
              <w:overflowPunct/>
              <w:topLinePunct w:val="0"/>
              <w:autoSpaceDE/>
              <w:autoSpaceDN/>
              <w:bidi w:val="0"/>
              <w:snapToGrid/>
              <w:jc w:val="both"/>
              <w:rPr>
                <w:rFonts w:hint="eastAsia"/>
                <w:b/>
                <w:bCs/>
                <w:sz w:val="28"/>
                <w:szCs w:val="28"/>
                <w:highlight w:val="none"/>
                <w:lang w:val="en-US" w:eastAsia="zh-CN"/>
              </w:rPr>
            </w:pPr>
            <w:r>
              <w:rPr>
                <w:rFonts w:hint="eastAsia"/>
                <w:b/>
                <w:bCs/>
                <w:sz w:val="28"/>
                <w:szCs w:val="28"/>
                <w:highlight w:val="none"/>
                <w:lang w:val="en-US" w:eastAsia="zh-CN"/>
              </w:rPr>
              <w:t>招标代理服务费下浮比例（%）</w:t>
            </w:r>
          </w:p>
        </w:tc>
      </w:tr>
      <w:tr w14:paraId="0C6BF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6" w:hRule="atLeast"/>
          <w:jc w:val="center"/>
        </w:trPr>
        <w:tc>
          <w:tcPr>
            <w:tcW w:w="1125" w:type="dxa"/>
            <w:noWrap w:val="0"/>
            <w:vAlign w:val="center"/>
          </w:tcPr>
          <w:p w14:paraId="3A9542FC">
            <w:pPr>
              <w:keepNext w:val="0"/>
              <w:keepLines w:val="0"/>
              <w:pageBreakBefore w:val="0"/>
              <w:kinsoku/>
              <w:overflowPunct/>
              <w:topLinePunct w:val="0"/>
              <w:autoSpaceDE/>
              <w:autoSpaceDN/>
              <w:bidi w:val="0"/>
              <w:snapToGrid/>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w:t>
            </w:r>
          </w:p>
        </w:tc>
        <w:tc>
          <w:tcPr>
            <w:tcW w:w="3993" w:type="dxa"/>
            <w:noWrap w:val="0"/>
            <w:vAlign w:val="center"/>
          </w:tcPr>
          <w:p w14:paraId="3D8E5C91">
            <w:pPr>
              <w:keepNext w:val="0"/>
              <w:keepLines w:val="0"/>
              <w:pageBreakBefore w:val="0"/>
              <w:kinsoku/>
              <w:overflowPunct/>
              <w:topLinePunct w:val="0"/>
              <w:autoSpaceDE/>
              <w:autoSpaceDN/>
              <w:bidi w:val="0"/>
              <w:snapToGrid/>
              <w:jc w:val="center"/>
              <w:rPr>
                <w:rFonts w:hint="eastAsia" w:ascii="宋体" w:hAnsi="宋体" w:eastAsia="宋体" w:cs="宋体"/>
                <w:sz w:val="28"/>
                <w:szCs w:val="28"/>
                <w:highlight w:val="none"/>
                <w:lang w:val="en-US" w:eastAsia="zh-CN"/>
              </w:rPr>
            </w:pPr>
            <w:r>
              <w:rPr>
                <w:rFonts w:hint="eastAsia" w:cs="Times New Roman"/>
                <w:sz w:val="28"/>
                <w:szCs w:val="28"/>
                <w:highlight w:val="none"/>
                <w:lang w:val="en-US" w:eastAsia="zh-CN"/>
              </w:rPr>
              <w:t>遂宁市安居区凤栖悦府建设项目</w:t>
            </w:r>
            <w:r>
              <w:rPr>
                <w:rFonts w:hint="eastAsia" w:ascii="宋体" w:hAnsi="宋体" w:eastAsia="宋体" w:cs="宋体"/>
                <w:sz w:val="28"/>
                <w:szCs w:val="28"/>
                <w:highlight w:val="none"/>
                <w:lang w:val="en-US" w:eastAsia="zh-CN"/>
              </w:rPr>
              <w:t>-</w:t>
            </w:r>
            <w:r>
              <w:rPr>
                <w:rFonts w:hint="eastAsia" w:cs="Times New Roman"/>
                <w:sz w:val="28"/>
                <w:szCs w:val="28"/>
                <w:highlight w:val="none"/>
                <w:lang w:val="en-US" w:eastAsia="zh-CN"/>
              </w:rPr>
              <w:t>招标代理服务</w:t>
            </w:r>
          </w:p>
        </w:tc>
        <w:tc>
          <w:tcPr>
            <w:tcW w:w="3846" w:type="dxa"/>
            <w:noWrap w:val="0"/>
            <w:vAlign w:val="center"/>
          </w:tcPr>
          <w:p w14:paraId="3165CDB7">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宋体" w:hAnsi="宋体" w:eastAsia="宋体" w:cs="宋体"/>
                <w:sz w:val="28"/>
                <w:szCs w:val="28"/>
                <w:highlight w:val="none"/>
                <w:lang w:val="en-US" w:eastAsia="zh-CN"/>
              </w:rPr>
            </w:pPr>
            <w:r>
              <w:rPr>
                <w:rFonts w:hint="default" w:ascii="宋体" w:hAnsi="宋体" w:eastAsia="宋体" w:cs="宋体"/>
                <w:sz w:val="28"/>
                <w:szCs w:val="28"/>
                <w:highlight w:val="none"/>
                <w:lang w:val="en-US" w:eastAsia="zh-CN"/>
              </w:rPr>
              <w:t>计价格〔2002〕1980号</w:t>
            </w:r>
            <w:r>
              <w:rPr>
                <w:rFonts w:hint="default" w:ascii="宋体" w:hAnsi="宋体" w:eastAsia="宋体" w:cs="宋体"/>
                <w:sz w:val="28"/>
                <w:szCs w:val="28"/>
                <w:highlight w:val="none"/>
                <w:lang w:val="en-US" w:eastAsia="zh-CN"/>
              </w:rPr>
              <w:tab/>
            </w:r>
            <w:r>
              <w:rPr>
                <w:rFonts w:hint="default" w:ascii="宋体" w:hAnsi="宋体" w:eastAsia="宋体" w:cs="宋体"/>
                <w:sz w:val="28"/>
                <w:szCs w:val="28"/>
                <w:highlight w:val="none"/>
                <w:lang w:val="en-US" w:eastAsia="zh-CN"/>
              </w:rPr>
              <w:t>招标代理服务收费管理暂行办法</w:t>
            </w:r>
            <w:r>
              <w:rPr>
                <w:rFonts w:hint="eastAsia" w:ascii="宋体" w:hAnsi="宋体" w:cs="宋体"/>
                <w:sz w:val="28"/>
                <w:szCs w:val="28"/>
                <w:highlight w:val="none"/>
                <w:lang w:val="en-US" w:eastAsia="zh-CN"/>
              </w:rPr>
              <w:t>；</w:t>
            </w:r>
          </w:p>
          <w:p w14:paraId="4E0978A3">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cs="宋体"/>
                <w:sz w:val="28"/>
                <w:szCs w:val="28"/>
                <w:highlight w:val="none"/>
                <w:lang w:val="en-US" w:eastAsia="zh-CN"/>
              </w:rPr>
            </w:pPr>
            <w:r>
              <w:rPr>
                <w:rFonts w:hint="default" w:ascii="宋体" w:hAnsi="宋体" w:eastAsia="宋体" w:cs="宋体"/>
                <w:sz w:val="28"/>
                <w:szCs w:val="28"/>
                <w:highlight w:val="none"/>
                <w:lang w:val="en-US" w:eastAsia="zh-CN"/>
              </w:rPr>
              <w:t>发改价格〔2011〕534号</w:t>
            </w:r>
            <w:r>
              <w:rPr>
                <w:rFonts w:hint="eastAsia" w:ascii="宋体" w:hAnsi="宋体" w:cs="宋体"/>
                <w:sz w:val="28"/>
                <w:szCs w:val="28"/>
                <w:highlight w:val="none"/>
                <w:lang w:val="en-US" w:eastAsia="zh-CN"/>
              </w:rPr>
              <w:t>；</w:t>
            </w:r>
          </w:p>
          <w:p w14:paraId="37CBE8B0">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宋体" w:hAnsi="宋体" w:eastAsia="宋体" w:cs="宋体"/>
                <w:sz w:val="28"/>
                <w:szCs w:val="28"/>
                <w:highlight w:val="none"/>
                <w:lang w:val="en-US" w:eastAsia="zh-CN"/>
              </w:rPr>
            </w:pPr>
            <w:r>
              <w:rPr>
                <w:rFonts w:hint="default" w:ascii="宋体" w:hAnsi="宋体" w:eastAsia="宋体" w:cs="宋体"/>
                <w:sz w:val="28"/>
                <w:szCs w:val="28"/>
                <w:highlight w:val="none"/>
                <w:lang w:val="en-US" w:eastAsia="zh-CN"/>
              </w:rPr>
              <w:t>发改价格〔2015〕299号</w:t>
            </w:r>
            <w:r>
              <w:rPr>
                <w:rFonts w:hint="eastAsia" w:ascii="宋体" w:hAnsi="宋体" w:cs="宋体"/>
                <w:sz w:val="28"/>
                <w:szCs w:val="28"/>
                <w:highlight w:val="none"/>
                <w:lang w:val="en-US" w:eastAsia="zh-CN"/>
              </w:rPr>
              <w:t>。</w:t>
            </w:r>
            <w:r>
              <w:rPr>
                <w:rFonts w:hint="default" w:ascii="宋体" w:hAnsi="宋体" w:eastAsia="宋体" w:cs="宋体"/>
                <w:sz w:val="28"/>
                <w:szCs w:val="28"/>
                <w:highlight w:val="none"/>
                <w:lang w:val="en-US" w:eastAsia="zh-CN"/>
              </w:rPr>
              <w:tab/>
            </w:r>
          </w:p>
        </w:tc>
        <w:tc>
          <w:tcPr>
            <w:tcW w:w="2603" w:type="dxa"/>
            <w:noWrap w:val="0"/>
            <w:vAlign w:val="center"/>
          </w:tcPr>
          <w:p w14:paraId="4C5FF100">
            <w:pPr>
              <w:keepNext w:val="0"/>
              <w:keepLines w:val="0"/>
              <w:pageBreakBefore w:val="0"/>
              <w:kinsoku/>
              <w:overflowPunct/>
              <w:topLinePunct w:val="0"/>
              <w:autoSpaceDE/>
              <w:autoSpaceDN/>
              <w:bidi w:val="0"/>
              <w:snapToGrid/>
              <w:jc w:val="both"/>
              <w:rPr>
                <w:rFonts w:hint="eastAsia"/>
                <w:sz w:val="24"/>
                <w:szCs w:val="24"/>
                <w:highlight w:val="none"/>
              </w:rPr>
            </w:pPr>
            <w:r>
              <w:rPr>
                <w:rFonts w:hint="eastAsia"/>
                <w:sz w:val="28"/>
                <w:szCs w:val="28"/>
                <w:highlight w:val="none"/>
                <w:lang w:val="en-US" w:eastAsia="zh-CN"/>
              </w:rPr>
              <w:t>基准费率下浮20％</w:t>
            </w:r>
          </w:p>
        </w:tc>
        <w:tc>
          <w:tcPr>
            <w:tcW w:w="2603" w:type="dxa"/>
            <w:noWrap w:val="0"/>
            <w:vAlign w:val="center"/>
          </w:tcPr>
          <w:p w14:paraId="13EE297F">
            <w:pPr>
              <w:keepNext w:val="0"/>
              <w:keepLines w:val="0"/>
              <w:pageBreakBefore w:val="0"/>
              <w:kinsoku/>
              <w:overflowPunct/>
              <w:topLinePunct w:val="0"/>
              <w:autoSpaceDE/>
              <w:autoSpaceDN/>
              <w:bidi w:val="0"/>
              <w:snapToGrid/>
              <w:ind w:firstLine="480" w:firstLineChars="200"/>
              <w:jc w:val="center"/>
              <w:rPr>
                <w:rFonts w:hint="eastAsia"/>
                <w:sz w:val="24"/>
                <w:szCs w:val="24"/>
                <w:highlight w:val="none"/>
              </w:rPr>
            </w:pPr>
          </w:p>
        </w:tc>
      </w:tr>
    </w:tbl>
    <w:p w14:paraId="6320B8F6">
      <w:pPr>
        <w:keepNext w:val="0"/>
        <w:keepLines w:val="0"/>
        <w:pageBreakBefore w:val="0"/>
        <w:kinsoku/>
        <w:overflowPunct/>
        <w:topLinePunct w:val="0"/>
        <w:autoSpaceDE/>
        <w:autoSpaceDN/>
        <w:bidi w:val="0"/>
        <w:snapToGrid/>
        <w:ind w:firstLine="300" w:firstLineChars="200"/>
        <w:rPr>
          <w:rFonts w:hint="eastAsia"/>
          <w:sz w:val="15"/>
          <w:szCs w:val="15"/>
          <w:highlight w:val="none"/>
        </w:rPr>
      </w:pPr>
    </w:p>
    <w:p w14:paraId="10166709">
      <w:pPr>
        <w:keepNext w:val="0"/>
        <w:keepLines w:val="0"/>
        <w:pageBreakBefore w:val="0"/>
        <w:kinsoku/>
        <w:overflowPunct/>
        <w:topLinePunct w:val="0"/>
        <w:autoSpaceDE/>
        <w:autoSpaceDN/>
        <w:bidi w:val="0"/>
        <w:snapToGrid/>
        <w:ind w:firstLine="560" w:firstLineChars="200"/>
        <w:jc w:val="center"/>
        <w:rPr>
          <w:rFonts w:hint="eastAsia"/>
          <w:sz w:val="28"/>
          <w:szCs w:val="28"/>
          <w:highlight w:val="none"/>
        </w:rPr>
      </w:pPr>
      <w:r>
        <w:rPr>
          <w:rFonts w:hint="eastAsia"/>
          <w:sz w:val="28"/>
          <w:szCs w:val="28"/>
          <w:highlight w:val="none"/>
          <w:lang w:val="en-US" w:eastAsia="zh-CN"/>
        </w:rPr>
        <w:t xml:space="preserve">                                                            </w:t>
      </w:r>
      <w:r>
        <w:rPr>
          <w:rFonts w:hint="eastAsia"/>
          <w:sz w:val="28"/>
          <w:szCs w:val="28"/>
          <w:highlight w:val="none"/>
        </w:rPr>
        <w:t>报价单位：（盖章）</w:t>
      </w:r>
    </w:p>
    <w:p w14:paraId="4B8164BB">
      <w:pPr>
        <w:keepNext w:val="0"/>
        <w:keepLines w:val="0"/>
        <w:pageBreakBefore w:val="0"/>
        <w:kinsoku/>
        <w:overflowPunct/>
        <w:topLinePunct w:val="0"/>
        <w:autoSpaceDE/>
        <w:autoSpaceDN/>
        <w:bidi w:val="0"/>
        <w:snapToGrid/>
        <w:ind w:firstLine="560" w:firstLineChars="200"/>
        <w:rPr>
          <w:rFonts w:hint="eastAsia"/>
          <w:sz w:val="28"/>
          <w:szCs w:val="28"/>
          <w:highlight w:val="none"/>
        </w:rPr>
      </w:pPr>
      <w:r>
        <w:rPr>
          <w:rFonts w:hint="eastAsia"/>
          <w:sz w:val="28"/>
          <w:szCs w:val="28"/>
          <w:highlight w:val="none"/>
        </w:rPr>
        <w:t xml:space="preserve">                                                                 </w:t>
      </w:r>
      <w:r>
        <w:rPr>
          <w:rFonts w:hint="eastAsia"/>
          <w:sz w:val="28"/>
          <w:szCs w:val="28"/>
          <w:highlight w:val="none"/>
          <w:lang w:val="en-US" w:eastAsia="zh-CN"/>
        </w:rPr>
        <w:t xml:space="preserve">    </w:t>
      </w:r>
      <w:r>
        <w:rPr>
          <w:rFonts w:hint="eastAsia"/>
          <w:sz w:val="28"/>
          <w:szCs w:val="28"/>
          <w:highlight w:val="none"/>
        </w:rPr>
        <w:t>联系人及电话：</w:t>
      </w:r>
    </w:p>
    <w:sectPr>
      <w:type w:val="continuous"/>
      <w:pgSz w:w="16838" w:h="11906" w:orient="landscape"/>
      <w:pgMar w:top="1576"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29ED5B"/>
    <w:multiLevelType w:val="singleLevel"/>
    <w:tmpl w:val="9A29ED5B"/>
    <w:lvl w:ilvl="0" w:tentative="0">
      <w:start w:val="1"/>
      <w:numFmt w:val="decimal"/>
      <w:lvlText w:val="%1."/>
      <w:lvlJc w:val="left"/>
      <w:pPr>
        <w:ind w:left="425" w:hanging="425"/>
      </w:pPr>
      <w:rPr>
        <w:rFonts w:hint="default"/>
      </w:rPr>
    </w:lvl>
  </w:abstractNum>
  <w:abstractNum w:abstractNumId="1">
    <w:nsid w:val="55CC27DC"/>
    <w:multiLevelType w:val="singleLevel"/>
    <w:tmpl w:val="55CC27DC"/>
    <w:lvl w:ilvl="0" w:tentative="0">
      <w:start w:val="1"/>
      <w:numFmt w:val="chineseCounting"/>
      <w:suff w:val="nothing"/>
      <w:lvlText w:val="%1、"/>
      <w:lvlJc w:val="left"/>
    </w:lvl>
  </w:abstractNum>
  <w:abstractNum w:abstractNumId="2">
    <w:nsid w:val="7AAC3C87"/>
    <w:multiLevelType w:val="singleLevel"/>
    <w:tmpl w:val="7AAC3C87"/>
    <w:lvl w:ilvl="0" w:tentative="0">
      <w:start w:val="1"/>
      <w:numFmt w:val="decimal"/>
      <w:lvlText w:val="%1."/>
      <w:lvlJc w:val="left"/>
      <w:pPr>
        <w:ind w:left="425" w:hanging="425"/>
      </w:pPr>
      <w:rPr>
        <w:rFonts w:hint="default"/>
      </w:rPr>
    </w:lvl>
  </w:abstractNum>
  <w:abstractNum w:abstractNumId="3">
    <w:nsid w:val="7DB1BDA3"/>
    <w:multiLevelType w:val="singleLevel"/>
    <w:tmpl w:val="7DB1BDA3"/>
    <w:lvl w:ilvl="0" w:tentative="0">
      <w:start w:val="1"/>
      <w:numFmt w:val="decimal"/>
      <w:lvlText w:val="%1."/>
      <w:lvlJc w:val="left"/>
      <w:pPr>
        <w:ind w:left="425" w:hanging="425"/>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mZDhmMWExYTRmYzkyZjhkOThkY2M0M2VkYzIzYjgifQ=="/>
  </w:docVars>
  <w:rsids>
    <w:rsidRoot w:val="00172A27"/>
    <w:rsid w:val="00041252"/>
    <w:rsid w:val="001D5FB4"/>
    <w:rsid w:val="002B06D1"/>
    <w:rsid w:val="003533EB"/>
    <w:rsid w:val="004108AE"/>
    <w:rsid w:val="004F5AEB"/>
    <w:rsid w:val="00522102"/>
    <w:rsid w:val="00535E7A"/>
    <w:rsid w:val="00755DF0"/>
    <w:rsid w:val="00757B9E"/>
    <w:rsid w:val="007F0A1D"/>
    <w:rsid w:val="00864308"/>
    <w:rsid w:val="00977B14"/>
    <w:rsid w:val="0098388D"/>
    <w:rsid w:val="00A40DEF"/>
    <w:rsid w:val="00AE77AD"/>
    <w:rsid w:val="00B905FE"/>
    <w:rsid w:val="00CD05ED"/>
    <w:rsid w:val="00CF5500"/>
    <w:rsid w:val="00EE1A99"/>
    <w:rsid w:val="00FC02BF"/>
    <w:rsid w:val="012F41F1"/>
    <w:rsid w:val="0132783D"/>
    <w:rsid w:val="014B08FF"/>
    <w:rsid w:val="019978BC"/>
    <w:rsid w:val="01FB2325"/>
    <w:rsid w:val="02104022"/>
    <w:rsid w:val="02195EEB"/>
    <w:rsid w:val="02266AAF"/>
    <w:rsid w:val="023870D5"/>
    <w:rsid w:val="02406163"/>
    <w:rsid w:val="025F28B4"/>
    <w:rsid w:val="026B1259"/>
    <w:rsid w:val="029C1412"/>
    <w:rsid w:val="02CD3CC1"/>
    <w:rsid w:val="02DA4630"/>
    <w:rsid w:val="030F6088"/>
    <w:rsid w:val="03101E00"/>
    <w:rsid w:val="034026E5"/>
    <w:rsid w:val="03541CED"/>
    <w:rsid w:val="036B7036"/>
    <w:rsid w:val="037979A5"/>
    <w:rsid w:val="038C76D9"/>
    <w:rsid w:val="03D42E2E"/>
    <w:rsid w:val="03F60FF6"/>
    <w:rsid w:val="03FD2384"/>
    <w:rsid w:val="04F10DEF"/>
    <w:rsid w:val="050F05C1"/>
    <w:rsid w:val="0530678A"/>
    <w:rsid w:val="057C377D"/>
    <w:rsid w:val="059D3E1F"/>
    <w:rsid w:val="05B2719F"/>
    <w:rsid w:val="05F477B7"/>
    <w:rsid w:val="06640947"/>
    <w:rsid w:val="06B07B82"/>
    <w:rsid w:val="06B50CF4"/>
    <w:rsid w:val="06C13B3D"/>
    <w:rsid w:val="0717375D"/>
    <w:rsid w:val="077C5CB6"/>
    <w:rsid w:val="07C1191B"/>
    <w:rsid w:val="07D57174"/>
    <w:rsid w:val="07E35D35"/>
    <w:rsid w:val="07FF744E"/>
    <w:rsid w:val="080C703A"/>
    <w:rsid w:val="080F6B2A"/>
    <w:rsid w:val="082C3238"/>
    <w:rsid w:val="0842480A"/>
    <w:rsid w:val="084762C4"/>
    <w:rsid w:val="08C01BD2"/>
    <w:rsid w:val="08EF7436"/>
    <w:rsid w:val="09320D22"/>
    <w:rsid w:val="094375A6"/>
    <w:rsid w:val="09C676BC"/>
    <w:rsid w:val="0A4800D1"/>
    <w:rsid w:val="0A5C592B"/>
    <w:rsid w:val="0ADD2F10"/>
    <w:rsid w:val="0B350656"/>
    <w:rsid w:val="0B536D2E"/>
    <w:rsid w:val="0C1E558E"/>
    <w:rsid w:val="0C6F5DE9"/>
    <w:rsid w:val="0C801DA5"/>
    <w:rsid w:val="0C8F3D96"/>
    <w:rsid w:val="0CC9374C"/>
    <w:rsid w:val="0D9F26FE"/>
    <w:rsid w:val="0DBC0BBA"/>
    <w:rsid w:val="0DC40C23"/>
    <w:rsid w:val="0DD028B8"/>
    <w:rsid w:val="0DF30354"/>
    <w:rsid w:val="0E2055ED"/>
    <w:rsid w:val="0E270D6F"/>
    <w:rsid w:val="0E484B44"/>
    <w:rsid w:val="0E8611C8"/>
    <w:rsid w:val="0EC56195"/>
    <w:rsid w:val="0ECD6DF7"/>
    <w:rsid w:val="0EDB32C2"/>
    <w:rsid w:val="0EE77EB9"/>
    <w:rsid w:val="0EE91E83"/>
    <w:rsid w:val="0EF45B18"/>
    <w:rsid w:val="0F2A5FF8"/>
    <w:rsid w:val="0F5337A0"/>
    <w:rsid w:val="0F69741B"/>
    <w:rsid w:val="0FC24482"/>
    <w:rsid w:val="1017657C"/>
    <w:rsid w:val="1025513D"/>
    <w:rsid w:val="10F7015B"/>
    <w:rsid w:val="11072A94"/>
    <w:rsid w:val="112A558F"/>
    <w:rsid w:val="113118BF"/>
    <w:rsid w:val="11745F0B"/>
    <w:rsid w:val="11C21003"/>
    <w:rsid w:val="11F8062F"/>
    <w:rsid w:val="122F788F"/>
    <w:rsid w:val="124D44D7"/>
    <w:rsid w:val="12834530"/>
    <w:rsid w:val="12DB5F87"/>
    <w:rsid w:val="130725DA"/>
    <w:rsid w:val="13515442"/>
    <w:rsid w:val="13573157"/>
    <w:rsid w:val="13675A6C"/>
    <w:rsid w:val="139D3360"/>
    <w:rsid w:val="14A73D9A"/>
    <w:rsid w:val="15080B89"/>
    <w:rsid w:val="152810E0"/>
    <w:rsid w:val="15396F94"/>
    <w:rsid w:val="1543462D"/>
    <w:rsid w:val="15E909BB"/>
    <w:rsid w:val="16011297"/>
    <w:rsid w:val="160E21CF"/>
    <w:rsid w:val="163A1216"/>
    <w:rsid w:val="16FE0496"/>
    <w:rsid w:val="173E4D36"/>
    <w:rsid w:val="175715F2"/>
    <w:rsid w:val="1776627E"/>
    <w:rsid w:val="17E31439"/>
    <w:rsid w:val="1805622F"/>
    <w:rsid w:val="18530C45"/>
    <w:rsid w:val="18AF6EB7"/>
    <w:rsid w:val="18D05E62"/>
    <w:rsid w:val="18E0603D"/>
    <w:rsid w:val="18E35B95"/>
    <w:rsid w:val="18F26A29"/>
    <w:rsid w:val="19404D95"/>
    <w:rsid w:val="1947264D"/>
    <w:rsid w:val="195A6195"/>
    <w:rsid w:val="19D43730"/>
    <w:rsid w:val="19EC11AD"/>
    <w:rsid w:val="19FB6F0E"/>
    <w:rsid w:val="1A136006"/>
    <w:rsid w:val="1A1D50D7"/>
    <w:rsid w:val="1A22449B"/>
    <w:rsid w:val="1A5257E6"/>
    <w:rsid w:val="1A530AF8"/>
    <w:rsid w:val="1A6B565C"/>
    <w:rsid w:val="1AC76DF0"/>
    <w:rsid w:val="1AF71484"/>
    <w:rsid w:val="1B0167A6"/>
    <w:rsid w:val="1B46240B"/>
    <w:rsid w:val="1B4D19EC"/>
    <w:rsid w:val="1B66485B"/>
    <w:rsid w:val="1B9B4505"/>
    <w:rsid w:val="1BAF0483"/>
    <w:rsid w:val="1C7134B8"/>
    <w:rsid w:val="1CC17F9B"/>
    <w:rsid w:val="1CD87093"/>
    <w:rsid w:val="1D1E3640"/>
    <w:rsid w:val="1D512C40"/>
    <w:rsid w:val="1D6848BB"/>
    <w:rsid w:val="1D817490"/>
    <w:rsid w:val="1DEA37E0"/>
    <w:rsid w:val="1DEF6D8A"/>
    <w:rsid w:val="1E4B787E"/>
    <w:rsid w:val="1EBD29E4"/>
    <w:rsid w:val="1F215E0C"/>
    <w:rsid w:val="1F486752"/>
    <w:rsid w:val="1F4D3D68"/>
    <w:rsid w:val="1FD73F22"/>
    <w:rsid w:val="20052895"/>
    <w:rsid w:val="201C373B"/>
    <w:rsid w:val="20670E5A"/>
    <w:rsid w:val="206A26F8"/>
    <w:rsid w:val="20B3618E"/>
    <w:rsid w:val="20E95D13"/>
    <w:rsid w:val="20F546B7"/>
    <w:rsid w:val="213845A4"/>
    <w:rsid w:val="213D7E0C"/>
    <w:rsid w:val="215D04AF"/>
    <w:rsid w:val="216E446A"/>
    <w:rsid w:val="2175445C"/>
    <w:rsid w:val="217F0425"/>
    <w:rsid w:val="21894E00"/>
    <w:rsid w:val="21A97250"/>
    <w:rsid w:val="21AA3265"/>
    <w:rsid w:val="222334A6"/>
    <w:rsid w:val="22791318"/>
    <w:rsid w:val="22AC524A"/>
    <w:rsid w:val="22E76282"/>
    <w:rsid w:val="23007343"/>
    <w:rsid w:val="2309269C"/>
    <w:rsid w:val="234504EA"/>
    <w:rsid w:val="234F4B40"/>
    <w:rsid w:val="2351194D"/>
    <w:rsid w:val="236B40EE"/>
    <w:rsid w:val="23812232"/>
    <w:rsid w:val="23AE6894"/>
    <w:rsid w:val="23B02B18"/>
    <w:rsid w:val="23B1063E"/>
    <w:rsid w:val="23DA7B95"/>
    <w:rsid w:val="23E50BF5"/>
    <w:rsid w:val="240C3A97"/>
    <w:rsid w:val="24194B61"/>
    <w:rsid w:val="247D50F0"/>
    <w:rsid w:val="24D12D46"/>
    <w:rsid w:val="24FD1D8D"/>
    <w:rsid w:val="25553977"/>
    <w:rsid w:val="256F255E"/>
    <w:rsid w:val="25F0369F"/>
    <w:rsid w:val="265A320F"/>
    <w:rsid w:val="266876DA"/>
    <w:rsid w:val="26934177"/>
    <w:rsid w:val="26BC17D3"/>
    <w:rsid w:val="26D7660D"/>
    <w:rsid w:val="275D749E"/>
    <w:rsid w:val="27BF5A1F"/>
    <w:rsid w:val="27DB7216"/>
    <w:rsid w:val="28070FDB"/>
    <w:rsid w:val="281C077C"/>
    <w:rsid w:val="285717B4"/>
    <w:rsid w:val="288F53F1"/>
    <w:rsid w:val="28A6098D"/>
    <w:rsid w:val="28BA7F95"/>
    <w:rsid w:val="28C80903"/>
    <w:rsid w:val="28F17E5A"/>
    <w:rsid w:val="29331757"/>
    <w:rsid w:val="293B6129"/>
    <w:rsid w:val="29600B3C"/>
    <w:rsid w:val="296F6FD1"/>
    <w:rsid w:val="29986528"/>
    <w:rsid w:val="29B75678"/>
    <w:rsid w:val="29C4731D"/>
    <w:rsid w:val="29D532D8"/>
    <w:rsid w:val="29F714A0"/>
    <w:rsid w:val="29F85218"/>
    <w:rsid w:val="2A03518E"/>
    <w:rsid w:val="2A1F4553"/>
    <w:rsid w:val="2A24600D"/>
    <w:rsid w:val="2A6A04F1"/>
    <w:rsid w:val="2A9A62D0"/>
    <w:rsid w:val="2AAA4765"/>
    <w:rsid w:val="2AD52E64"/>
    <w:rsid w:val="2ADE61BC"/>
    <w:rsid w:val="2AE632C3"/>
    <w:rsid w:val="2B3202B6"/>
    <w:rsid w:val="2BA74800"/>
    <w:rsid w:val="2BE71ED2"/>
    <w:rsid w:val="2C16251C"/>
    <w:rsid w:val="2C2C73FB"/>
    <w:rsid w:val="2C4B5AD3"/>
    <w:rsid w:val="2C581F9E"/>
    <w:rsid w:val="2C5A3F68"/>
    <w:rsid w:val="2CC55886"/>
    <w:rsid w:val="2CC6515A"/>
    <w:rsid w:val="2D8D1641"/>
    <w:rsid w:val="2DBD030B"/>
    <w:rsid w:val="2E092923"/>
    <w:rsid w:val="2EBC6814"/>
    <w:rsid w:val="2EC21951"/>
    <w:rsid w:val="2EDF0755"/>
    <w:rsid w:val="2F324D29"/>
    <w:rsid w:val="2F5E78CC"/>
    <w:rsid w:val="2F67044C"/>
    <w:rsid w:val="2F8A246F"/>
    <w:rsid w:val="2F9B4741"/>
    <w:rsid w:val="2FC242FE"/>
    <w:rsid w:val="2FC811E9"/>
    <w:rsid w:val="2FD63906"/>
    <w:rsid w:val="303E0CF0"/>
    <w:rsid w:val="307F3906"/>
    <w:rsid w:val="30F009F7"/>
    <w:rsid w:val="31264419"/>
    <w:rsid w:val="313C3C3D"/>
    <w:rsid w:val="315E1E05"/>
    <w:rsid w:val="31C14142"/>
    <w:rsid w:val="31DE2F46"/>
    <w:rsid w:val="3247038E"/>
    <w:rsid w:val="325D3E6B"/>
    <w:rsid w:val="32981D85"/>
    <w:rsid w:val="32AA339D"/>
    <w:rsid w:val="32DB1233"/>
    <w:rsid w:val="330662B0"/>
    <w:rsid w:val="332B3F69"/>
    <w:rsid w:val="334731E4"/>
    <w:rsid w:val="335373EA"/>
    <w:rsid w:val="33941B0E"/>
    <w:rsid w:val="33D75E9F"/>
    <w:rsid w:val="342F4B95"/>
    <w:rsid w:val="345D2848"/>
    <w:rsid w:val="345D45F6"/>
    <w:rsid w:val="34691DA5"/>
    <w:rsid w:val="34767465"/>
    <w:rsid w:val="347D07F4"/>
    <w:rsid w:val="348F0527"/>
    <w:rsid w:val="34CA77B1"/>
    <w:rsid w:val="34D16D92"/>
    <w:rsid w:val="34E72111"/>
    <w:rsid w:val="358362DE"/>
    <w:rsid w:val="358F3D6E"/>
    <w:rsid w:val="35C10BB4"/>
    <w:rsid w:val="35C44201"/>
    <w:rsid w:val="35EB3E83"/>
    <w:rsid w:val="35F03248"/>
    <w:rsid w:val="363A6AB8"/>
    <w:rsid w:val="36633D60"/>
    <w:rsid w:val="369B31B3"/>
    <w:rsid w:val="36EB413B"/>
    <w:rsid w:val="375717D0"/>
    <w:rsid w:val="375D2B5F"/>
    <w:rsid w:val="3768578B"/>
    <w:rsid w:val="37B63132"/>
    <w:rsid w:val="37FC4126"/>
    <w:rsid w:val="37FD5409"/>
    <w:rsid w:val="38084878"/>
    <w:rsid w:val="38305B7D"/>
    <w:rsid w:val="383513E6"/>
    <w:rsid w:val="38390ED6"/>
    <w:rsid w:val="38392C84"/>
    <w:rsid w:val="383B4C4E"/>
    <w:rsid w:val="38455ACD"/>
    <w:rsid w:val="38B20EE7"/>
    <w:rsid w:val="39567866"/>
    <w:rsid w:val="39810822"/>
    <w:rsid w:val="3A085004"/>
    <w:rsid w:val="3A147B92"/>
    <w:rsid w:val="3A371445"/>
    <w:rsid w:val="3A5169AB"/>
    <w:rsid w:val="3A63048C"/>
    <w:rsid w:val="3A764FE8"/>
    <w:rsid w:val="3AE570F3"/>
    <w:rsid w:val="3AF92B9E"/>
    <w:rsid w:val="3B057795"/>
    <w:rsid w:val="3B2A71FC"/>
    <w:rsid w:val="3B6A75F8"/>
    <w:rsid w:val="3B8D6AEC"/>
    <w:rsid w:val="3BA725FA"/>
    <w:rsid w:val="3BE473AB"/>
    <w:rsid w:val="3C1934F8"/>
    <w:rsid w:val="3C81109D"/>
    <w:rsid w:val="3CD236A7"/>
    <w:rsid w:val="3D17730C"/>
    <w:rsid w:val="3D430101"/>
    <w:rsid w:val="3D5440BC"/>
    <w:rsid w:val="3D6E33D0"/>
    <w:rsid w:val="3D885112"/>
    <w:rsid w:val="3D94095C"/>
    <w:rsid w:val="3DAE1090"/>
    <w:rsid w:val="3DAE7C70"/>
    <w:rsid w:val="3DF37D79"/>
    <w:rsid w:val="3DFB398F"/>
    <w:rsid w:val="3E4800C5"/>
    <w:rsid w:val="3E6622F9"/>
    <w:rsid w:val="3EB2553E"/>
    <w:rsid w:val="3EBF1A09"/>
    <w:rsid w:val="3ECD34FD"/>
    <w:rsid w:val="3ED111F0"/>
    <w:rsid w:val="3ED95F70"/>
    <w:rsid w:val="3EDC25BB"/>
    <w:rsid w:val="3F1308DD"/>
    <w:rsid w:val="3F375A43"/>
    <w:rsid w:val="3F3F561C"/>
    <w:rsid w:val="3F6F1681"/>
    <w:rsid w:val="3F76656C"/>
    <w:rsid w:val="3FB6105E"/>
    <w:rsid w:val="3FC90D91"/>
    <w:rsid w:val="400A1F81"/>
    <w:rsid w:val="40416B7A"/>
    <w:rsid w:val="404D19C2"/>
    <w:rsid w:val="40736F4F"/>
    <w:rsid w:val="40A84E4B"/>
    <w:rsid w:val="40FC6F44"/>
    <w:rsid w:val="41032081"/>
    <w:rsid w:val="416C5E78"/>
    <w:rsid w:val="418C651A"/>
    <w:rsid w:val="41C51A2C"/>
    <w:rsid w:val="41FB71FC"/>
    <w:rsid w:val="421B164C"/>
    <w:rsid w:val="423821FE"/>
    <w:rsid w:val="427A3024"/>
    <w:rsid w:val="42E61C5A"/>
    <w:rsid w:val="42EA174A"/>
    <w:rsid w:val="42FB4E6F"/>
    <w:rsid w:val="430E0BD3"/>
    <w:rsid w:val="432905FD"/>
    <w:rsid w:val="439B47F3"/>
    <w:rsid w:val="43F42155"/>
    <w:rsid w:val="442742D8"/>
    <w:rsid w:val="445A5F90"/>
    <w:rsid w:val="44894DED"/>
    <w:rsid w:val="44A818BD"/>
    <w:rsid w:val="44B33DBE"/>
    <w:rsid w:val="455235D7"/>
    <w:rsid w:val="45BC6CA2"/>
    <w:rsid w:val="45E85D11"/>
    <w:rsid w:val="45EF7078"/>
    <w:rsid w:val="45F36B68"/>
    <w:rsid w:val="46202C1B"/>
    <w:rsid w:val="46641814"/>
    <w:rsid w:val="4685178A"/>
    <w:rsid w:val="46D1677D"/>
    <w:rsid w:val="472B40E0"/>
    <w:rsid w:val="47462CC7"/>
    <w:rsid w:val="47525B10"/>
    <w:rsid w:val="47573126"/>
    <w:rsid w:val="47C702AC"/>
    <w:rsid w:val="47F941DE"/>
    <w:rsid w:val="482B6361"/>
    <w:rsid w:val="482E032B"/>
    <w:rsid w:val="48763A80"/>
    <w:rsid w:val="48943F06"/>
    <w:rsid w:val="48EC5AF0"/>
    <w:rsid w:val="494E2307"/>
    <w:rsid w:val="4A2B1F55"/>
    <w:rsid w:val="4A2F4538"/>
    <w:rsid w:val="4A473FD3"/>
    <w:rsid w:val="4A9D3546"/>
    <w:rsid w:val="4AAC19DB"/>
    <w:rsid w:val="4B045CC7"/>
    <w:rsid w:val="4B2A4131"/>
    <w:rsid w:val="4BAB57EF"/>
    <w:rsid w:val="4BCA036B"/>
    <w:rsid w:val="4C575977"/>
    <w:rsid w:val="4C5D5CF6"/>
    <w:rsid w:val="4C605AC0"/>
    <w:rsid w:val="4C982217"/>
    <w:rsid w:val="4CAD5597"/>
    <w:rsid w:val="4CAF130F"/>
    <w:rsid w:val="4D150469"/>
    <w:rsid w:val="4D673998"/>
    <w:rsid w:val="4D722A68"/>
    <w:rsid w:val="4D7A191D"/>
    <w:rsid w:val="4DA1334D"/>
    <w:rsid w:val="4DAC0570"/>
    <w:rsid w:val="4DB66785"/>
    <w:rsid w:val="4DD728CB"/>
    <w:rsid w:val="4E2875CB"/>
    <w:rsid w:val="4E345F70"/>
    <w:rsid w:val="4E7914C9"/>
    <w:rsid w:val="4F860A4D"/>
    <w:rsid w:val="4FC6709B"/>
    <w:rsid w:val="4FFA6D45"/>
    <w:rsid w:val="508036EE"/>
    <w:rsid w:val="50F950DC"/>
    <w:rsid w:val="511C61DF"/>
    <w:rsid w:val="51275918"/>
    <w:rsid w:val="5153495F"/>
    <w:rsid w:val="51913184"/>
    <w:rsid w:val="51D75590"/>
    <w:rsid w:val="51F15F26"/>
    <w:rsid w:val="52291B63"/>
    <w:rsid w:val="52613729"/>
    <w:rsid w:val="527C7EE5"/>
    <w:rsid w:val="528648C0"/>
    <w:rsid w:val="5312043B"/>
    <w:rsid w:val="53281A16"/>
    <w:rsid w:val="535D7D17"/>
    <w:rsid w:val="53CE29C2"/>
    <w:rsid w:val="53CF7B87"/>
    <w:rsid w:val="54177EC5"/>
    <w:rsid w:val="545F79F1"/>
    <w:rsid w:val="546155E5"/>
    <w:rsid w:val="54E81862"/>
    <w:rsid w:val="54F9719B"/>
    <w:rsid w:val="550A17D8"/>
    <w:rsid w:val="55350158"/>
    <w:rsid w:val="556D1D67"/>
    <w:rsid w:val="563D798B"/>
    <w:rsid w:val="566E649D"/>
    <w:rsid w:val="5672674B"/>
    <w:rsid w:val="568E30D2"/>
    <w:rsid w:val="56941CA1"/>
    <w:rsid w:val="56BD287A"/>
    <w:rsid w:val="57030BD5"/>
    <w:rsid w:val="57032983"/>
    <w:rsid w:val="57A001D2"/>
    <w:rsid w:val="57A9177C"/>
    <w:rsid w:val="57DD31D4"/>
    <w:rsid w:val="57DE6F4C"/>
    <w:rsid w:val="5893000F"/>
    <w:rsid w:val="589A7317"/>
    <w:rsid w:val="58CA7BFC"/>
    <w:rsid w:val="58F46A27"/>
    <w:rsid w:val="58F76517"/>
    <w:rsid w:val="591F15CA"/>
    <w:rsid w:val="59253085"/>
    <w:rsid w:val="593A7A7E"/>
    <w:rsid w:val="59440DB8"/>
    <w:rsid w:val="59A0270B"/>
    <w:rsid w:val="59EA4E23"/>
    <w:rsid w:val="59FB5B93"/>
    <w:rsid w:val="5A054C64"/>
    <w:rsid w:val="5AE14D89"/>
    <w:rsid w:val="5B32501E"/>
    <w:rsid w:val="5B6D486F"/>
    <w:rsid w:val="5BAB5397"/>
    <w:rsid w:val="5BC07095"/>
    <w:rsid w:val="5BDB5C7C"/>
    <w:rsid w:val="5BE014E5"/>
    <w:rsid w:val="5BE10DB9"/>
    <w:rsid w:val="5C763BF7"/>
    <w:rsid w:val="5CD31049"/>
    <w:rsid w:val="5CDD77D2"/>
    <w:rsid w:val="5CE84AF5"/>
    <w:rsid w:val="5CEB6393"/>
    <w:rsid w:val="5CEC66CD"/>
    <w:rsid w:val="5CF67722"/>
    <w:rsid w:val="5D6B1282"/>
    <w:rsid w:val="5DBE3B11"/>
    <w:rsid w:val="5E940365"/>
    <w:rsid w:val="5EE237C6"/>
    <w:rsid w:val="5F1A2F60"/>
    <w:rsid w:val="5F2913F5"/>
    <w:rsid w:val="5F2B6F1B"/>
    <w:rsid w:val="5F423FD1"/>
    <w:rsid w:val="5F4973A1"/>
    <w:rsid w:val="5F8B566C"/>
    <w:rsid w:val="5FB567E4"/>
    <w:rsid w:val="5FEB66AA"/>
    <w:rsid w:val="60041FE2"/>
    <w:rsid w:val="602045A6"/>
    <w:rsid w:val="60504608"/>
    <w:rsid w:val="605129B1"/>
    <w:rsid w:val="60557755"/>
    <w:rsid w:val="60687CFB"/>
    <w:rsid w:val="60894991"/>
    <w:rsid w:val="609D1752"/>
    <w:rsid w:val="60AC70A1"/>
    <w:rsid w:val="616109D2"/>
    <w:rsid w:val="61720E31"/>
    <w:rsid w:val="619A0388"/>
    <w:rsid w:val="61D2367E"/>
    <w:rsid w:val="627B1F67"/>
    <w:rsid w:val="62D6719E"/>
    <w:rsid w:val="630319A2"/>
    <w:rsid w:val="632443AD"/>
    <w:rsid w:val="633917C5"/>
    <w:rsid w:val="634E4F86"/>
    <w:rsid w:val="637013A0"/>
    <w:rsid w:val="638C2DDA"/>
    <w:rsid w:val="63A004C7"/>
    <w:rsid w:val="63D47B81"/>
    <w:rsid w:val="63D6002F"/>
    <w:rsid w:val="643028DD"/>
    <w:rsid w:val="64410F8F"/>
    <w:rsid w:val="644F0158"/>
    <w:rsid w:val="645667E8"/>
    <w:rsid w:val="6457430E"/>
    <w:rsid w:val="64630F05"/>
    <w:rsid w:val="64874BF3"/>
    <w:rsid w:val="6488096B"/>
    <w:rsid w:val="648A46E4"/>
    <w:rsid w:val="64B62594"/>
    <w:rsid w:val="64B82FFF"/>
    <w:rsid w:val="64F875AA"/>
    <w:rsid w:val="655A2308"/>
    <w:rsid w:val="658F455A"/>
    <w:rsid w:val="659B0C36"/>
    <w:rsid w:val="65A92947"/>
    <w:rsid w:val="65B85280"/>
    <w:rsid w:val="660E4EA0"/>
    <w:rsid w:val="66210A68"/>
    <w:rsid w:val="6646463A"/>
    <w:rsid w:val="666F3B91"/>
    <w:rsid w:val="66815672"/>
    <w:rsid w:val="668E172B"/>
    <w:rsid w:val="66AB26EF"/>
    <w:rsid w:val="66D42697"/>
    <w:rsid w:val="66D659BE"/>
    <w:rsid w:val="66E75E1D"/>
    <w:rsid w:val="674A63AC"/>
    <w:rsid w:val="67760F4F"/>
    <w:rsid w:val="67867E8B"/>
    <w:rsid w:val="6787315C"/>
    <w:rsid w:val="68815DFE"/>
    <w:rsid w:val="68B7537B"/>
    <w:rsid w:val="68BE495C"/>
    <w:rsid w:val="6914456A"/>
    <w:rsid w:val="692D1AE1"/>
    <w:rsid w:val="697B284D"/>
    <w:rsid w:val="69894F6A"/>
    <w:rsid w:val="698C75B8"/>
    <w:rsid w:val="69EB1780"/>
    <w:rsid w:val="69F83E9D"/>
    <w:rsid w:val="69FF522C"/>
    <w:rsid w:val="6A4E3ABD"/>
    <w:rsid w:val="6A7C687C"/>
    <w:rsid w:val="6A9F256B"/>
    <w:rsid w:val="6B560E7C"/>
    <w:rsid w:val="6B685053"/>
    <w:rsid w:val="6B7B2FD8"/>
    <w:rsid w:val="6C24541E"/>
    <w:rsid w:val="6C975BF0"/>
    <w:rsid w:val="6CE54BAD"/>
    <w:rsid w:val="6D1014FE"/>
    <w:rsid w:val="6D1234C8"/>
    <w:rsid w:val="6D54763D"/>
    <w:rsid w:val="6D6D4BA2"/>
    <w:rsid w:val="6DD469CF"/>
    <w:rsid w:val="6DDD5884"/>
    <w:rsid w:val="6E405E13"/>
    <w:rsid w:val="6E753D0F"/>
    <w:rsid w:val="6E95615F"/>
    <w:rsid w:val="6EC407F2"/>
    <w:rsid w:val="6F9401C4"/>
    <w:rsid w:val="6FF375E1"/>
    <w:rsid w:val="701D28B0"/>
    <w:rsid w:val="70383246"/>
    <w:rsid w:val="70567B70"/>
    <w:rsid w:val="70A711B4"/>
    <w:rsid w:val="70EB650A"/>
    <w:rsid w:val="71027B60"/>
    <w:rsid w:val="711D243B"/>
    <w:rsid w:val="71641E18"/>
    <w:rsid w:val="716D33C3"/>
    <w:rsid w:val="723467FA"/>
    <w:rsid w:val="72BD3ED6"/>
    <w:rsid w:val="72D80D10"/>
    <w:rsid w:val="72E476B5"/>
    <w:rsid w:val="73652B14"/>
    <w:rsid w:val="7375030D"/>
    <w:rsid w:val="73D43285"/>
    <w:rsid w:val="7419550A"/>
    <w:rsid w:val="74363F40"/>
    <w:rsid w:val="74604B19"/>
    <w:rsid w:val="7564688B"/>
    <w:rsid w:val="75790588"/>
    <w:rsid w:val="75D91027"/>
    <w:rsid w:val="75D94B83"/>
    <w:rsid w:val="761B163F"/>
    <w:rsid w:val="764346F2"/>
    <w:rsid w:val="764A5A81"/>
    <w:rsid w:val="76726D86"/>
    <w:rsid w:val="76CF41D8"/>
    <w:rsid w:val="76D96E05"/>
    <w:rsid w:val="77381D7D"/>
    <w:rsid w:val="7758524F"/>
    <w:rsid w:val="775F2708"/>
    <w:rsid w:val="778B00FF"/>
    <w:rsid w:val="779571D0"/>
    <w:rsid w:val="7807758E"/>
    <w:rsid w:val="7857749F"/>
    <w:rsid w:val="787A32BF"/>
    <w:rsid w:val="794B3787"/>
    <w:rsid w:val="79667075"/>
    <w:rsid w:val="798474FC"/>
    <w:rsid w:val="79E32474"/>
    <w:rsid w:val="79E81839"/>
    <w:rsid w:val="7A102B3D"/>
    <w:rsid w:val="7A2D6FD8"/>
    <w:rsid w:val="7A4D3D91"/>
    <w:rsid w:val="7AA5597C"/>
    <w:rsid w:val="7AAC3DA0"/>
    <w:rsid w:val="7ADA305B"/>
    <w:rsid w:val="7AF8216E"/>
    <w:rsid w:val="7B0703E4"/>
    <w:rsid w:val="7B0E322E"/>
    <w:rsid w:val="7B114DBF"/>
    <w:rsid w:val="7B5D6256"/>
    <w:rsid w:val="7B707D38"/>
    <w:rsid w:val="7BB35E76"/>
    <w:rsid w:val="7BD227A0"/>
    <w:rsid w:val="7C5807CC"/>
    <w:rsid w:val="7CDB38D7"/>
    <w:rsid w:val="7CE64029"/>
    <w:rsid w:val="7D064A03"/>
    <w:rsid w:val="7D2A03BA"/>
    <w:rsid w:val="7D4C6582"/>
    <w:rsid w:val="7D684ECB"/>
    <w:rsid w:val="7D722620"/>
    <w:rsid w:val="7D7635FF"/>
    <w:rsid w:val="7D7B0C16"/>
    <w:rsid w:val="7D985324"/>
    <w:rsid w:val="7DBB2E3D"/>
    <w:rsid w:val="7E0E1A8A"/>
    <w:rsid w:val="7E5073C7"/>
    <w:rsid w:val="7E971A7F"/>
    <w:rsid w:val="7EF23159"/>
    <w:rsid w:val="7F0013D2"/>
    <w:rsid w:val="7FB12A0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qFormat/>
    <w:uiPriority w:val="0"/>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210"/>
    </w:pPr>
    <w:rPr>
      <w:sz w:val="21"/>
      <w:szCs w:val="20"/>
    </w:rPr>
  </w:style>
  <w:style w:type="paragraph" w:styleId="3">
    <w:name w:val="Body Text Indent"/>
    <w:basedOn w:val="1"/>
    <w:qFormat/>
    <w:uiPriority w:val="0"/>
    <w:pPr>
      <w:spacing w:after="0"/>
      <w:ind w:firstLine="480" w:firstLineChars="178"/>
    </w:pPr>
    <w:rPr>
      <w:rFonts w:ascii="Times New Roman" w:hAnsi="Times New Roman"/>
      <w:sz w:val="28"/>
      <w:szCs w:val="2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paragraph" w:customStyle="1" w:styleId="12">
    <w:name w:val="Body text|1"/>
    <w:basedOn w:val="1"/>
    <w:qFormat/>
    <w:uiPriority w:val="0"/>
    <w:pPr>
      <w:widowControl w:val="0"/>
      <w:shd w:val="clear" w:color="auto" w:fill="auto"/>
      <w:spacing w:line="379" w:lineRule="auto"/>
      <w:ind w:firstLine="400"/>
    </w:pPr>
    <w:rPr>
      <w:rFonts w:ascii="宋体" w:hAnsi="宋体" w:eastAsia="宋体" w:cs="宋体"/>
      <w:sz w:val="30"/>
      <w:szCs w:val="30"/>
      <w:u w:val="none"/>
      <w:shd w:val="clear" w:color="auto" w:fill="auto"/>
      <w:lang w:val="zh-TW" w:eastAsia="zh-TW" w:bidi="zh-TW"/>
    </w:rPr>
  </w:style>
  <w:style w:type="paragraph" w:customStyle="1" w:styleId="13">
    <w:name w:val="Body text|3"/>
    <w:basedOn w:val="1"/>
    <w:qFormat/>
    <w:uiPriority w:val="0"/>
    <w:pPr>
      <w:widowControl w:val="0"/>
      <w:shd w:val="clear" w:color="auto" w:fill="auto"/>
      <w:spacing w:after="260" w:line="560" w:lineRule="exact"/>
      <w:ind w:firstLine="470"/>
    </w:pPr>
    <w:rPr>
      <w:sz w:val="28"/>
      <w:szCs w:val="28"/>
      <w:u w:val="none"/>
      <w:shd w:val="clear" w:color="auto" w:fill="auto"/>
    </w:rPr>
  </w:style>
  <w:style w:type="paragraph" w:customStyle="1" w:styleId="14">
    <w:name w:val="Body text|2"/>
    <w:basedOn w:val="1"/>
    <w:qFormat/>
    <w:uiPriority w:val="0"/>
    <w:pPr>
      <w:widowControl w:val="0"/>
      <w:shd w:val="clear" w:color="auto" w:fill="auto"/>
      <w:spacing w:line="560" w:lineRule="exact"/>
      <w:ind w:left="80" w:firstLine="640"/>
    </w:pPr>
    <w:rPr>
      <w:rFonts w:ascii="宋体" w:hAnsi="宋体" w:eastAsia="宋体" w:cs="宋体"/>
      <w:sz w:val="30"/>
      <w:szCs w:val="30"/>
      <w:u w:val="none"/>
      <w:shd w:val="clear" w:color="auto" w:fill="auto"/>
      <w:lang w:val="zh-TW" w:eastAsia="zh-TW" w:bidi="zh-TW"/>
    </w:rPr>
  </w:style>
  <w:style w:type="paragraph" w:customStyle="1" w:styleId="15">
    <w:name w:val="章标题"/>
    <w:basedOn w:val="1"/>
    <w:next w:val="16"/>
    <w:qFormat/>
    <w:uiPriority w:val="0"/>
    <w:pPr>
      <w:widowControl/>
      <w:spacing w:before="158" w:beforeLines="0" w:after="153" w:afterLines="0" w:line="323" w:lineRule="atLeast"/>
      <w:ind w:right="-120"/>
      <w:jc w:val="center"/>
      <w:textAlignment w:val="baseline"/>
    </w:pPr>
    <w:rPr>
      <w:color w:val="FF0000"/>
      <w:kern w:val="0"/>
      <w:sz w:val="18"/>
      <w:szCs w:val="18"/>
    </w:rPr>
  </w:style>
  <w:style w:type="paragraph" w:customStyle="1" w:styleId="16">
    <w:name w:val="节标题"/>
    <w:basedOn w:val="1"/>
    <w:next w:val="1"/>
    <w:qFormat/>
    <w:uiPriority w:val="0"/>
    <w:pPr>
      <w:widowControl/>
      <w:spacing w:line="289" w:lineRule="atLeast"/>
      <w:jc w:val="center"/>
      <w:textAlignment w:val="baseline"/>
    </w:pPr>
    <w:rPr>
      <w:color w:val="000000"/>
      <w:kern w:val="0"/>
      <w:sz w:val="28"/>
      <w:szCs w:val="20"/>
      <w:u w:val="none" w:color="00000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1344</Words>
  <Characters>1421</Characters>
  <Lines>7</Lines>
  <Paragraphs>2</Paragraphs>
  <TotalTime>12</TotalTime>
  <ScaleCrop>false</ScaleCrop>
  <LinksUpToDate>false</LinksUpToDate>
  <CharactersWithSpaces>1601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2015-03-20T04:44:00Z</dcterms:created>
  <dc:creator>admin</dc:creator>
  <cp:lastModifiedBy>柒柒柒柒柒</cp:lastModifiedBy>
  <cp:lastPrinted>2026-07-31T09:57:00Z</cp:lastPrinted>
  <dcterms:modified xsi:type="dcterms:W3CDTF">2026-08-06T01:54:15Z</dcterms:modified>
  <dc:title>遂宁市安居区龙眼井区间道路二等工程可行性研究报告编制报价邀请函</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29A367AAAE1D47118D8523D318D4C4C2_13</vt:lpwstr>
  </property>
  <property fmtid="{D5CDD505-2E9C-101B-9397-08002B2CF9AE}" pid="4" name="KSOTemplateDocerSaveRecord">
    <vt:lpwstr>eyJoZGlkIjoiZWEzN2UwMjlkN2NkZTc3N2UzODNmNTQ2ZTA3YmYwYTUiLCJ1c2VySWQiOiI3MDQxNDEwNzMifQ==</vt:lpwstr>
  </property>
</Properties>
</file>