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4C871">
      <w:pPr>
        <w:pStyle w:val="2"/>
        <w:bidi w:val="0"/>
        <w:jc w:val="center"/>
        <w:rPr>
          <w:rFonts w:hint="eastAsia"/>
          <w:lang w:val="en-US" w:eastAsia="zh-CN"/>
        </w:rPr>
      </w:pPr>
      <w:r>
        <w:rPr>
          <w:rFonts w:hint="eastAsia"/>
          <w:lang w:val="en-US" w:eastAsia="zh-CN"/>
        </w:rPr>
        <w:t xml:space="preserve">遂宁市安居区农村产业融合示范园区建设项目（一期）（道路及产业园基础设施建设）第四批         </w:t>
      </w:r>
    </w:p>
    <w:p w14:paraId="0BEC3ADC">
      <w:pPr>
        <w:pStyle w:val="2"/>
        <w:bidi w:val="0"/>
        <w:jc w:val="center"/>
        <w:rPr>
          <w:rFonts w:hint="eastAsia" w:ascii="仿宋_GB2312" w:hAnsi="仿宋_GB2312" w:eastAsia="仿宋_GB2312" w:cs="仿宋_GB2312"/>
          <w:color w:val="000000" w:themeColor="text1"/>
          <w:sz w:val="32"/>
          <w:szCs w:val="32"/>
          <w:highlight w:val="none"/>
          <w:u w:val="none"/>
          <w:shd w:val="clear" w:color="auto" w:fill="auto"/>
          <w:lang w:val="en-US" w:eastAsia="zh-CN"/>
          <w14:textFill>
            <w14:solidFill>
              <w14:schemeClr w14:val="tx1"/>
            </w14:solidFill>
          </w14:textFill>
        </w:rPr>
      </w:pPr>
      <w:r>
        <w:rPr>
          <w:rFonts w:hint="eastAsia"/>
          <w:lang w:val="en-US" w:eastAsia="zh-CN"/>
        </w:rPr>
        <w:t xml:space="preserve">    标准砖、钢筋等材料采购</w:t>
      </w:r>
      <w:r>
        <w:rPr>
          <w:rFonts w:hint="eastAsia"/>
          <w:lang w:eastAsia="zh-CN"/>
        </w:rPr>
        <w:t>报价</w:t>
      </w:r>
      <w:r>
        <w:rPr>
          <w:rFonts w:hint="eastAsia"/>
          <w:lang w:val="en-US" w:eastAsia="zh-CN"/>
        </w:rPr>
        <w:t>比选</w:t>
      </w:r>
      <w:r>
        <w:rPr>
          <w:rFonts w:hint="eastAsia"/>
          <w:lang w:eastAsia="zh-CN"/>
        </w:rPr>
        <w:t>邀请函</w:t>
      </w:r>
    </w:p>
    <w:p w14:paraId="526BC00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firstLine="0" w:firstLineChars="0"/>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各单位：</w:t>
      </w:r>
    </w:p>
    <w:p w14:paraId="0801CC0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textAlignment w:val="auto"/>
        <w:rPr>
          <w:rFonts w:hint="eastAsia" w:ascii="仿宋_GB2312" w:hAnsi="仿宋_GB2312" w:eastAsia="仿宋_GB2312" w:cs="仿宋_GB2312"/>
          <w:color w:val="000000" w:themeColor="text1"/>
          <w:sz w:val="30"/>
          <w:szCs w:val="30"/>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auto"/>
          <w14:textFill>
            <w14:solidFill>
              <w14:schemeClr w14:val="tx1"/>
            </w14:solidFill>
          </w14:textFill>
        </w:rPr>
        <w:t>我司</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中标的遂宁市安居区农村产业融合示范园区建设项目（一期）（道路及产业园基础设施建设）第四批</w:t>
      </w:r>
      <w:r>
        <w:rPr>
          <w:rFonts w:hint="default" w:ascii="仿宋_GB2312" w:hAnsi="仿宋_GB2312" w:eastAsia="仿宋_GB2312" w:cs="仿宋_GB2312"/>
          <w:color w:val="000000" w:themeColor="text1"/>
          <w:sz w:val="30"/>
          <w:szCs w:val="30"/>
          <w:highlight w:val="none"/>
          <w:shd w:val="clear" w:color="auto" w:fill="auto"/>
          <w:lang w:eastAsia="zh-CN"/>
          <w14:textFill>
            <w14:solidFill>
              <w14:schemeClr w14:val="tx1"/>
            </w14:solidFill>
          </w14:textFill>
        </w:rPr>
        <w:t>正在建设中，现准备就其中标准砖、钢筋等材料采购</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进行采购，现诚邀各单位进行报价，具体要求及报价表格式如下：</w:t>
      </w:r>
    </w:p>
    <w:p w14:paraId="35F6BA8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color w:val="000000" w:themeColor="text1"/>
          <w:sz w:val="30"/>
          <w:szCs w:val="30"/>
          <w:highlight w:val="none"/>
          <w:shd w:val="clear" w:color="auto" w:fill="auto"/>
          <w14:textFill>
            <w14:solidFill>
              <w14:schemeClr w14:val="tx1"/>
            </w14:solidFill>
          </w14:textFill>
        </w:rPr>
        <w:t>工程</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概况</w:t>
      </w:r>
      <w:r>
        <w:rPr>
          <w:rFonts w:hint="eastAsia" w:ascii="仿宋_GB2312" w:hAnsi="仿宋_GB2312" w:eastAsia="仿宋_GB2312" w:cs="仿宋_GB2312"/>
          <w:color w:val="000000" w:themeColor="text1"/>
          <w:sz w:val="30"/>
          <w:szCs w:val="30"/>
          <w:highlight w:val="none"/>
          <w:shd w:val="clear" w:color="auto" w:fill="auto"/>
          <w14:textFill>
            <w14:solidFill>
              <w14:schemeClr w14:val="tx1"/>
            </w14:solidFill>
          </w14:textFill>
        </w:rPr>
        <w:t>：</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招标清单中的全部材料。</w:t>
      </w:r>
    </w:p>
    <w:p w14:paraId="1CF07B6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2、资质要求：</w:t>
      </w:r>
    </w:p>
    <w:p w14:paraId="335DCE10">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600" w:firstLineChars="200"/>
        <w:textAlignment w:val="auto"/>
        <w:rPr>
          <w:rFonts w:hint="eastAsia" w:ascii="仿宋_GB2312" w:hAnsi="仿宋_GB2312" w:eastAsia="仿宋_GB2312" w:cs="仿宋_GB2312"/>
          <w:color w:val="000000" w:themeColor="text1"/>
          <w:sz w:val="30"/>
          <w:szCs w:val="30"/>
          <w:highlight w:val="none"/>
          <w:shd w:val="clear" w:color="auto" w:fill="auto"/>
          <w:lang w:eastAsia="zh-CN"/>
          <w14:textFill>
            <w14:solidFill>
              <w14:schemeClr w14:val="tx1"/>
            </w14:solidFill>
          </w14:textFill>
        </w:rPr>
      </w:pPr>
      <w:r>
        <w:rPr>
          <w:rFonts w:hint="eastAsia" w:ascii="仿宋_GB2312" w:hAnsi="仿宋_GB2312" w:eastAsia="仿宋_GB2312" w:cs="仿宋_GB2312"/>
          <w:color w:val="auto"/>
          <w:sz w:val="30"/>
          <w:szCs w:val="30"/>
          <w:highlight w:val="none"/>
          <w:lang w:eastAsia="zh-CN"/>
        </w:rPr>
        <w:t>投标人须具备独立企业法人资格，并且同时具备国家行政主管部门颁发的</w:t>
      </w:r>
      <w:r>
        <w:rPr>
          <w:rFonts w:hint="eastAsia" w:ascii="仿宋_GB2312" w:hAnsi="仿宋_GB2312" w:eastAsia="仿宋_GB2312" w:cs="仿宋_GB2312"/>
          <w:color w:val="auto"/>
          <w:sz w:val="30"/>
          <w:szCs w:val="30"/>
          <w:highlight w:val="none"/>
          <w:lang w:val="en-US" w:eastAsia="zh-CN"/>
        </w:rPr>
        <w:t>相关经营资质。</w:t>
      </w:r>
    </w:p>
    <w:p w14:paraId="7D6CB79D">
      <w:pPr>
        <w:keepNext w:val="0"/>
        <w:keepLines w:val="0"/>
        <w:widowControl w:val="0"/>
        <w:suppressLineNumbers w:val="0"/>
        <w:autoSpaceDE w:val="0"/>
        <w:autoSpaceDN w:val="0"/>
        <w:adjustRightInd w:val="0"/>
        <w:spacing w:before="0" w:beforeAutospacing="0" w:after="0" w:afterAutospacing="0" w:line="360" w:lineRule="auto"/>
        <w:ind w:left="0" w:right="0" w:firstLine="600" w:firstLineChars="200"/>
        <w:jc w:val="both"/>
        <w:rPr>
          <w:rFonts w:hint="default" w:ascii="仿宋_GB2312" w:hAnsi="仿宋_GB2312" w:eastAsia="仿宋_GB2312" w:cs="仿宋_GB2312"/>
          <w:color w:val="000000" w:themeColor="text1"/>
          <w:sz w:val="30"/>
          <w:szCs w:val="30"/>
          <w:highlight w:val="yellow"/>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color w:val="000000" w:themeColor="text1"/>
          <w:sz w:val="30"/>
          <w:szCs w:val="30"/>
          <w:highlight w:val="none"/>
          <w:shd w:val="clear" w:color="auto" w:fill="auto"/>
          <w14:textFill>
            <w14:solidFill>
              <w14:schemeClr w14:val="tx1"/>
            </w14:solidFill>
          </w14:textFill>
        </w:rPr>
        <w:t>报价要求及其他：</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数量详附件1，</w:t>
      </w:r>
      <w:r>
        <w:rPr>
          <w:rFonts w:hint="eastAsia" w:ascii="仿宋_GB2312" w:hAnsi="仿宋_GB2312" w:eastAsia="仿宋_GB2312" w:cs="仿宋_GB2312"/>
          <w:b/>
          <w:bCs/>
          <w:color w:val="000000" w:themeColor="text1"/>
          <w:sz w:val="30"/>
          <w:szCs w:val="30"/>
          <w:highlight w:val="none"/>
          <w:shd w:val="clear" w:color="auto" w:fill="auto"/>
          <w:lang w:val="en-US" w:eastAsia="zh-CN"/>
          <w14:textFill>
            <w14:solidFill>
              <w14:schemeClr w14:val="tx1"/>
            </w14:solidFill>
          </w14:textFill>
        </w:rPr>
        <w:t>控制价：10813093.9元</w:t>
      </w:r>
      <w:r>
        <w:rPr>
          <w:rFonts w:hint="eastAsia" w:ascii="仿宋_GB2312" w:hAnsi="仿宋_GB2312" w:eastAsia="仿宋_GB2312" w:cs="仿宋_GB2312"/>
          <w:b w:val="0"/>
          <w:bCs w:val="0"/>
          <w:color w:val="000000" w:themeColor="text1"/>
          <w:sz w:val="30"/>
          <w:szCs w:val="30"/>
          <w:highlight w:val="none"/>
          <w:shd w:val="clear" w:color="auto" w:fill="auto"/>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此价格含税率13%的增值税专用发票）。以单项不含税报价为基础，超过控制价视为废标,综合总价最低的单位中选，最终结算价按实际供货数量进行结算。工程费用包含但不限于运输、上下车等一切相关费用；产品质量标准符合设计图纸要求、现行国家规范、采购人要求。</w:t>
      </w:r>
    </w:p>
    <w:p w14:paraId="5338CE44">
      <w:pPr>
        <w:keepNext w:val="0"/>
        <w:keepLines w:val="0"/>
        <w:pageBreakBefore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_GB2312" w:hAnsi="仿宋_GB2312" w:eastAsia="仿宋_GB2312" w:cs="仿宋_GB2312"/>
          <w:color w:val="000000" w:themeColor="text1"/>
          <w:kern w:val="2"/>
          <w:sz w:val="30"/>
          <w:szCs w:val="30"/>
          <w:highlight w:val="none"/>
          <w:u w:val="none"/>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sz w:val="30"/>
          <w:szCs w:val="30"/>
          <w:highlight w:val="none"/>
          <w:u w:val="single"/>
          <w:shd w:val="clear" w:color="auto" w:fill="auto"/>
          <w:lang w:val="en-US" w:eastAsia="zh-CN"/>
          <w14:textFill>
            <w14:solidFill>
              <w14:schemeClr w14:val="tx1"/>
            </w14:solidFill>
          </w14:textFill>
        </w:rPr>
        <w:t>若出现两家及以上单位报价相同则采取抽乒乓球方式确定中选单位，抽取方式：在密闭箱内放入与参与抽取的比选申请人相同数量的乒乓球，且乒乓球在密闭箱中抓取号球，由抽到号球1的单位中选</w:t>
      </w:r>
    </w:p>
    <w:p w14:paraId="06B18AD6">
      <w:pPr>
        <w:keepNext w:val="0"/>
        <w:keepLines w:val="0"/>
        <w:pageBreakBefore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4、施工工期：工期为</w:t>
      </w:r>
      <w:r>
        <w:rPr>
          <w:rFonts w:hint="eastAsia" w:ascii="仿宋_GB2312" w:hAnsi="仿宋_GB2312" w:eastAsia="仿宋_GB2312" w:cs="仿宋_GB2312"/>
          <w:color w:val="000000" w:themeColor="text1"/>
          <w:sz w:val="30"/>
          <w:szCs w:val="30"/>
          <w:highlight w:val="none"/>
          <w:u w:val="single"/>
          <w:shd w:val="clear" w:color="auto" w:fill="auto"/>
          <w:lang w:val="en-US" w:eastAsia="zh-CN"/>
          <w14:textFill>
            <w14:solidFill>
              <w14:schemeClr w14:val="tx1"/>
            </w14:solidFill>
          </w14:textFill>
        </w:rPr>
        <w:t xml:space="preserve"> 30 </w:t>
      </w: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天。</w:t>
      </w:r>
    </w:p>
    <w:p w14:paraId="5D953139">
      <w:pPr>
        <w:keepNext w:val="0"/>
        <w:keepLines w:val="0"/>
        <w:pageBreakBefore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5、施工要求：满足施工图纸及现行相关规范要求，经主管部门验收合格。</w:t>
      </w:r>
    </w:p>
    <w:p w14:paraId="49ED426B">
      <w:pPr>
        <w:keepNext w:val="0"/>
        <w:keepLines w:val="0"/>
        <w:pageBreakBefore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6、请愿意参加本次报价的单位于2026年6月30日16点30分前将加盖企业鲜章的有效的营业执照复印件、资质证书、报价表、法人代表身份证明（适用于法人代表亲自报价）或法人代表授权委托书（适用于委托代理人报价）密封并现场递交至鹏安公司，未现场递交或逾期递交视为自动放弃（若开选时，参选单位不足三家或资格审查通过单位不足三家，则视为本次比选无效）。</w:t>
      </w:r>
    </w:p>
    <w:p w14:paraId="17CA0B88">
      <w:pPr>
        <w:keepNext w:val="0"/>
        <w:keepLines w:val="0"/>
        <w:pageBreakBefore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t>7、我公司将于2026年6月30日16点30分在鹏安公司办公室统一拆封所有报价资料，报价单位必须到场参加。报价资料递交地址：遂宁市安居区黄林路190号凤凰半岛三期一层商铺联系人：唐先生，联系电话：0825-8666908。</w:t>
      </w:r>
    </w:p>
    <w:p w14:paraId="2FF3F590">
      <w:pPr>
        <w:keepNext w:val="0"/>
        <w:keepLines w:val="0"/>
        <w:pageBreakBefore w:val="0"/>
        <w:numPr>
          <w:ilvl w:val="0"/>
          <w:numId w:val="0"/>
        </w:numPr>
        <w:kinsoku/>
        <w:wordWrap/>
        <w:overflowPunct/>
        <w:topLinePunct w:val="0"/>
        <w:autoSpaceDE/>
        <w:autoSpaceDN/>
        <w:bidi w:val="0"/>
        <w:adjustRightInd/>
        <w:snapToGrid/>
        <w:spacing w:line="540" w:lineRule="exact"/>
        <w:ind w:firstLine="600" w:firstLineChars="200"/>
        <w:textAlignment w:val="auto"/>
        <w:rPr>
          <w:rFonts w:hint="eastAsia" w:ascii="仿宋_GB2312" w:hAnsi="仿宋_GB2312" w:eastAsia="仿宋_GB2312" w:cs="仿宋_GB2312"/>
          <w:color w:val="000000" w:themeColor="text1"/>
          <w:sz w:val="30"/>
          <w:szCs w:val="30"/>
          <w:highlight w:val="none"/>
          <w:u w:val="none"/>
          <w:shd w:val="clear" w:color="auto" w:fill="auto"/>
          <w:lang w:val="en-US" w:eastAsia="zh-CN"/>
          <w14:textFill>
            <w14:solidFill>
              <w14:schemeClr w14:val="tx1"/>
            </w14:solidFill>
          </w14:textFill>
        </w:rPr>
      </w:pPr>
    </w:p>
    <w:p w14:paraId="06E249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color w:val="000000" w:themeColor="text1"/>
          <w:kern w:val="2"/>
          <w:sz w:val="30"/>
          <w:szCs w:val="30"/>
          <w:highlight w:val="none"/>
          <w:shd w:val="clear" w:color="auto" w:fill="auto"/>
          <w:lang w:val="en-US" w:eastAsia="zh-CN" w:bidi="ar-SA"/>
          <w14:textFill>
            <w14:solidFill>
              <w14:schemeClr w14:val="tx1"/>
            </w14:solidFill>
          </w14:textFill>
        </w:rPr>
        <w:t>附件1：采购</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清单和报价表；</w:t>
      </w:r>
    </w:p>
    <w:p w14:paraId="4AD6C010">
      <w:pPr>
        <w:pStyle w:val="13"/>
        <w:pageBreakBefore w:val="0"/>
        <w:widowControl w:val="0"/>
        <w:numPr>
          <w:ilvl w:val="4"/>
          <w:numId w:val="0"/>
        </w:numPr>
        <w:kinsoku/>
        <w:wordWrap/>
        <w:overflowPunct/>
        <w:topLinePunct w:val="0"/>
        <w:autoSpaceDE/>
        <w:autoSpaceDN/>
        <w:bidi w:val="0"/>
        <w:adjustRightInd/>
        <w:snapToGrid/>
        <w:spacing w:before="0" w:after="0" w:line="360" w:lineRule="auto"/>
        <w:ind w:firstLine="600" w:firstLineChars="200"/>
        <w:jc w:val="left"/>
        <w:rPr>
          <w:rFonts w:hint="default" w:ascii="仿宋_GB2312" w:hAnsi="仿宋_GB2312" w:eastAsia="仿宋_GB2312" w:cs="仿宋_GB2312"/>
          <w:b w:val="0"/>
          <w:color w:val="000000" w:themeColor="text1"/>
          <w:kern w:val="2"/>
          <w:sz w:val="30"/>
          <w:szCs w:val="30"/>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color w:val="000000" w:themeColor="text1"/>
          <w:kern w:val="2"/>
          <w:sz w:val="30"/>
          <w:szCs w:val="30"/>
          <w:highlight w:val="none"/>
          <w:shd w:val="clear" w:color="auto" w:fill="auto"/>
          <w:lang w:val="en-US" w:eastAsia="zh-CN" w:bidi="ar-SA"/>
          <w14:textFill>
            <w14:solidFill>
              <w14:schemeClr w14:val="tx1"/>
            </w14:solidFill>
          </w14:textFill>
        </w:rPr>
        <w:t>附件2：标准砖、钢筋等材料采购合同模板。</w:t>
      </w:r>
    </w:p>
    <w:p w14:paraId="23630CAD">
      <w:pPr>
        <w:pStyle w:val="4"/>
        <w:rPr>
          <w:rFonts w:hint="eastAsia" w:ascii="仿宋_GB2312" w:hAnsi="仿宋_GB2312" w:eastAsia="仿宋_GB2312" w:cs="仿宋_GB2312"/>
          <w:b w:val="0"/>
          <w:color w:val="000000" w:themeColor="text1"/>
          <w:kern w:val="2"/>
          <w:sz w:val="30"/>
          <w:szCs w:val="30"/>
          <w:highlight w:val="none"/>
          <w:shd w:val="clear" w:color="auto" w:fill="auto"/>
          <w:lang w:val="en-US" w:eastAsia="zh-CN" w:bidi="ar-SA"/>
          <w14:textFill>
            <w14:solidFill>
              <w14:schemeClr w14:val="tx1"/>
            </w14:solidFill>
          </w14:textFill>
        </w:rPr>
      </w:pPr>
    </w:p>
    <w:p w14:paraId="2131A325">
      <w:pPr>
        <w:keepNext w:val="0"/>
        <w:keepLines w:val="0"/>
        <w:pageBreakBefore w:val="0"/>
        <w:numPr>
          <w:ilvl w:val="0"/>
          <w:numId w:val="0"/>
        </w:numPr>
        <w:kinsoku/>
        <w:wordWrap/>
        <w:overflowPunct/>
        <w:topLinePunct w:val="0"/>
        <w:autoSpaceDE/>
        <w:autoSpaceDN/>
        <w:bidi w:val="0"/>
        <w:adjustRightInd/>
        <w:snapToGrid/>
        <w:spacing w:line="540" w:lineRule="exact"/>
        <w:ind w:firstLine="600" w:firstLineChars="200"/>
        <w:jc w:val="right"/>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color w:val="000000" w:themeColor="text1"/>
          <w:kern w:val="2"/>
          <w:sz w:val="30"/>
          <w:szCs w:val="30"/>
          <w:highlight w:val="none"/>
          <w:shd w:val="clear" w:color="auto" w:fill="auto"/>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 xml:space="preserve">   遂宁市鹏安投资有限公司</w:t>
      </w:r>
    </w:p>
    <w:p w14:paraId="1B0F5C21">
      <w:pPr>
        <w:keepNext w:val="0"/>
        <w:keepLines w:val="0"/>
        <w:pageBreakBefore w:val="0"/>
        <w:numPr>
          <w:ilvl w:val="0"/>
          <w:numId w:val="0"/>
        </w:numPr>
        <w:kinsoku/>
        <w:wordWrap/>
        <w:overflowPunct/>
        <w:topLinePunct w:val="0"/>
        <w:autoSpaceDE/>
        <w:autoSpaceDN/>
        <w:bidi w:val="0"/>
        <w:adjustRightInd/>
        <w:snapToGrid/>
        <w:spacing w:line="540" w:lineRule="exact"/>
        <w:ind w:firstLine="600" w:firstLineChars="200"/>
        <w:jc w:val="right"/>
        <w:textAlignment w:val="auto"/>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 xml:space="preserve">                           2026年6月29日</w:t>
      </w:r>
    </w:p>
    <w:p w14:paraId="468C1D32">
      <w:pPr>
        <w:keepNext w:val="0"/>
        <w:keepLines w:val="0"/>
        <w:pageBreakBefore w:val="0"/>
        <w:numPr>
          <w:ilvl w:val="0"/>
          <w:numId w:val="0"/>
        </w:numPr>
        <w:kinsoku/>
        <w:wordWrap/>
        <w:overflowPunct/>
        <w:topLinePunct w:val="0"/>
        <w:autoSpaceDE/>
        <w:autoSpaceDN/>
        <w:bidi w:val="0"/>
        <w:adjustRightInd/>
        <w:snapToGrid/>
        <w:spacing w:line="540" w:lineRule="exact"/>
        <w:ind w:firstLine="602" w:firstLineChars="200"/>
        <w:jc w:val="center"/>
        <w:textAlignment w:val="auto"/>
        <w:rPr>
          <w:rFonts w:hint="eastAsia" w:ascii="仿宋_GB2312" w:hAnsi="仿宋_GB2312" w:eastAsia="仿宋_GB2312" w:cs="仿宋_GB2312"/>
          <w:b/>
          <w:bCs/>
          <w:color w:val="000000" w:themeColor="text1"/>
          <w:sz w:val="30"/>
          <w:szCs w:val="30"/>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bCs/>
          <w:color w:val="000000" w:themeColor="text1"/>
          <w:sz w:val="30"/>
          <w:szCs w:val="30"/>
          <w:highlight w:val="none"/>
          <w:shd w:val="clear" w:color="auto" w:fill="auto"/>
          <w:lang w:val="en-US" w:eastAsia="zh-CN"/>
          <w14:textFill>
            <w14:solidFill>
              <w14:schemeClr w14:val="tx1"/>
            </w14:solidFill>
          </w14:textFill>
        </w:rPr>
        <w:t>附件1：遂宁市安居区农村产业融合示范园区建设项目（一期）（道路及产业园基础设施建设）第四批                                        标准砖、钢筋等材料报价表</w:t>
      </w:r>
    </w:p>
    <w:tbl>
      <w:tblPr>
        <w:tblStyle w:val="8"/>
        <w:tblW w:w="10965" w:type="dxa"/>
        <w:tblInd w:w="-5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5"/>
        <w:gridCol w:w="1500"/>
        <w:gridCol w:w="2205"/>
        <w:gridCol w:w="810"/>
        <w:gridCol w:w="1035"/>
        <w:gridCol w:w="1110"/>
        <w:gridCol w:w="1350"/>
        <w:gridCol w:w="900"/>
        <w:gridCol w:w="990"/>
        <w:gridCol w:w="480"/>
      </w:tblGrid>
      <w:tr w14:paraId="23DD8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331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318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材料名称</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13D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4BC3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7BB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暂定数量</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6E64">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控制单价不含税</w:t>
            </w:r>
          </w:p>
          <w:p w14:paraId="230EFEB9">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（元）</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41DD">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控制总价不含税</w:t>
            </w:r>
          </w:p>
          <w:p w14:paraId="5B0E3003">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（元）</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B2E0">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单价不含税</w:t>
            </w:r>
          </w:p>
          <w:p w14:paraId="34BD58F7">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D895">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总价不含税</w:t>
            </w:r>
          </w:p>
          <w:p w14:paraId="43603A44">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（元）</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33C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13ABA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D7DA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E6E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标准砖</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BFC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页岩实心标准砖</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D8EE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6C4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D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E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10800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3A788E7F">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CE0D">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C3A0F">
            <w:pPr>
              <w:ind w:left="0" w:leftChars="0" w:right="0" w:rightChars="0" w:firstLine="0" w:firstLineChars="0"/>
              <w:jc w:val="center"/>
              <w:rPr>
                <w:rFonts w:hint="eastAsia" w:ascii="宋体" w:hAnsi="宋体" w:eastAsia="宋体" w:cs="宋体"/>
                <w:i w:val="0"/>
                <w:iCs w:val="0"/>
                <w:color w:val="000000"/>
                <w:sz w:val="22"/>
                <w:szCs w:val="22"/>
                <w:u w:val="none"/>
              </w:rPr>
            </w:pPr>
          </w:p>
        </w:tc>
      </w:tr>
      <w:tr w14:paraId="0DF7E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E00F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8EBD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预制混凝土块</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A8D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预制砼块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C60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EA2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4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9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16800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1361EAC1">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11D3">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A4FB">
            <w:pPr>
              <w:ind w:left="0" w:leftChars="0" w:right="0" w:rightChars="0" w:firstLine="0" w:firstLineChars="0"/>
              <w:rPr>
                <w:rFonts w:hint="eastAsia" w:ascii="宋体" w:hAnsi="宋体" w:eastAsia="宋体" w:cs="宋体"/>
                <w:i w:val="0"/>
                <w:iCs w:val="0"/>
                <w:color w:val="000000"/>
                <w:sz w:val="22"/>
                <w:szCs w:val="22"/>
                <w:u w:val="none"/>
              </w:rPr>
            </w:pPr>
          </w:p>
        </w:tc>
      </w:tr>
      <w:tr w14:paraId="791E0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0BB5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85E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钢筋</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D26A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HPB300钢筋≤10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CC7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A72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6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2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32300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7A23F1D2">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3C44">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74A9">
            <w:pPr>
              <w:ind w:left="0" w:leftChars="0" w:right="0" w:rightChars="0" w:firstLine="0" w:firstLineChars="0"/>
              <w:rPr>
                <w:rFonts w:hint="eastAsia" w:ascii="宋体" w:hAnsi="宋体" w:eastAsia="宋体" w:cs="宋体"/>
                <w:i w:val="0"/>
                <w:iCs w:val="0"/>
                <w:color w:val="000000"/>
                <w:sz w:val="22"/>
                <w:szCs w:val="22"/>
                <w:u w:val="none"/>
              </w:rPr>
            </w:pPr>
          </w:p>
        </w:tc>
      </w:tr>
      <w:tr w14:paraId="20DC4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4BE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9BA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钢筋</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354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HRB300钢筋 ＞10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213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2B74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19.5</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2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39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62985</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3F5EDAEF">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2B39">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EE266">
            <w:pPr>
              <w:ind w:left="0" w:leftChars="0" w:right="0" w:rightChars="0" w:firstLine="0" w:firstLineChars="0"/>
              <w:rPr>
                <w:rFonts w:hint="eastAsia" w:ascii="宋体" w:hAnsi="宋体" w:eastAsia="宋体" w:cs="宋体"/>
                <w:i w:val="0"/>
                <w:iCs w:val="0"/>
                <w:color w:val="000000"/>
                <w:sz w:val="22"/>
                <w:szCs w:val="22"/>
                <w:u w:val="none"/>
              </w:rPr>
            </w:pPr>
          </w:p>
        </w:tc>
      </w:tr>
      <w:tr w14:paraId="0C653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3D5B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A49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钢筋</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288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HRB400钢筋 φ12~16</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23C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E4F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3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F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161500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58C85506">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4805">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6948">
            <w:pPr>
              <w:ind w:left="0" w:leftChars="0" w:right="0" w:rightChars="0" w:firstLine="0" w:firstLineChars="0"/>
              <w:rPr>
                <w:rFonts w:hint="eastAsia" w:ascii="宋体" w:hAnsi="宋体" w:eastAsia="宋体" w:cs="宋体"/>
                <w:i w:val="0"/>
                <w:iCs w:val="0"/>
                <w:color w:val="000000"/>
                <w:sz w:val="22"/>
                <w:szCs w:val="22"/>
                <w:u w:val="none"/>
              </w:rPr>
            </w:pPr>
          </w:p>
        </w:tc>
      </w:tr>
      <w:tr w14:paraId="30E2D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841E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CD4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镀锌钢管</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216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SC100壁厚4mm</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547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864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1421</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0F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08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104272.98</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7083ACDD">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07B07">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2EFD">
            <w:pPr>
              <w:ind w:left="0" w:leftChars="0" w:right="0" w:rightChars="0" w:firstLine="0" w:firstLineChars="0"/>
              <w:rPr>
                <w:rFonts w:hint="eastAsia" w:ascii="宋体" w:hAnsi="宋体" w:eastAsia="宋体" w:cs="宋体"/>
                <w:i w:val="0"/>
                <w:iCs w:val="0"/>
                <w:color w:val="000000"/>
                <w:sz w:val="22"/>
                <w:szCs w:val="22"/>
                <w:u w:val="none"/>
              </w:rPr>
            </w:pPr>
          </w:p>
        </w:tc>
      </w:tr>
      <w:tr w14:paraId="2D2D8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2D3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AA6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HDPE管道DN110</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3DB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DN110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0DE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4B4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4641</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E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6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96300.75</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25D3FAC9">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2AD38">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09DC">
            <w:pPr>
              <w:ind w:left="0" w:leftChars="0" w:right="0" w:rightChars="0" w:firstLine="0" w:firstLineChars="0"/>
              <w:rPr>
                <w:rFonts w:hint="eastAsia" w:ascii="宋体" w:hAnsi="宋体" w:eastAsia="宋体" w:cs="宋体"/>
                <w:i w:val="0"/>
                <w:iCs w:val="0"/>
                <w:color w:val="000000"/>
                <w:sz w:val="22"/>
                <w:szCs w:val="22"/>
                <w:u w:val="none"/>
              </w:rPr>
            </w:pPr>
          </w:p>
        </w:tc>
      </w:tr>
      <w:tr w14:paraId="67C8E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57DC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25C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钢筋混凝土管</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322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DN300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ACF1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3F6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468</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0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C7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31824</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4CAB297B">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EC8AC">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4582">
            <w:pPr>
              <w:ind w:left="0" w:leftChars="0" w:right="0" w:rightChars="0" w:firstLine="0" w:firstLineChars="0"/>
              <w:rPr>
                <w:rFonts w:hint="eastAsia" w:ascii="宋体" w:hAnsi="宋体" w:eastAsia="宋体" w:cs="宋体"/>
                <w:i w:val="0"/>
                <w:iCs w:val="0"/>
                <w:color w:val="000000"/>
                <w:sz w:val="22"/>
                <w:szCs w:val="22"/>
                <w:u w:val="none"/>
              </w:rPr>
            </w:pPr>
          </w:p>
        </w:tc>
      </w:tr>
      <w:tr w14:paraId="684DC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45E0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EBC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Φ1500mm混凝土管</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2BF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1.5m钢筋混凝土圆管涵</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0D1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31F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3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455.88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8F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32823.36</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3E88D01F">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706B">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AA01">
            <w:pPr>
              <w:ind w:left="0" w:leftChars="0" w:right="0" w:rightChars="0" w:firstLine="0" w:firstLineChars="0"/>
              <w:rPr>
                <w:rFonts w:hint="eastAsia" w:ascii="宋体" w:hAnsi="宋体" w:eastAsia="宋体" w:cs="宋体"/>
                <w:i w:val="0"/>
                <w:iCs w:val="0"/>
                <w:color w:val="000000"/>
                <w:sz w:val="22"/>
                <w:szCs w:val="22"/>
                <w:u w:val="none"/>
              </w:rPr>
            </w:pPr>
          </w:p>
        </w:tc>
      </w:tr>
      <w:tr w14:paraId="3F47E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402E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63C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装配式雨水口</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90DD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参见 16S518-42~43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183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947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4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A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6000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413D21F1">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1447D">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00D2">
            <w:pPr>
              <w:ind w:left="0" w:leftChars="0" w:right="0" w:rightChars="0" w:firstLine="0" w:firstLineChars="0"/>
              <w:rPr>
                <w:rFonts w:hint="eastAsia" w:ascii="宋体" w:hAnsi="宋体" w:eastAsia="宋体" w:cs="宋体"/>
                <w:i w:val="0"/>
                <w:iCs w:val="0"/>
                <w:color w:val="000000"/>
                <w:sz w:val="22"/>
                <w:szCs w:val="22"/>
                <w:u w:val="none"/>
              </w:rPr>
            </w:pPr>
          </w:p>
        </w:tc>
      </w:tr>
      <w:tr w14:paraId="0FEE7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53C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4B8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铸铁井篦</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845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单篦750*450mm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（雨水箅子采用三防球磨铸铁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可调式防沉降雨水箅子，参见 16S518-53~57。车行道下荷载等级不应低于D400 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FC97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1FF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96</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6E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C2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3346.56</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0B1CBA85">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D1B4">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F24D">
            <w:pPr>
              <w:ind w:left="0" w:leftChars="0" w:right="0" w:rightChars="0" w:firstLine="0" w:firstLineChars="0"/>
              <w:rPr>
                <w:rFonts w:hint="eastAsia" w:ascii="宋体" w:hAnsi="宋体" w:eastAsia="宋体" w:cs="宋体"/>
                <w:i w:val="0"/>
                <w:iCs w:val="0"/>
                <w:color w:val="000000"/>
                <w:sz w:val="22"/>
                <w:szCs w:val="22"/>
                <w:u w:val="none"/>
              </w:rPr>
            </w:pPr>
          </w:p>
        </w:tc>
      </w:tr>
      <w:tr w14:paraId="34418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6FB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4F7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铸铁井篦</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6BA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双篦750*450mm*2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（雨水箅子采用三防球磨铸铁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可调式防沉降雨水箅子，参见 16S518-53~57。车行道下荷载等级不应低于D400 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985A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39F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96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DE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1533.84</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4E793096">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89EC">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E178">
            <w:pPr>
              <w:ind w:left="0" w:leftChars="0" w:right="0" w:rightChars="0" w:firstLine="0" w:firstLineChars="0"/>
              <w:rPr>
                <w:rFonts w:hint="eastAsia" w:ascii="宋体" w:hAnsi="宋体" w:eastAsia="宋体" w:cs="宋体"/>
                <w:i w:val="0"/>
                <w:iCs w:val="0"/>
                <w:color w:val="000000"/>
                <w:sz w:val="22"/>
                <w:szCs w:val="22"/>
                <w:u w:val="none"/>
              </w:rPr>
            </w:pPr>
          </w:p>
        </w:tc>
      </w:tr>
      <w:tr w14:paraId="5DE01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8A0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90B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混凝土井盖</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E7E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加金属框混凝土盖板（0.9*0.9*0.1m）</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112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F068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D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26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13960.6</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1A14FD35">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9179">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FB8F">
            <w:pPr>
              <w:ind w:left="0" w:leftChars="0" w:right="0" w:rightChars="0" w:firstLine="0" w:firstLineChars="0"/>
              <w:rPr>
                <w:rFonts w:hint="eastAsia" w:ascii="宋体" w:hAnsi="宋体" w:eastAsia="宋体" w:cs="宋体"/>
                <w:i w:val="0"/>
                <w:iCs w:val="0"/>
                <w:color w:val="000000"/>
                <w:sz w:val="22"/>
                <w:szCs w:val="22"/>
                <w:u w:val="none"/>
              </w:rPr>
            </w:pPr>
          </w:p>
        </w:tc>
      </w:tr>
      <w:tr w14:paraId="3F03C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EAD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98A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球磨铸铁井盖井座</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A6B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φ700球墨铸铁井盖井座(五防球墨铸铁井盖车行道荷载等级不应低于D400级)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607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1E4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EA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9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37088</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15A45778">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0153">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C0DB7">
            <w:pPr>
              <w:ind w:left="0" w:leftChars="0" w:right="0" w:rightChars="0" w:firstLine="0" w:firstLineChars="0"/>
              <w:rPr>
                <w:rFonts w:hint="eastAsia" w:ascii="宋体" w:hAnsi="宋体" w:eastAsia="宋体" w:cs="宋体"/>
                <w:i w:val="0"/>
                <w:iCs w:val="0"/>
                <w:color w:val="000000"/>
                <w:sz w:val="22"/>
                <w:szCs w:val="22"/>
                <w:u w:val="none"/>
              </w:rPr>
            </w:pPr>
          </w:p>
        </w:tc>
      </w:tr>
      <w:tr w14:paraId="3AED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917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A37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球磨铸铁井盖井座</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6A3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φ800球墨铸铁井盖井座(五防球墨铸铁井盖车行道荷载等级不应低于D400级)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69A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8ED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D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BA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1216</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17957CEC">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B6545">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F3F86">
            <w:pPr>
              <w:ind w:left="0" w:leftChars="0" w:right="0" w:rightChars="0" w:firstLine="0" w:firstLineChars="0"/>
              <w:rPr>
                <w:rFonts w:hint="eastAsia" w:ascii="宋体" w:hAnsi="宋体" w:eastAsia="宋体" w:cs="宋体"/>
                <w:i w:val="0"/>
                <w:iCs w:val="0"/>
                <w:color w:val="000000"/>
                <w:sz w:val="22"/>
                <w:szCs w:val="22"/>
                <w:u w:val="none"/>
              </w:rPr>
            </w:pPr>
          </w:p>
        </w:tc>
      </w:tr>
      <w:tr w14:paraId="63DC6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5EF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C29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25*38*38mm不锈钢树池篦子</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63D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25*38*38mm不锈钢树池篦子</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368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454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74</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C02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3D7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33300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3EFF95F0">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4DF6">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77DB">
            <w:pPr>
              <w:ind w:left="0" w:leftChars="0" w:right="0" w:rightChars="0" w:firstLine="0" w:firstLineChars="0"/>
              <w:rPr>
                <w:rFonts w:hint="eastAsia" w:ascii="宋体" w:hAnsi="宋体" w:eastAsia="宋体" w:cs="宋体"/>
                <w:i w:val="0"/>
                <w:iCs w:val="0"/>
                <w:color w:val="000000"/>
                <w:sz w:val="22"/>
                <w:szCs w:val="22"/>
                <w:u w:val="none"/>
              </w:rPr>
            </w:pPr>
          </w:p>
        </w:tc>
      </w:tr>
      <w:tr w14:paraId="7BC06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82E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E5F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预制混凝土井筒</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81E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φ700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7C1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7E30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14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82A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7885</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469C2E94">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A8BF6">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59F0">
            <w:pPr>
              <w:ind w:left="0" w:leftChars="0" w:right="0" w:rightChars="0" w:firstLine="0" w:firstLineChars="0"/>
              <w:rPr>
                <w:rFonts w:hint="eastAsia" w:ascii="宋体" w:hAnsi="宋体" w:eastAsia="宋体" w:cs="宋体"/>
                <w:i w:val="0"/>
                <w:iCs w:val="0"/>
                <w:color w:val="000000"/>
                <w:sz w:val="22"/>
                <w:szCs w:val="22"/>
                <w:u w:val="none"/>
              </w:rPr>
            </w:pPr>
          </w:p>
        </w:tc>
      </w:tr>
      <w:tr w14:paraId="18BE6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8E1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241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芝麻白花岗岩盲道砖</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0E4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30*30*3cm芝麻白花岗岩</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52A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B4E3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885</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F2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FE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146910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214ABA09">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6663">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C557">
            <w:pPr>
              <w:ind w:left="0" w:leftChars="0" w:right="0" w:rightChars="0" w:firstLine="0" w:firstLineChars="0"/>
              <w:rPr>
                <w:rFonts w:hint="eastAsia" w:ascii="宋体" w:hAnsi="宋体" w:eastAsia="宋体" w:cs="宋体"/>
                <w:i w:val="0"/>
                <w:iCs w:val="0"/>
                <w:color w:val="000000"/>
                <w:sz w:val="22"/>
                <w:szCs w:val="22"/>
                <w:u w:val="none"/>
              </w:rPr>
            </w:pPr>
          </w:p>
        </w:tc>
      </w:tr>
      <w:tr w14:paraId="7D5A3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810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CF51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花岗岩分隔条</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BDE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600x150x30mm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蒙古黑花岗岩(光面拉槽)</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913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F00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684.8</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98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CE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113676.8</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22998B18">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AD85">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23F8">
            <w:pPr>
              <w:ind w:left="0" w:leftChars="0" w:right="0" w:rightChars="0" w:firstLine="0" w:firstLineChars="0"/>
              <w:rPr>
                <w:rFonts w:hint="eastAsia" w:ascii="宋体" w:hAnsi="宋体" w:eastAsia="宋体" w:cs="宋体"/>
                <w:i w:val="0"/>
                <w:iCs w:val="0"/>
                <w:color w:val="000000"/>
                <w:sz w:val="22"/>
                <w:szCs w:val="22"/>
                <w:u w:val="none"/>
              </w:rPr>
            </w:pPr>
          </w:p>
        </w:tc>
      </w:tr>
      <w:tr w14:paraId="7E28E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D27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8DA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90*10*35cm芝麻白花岗岩路缘石</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61E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90*10*35cm芝麻白花岗岩路缘石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909D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51C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9D0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CEE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61950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16FC8885">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99D0">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9AC3">
            <w:pPr>
              <w:ind w:left="0" w:leftChars="0" w:right="0" w:rightChars="0" w:firstLine="0" w:firstLineChars="0"/>
              <w:rPr>
                <w:rFonts w:hint="eastAsia" w:ascii="宋体" w:hAnsi="宋体" w:eastAsia="宋体" w:cs="宋体"/>
                <w:i w:val="0"/>
                <w:iCs w:val="0"/>
                <w:color w:val="000000"/>
                <w:sz w:val="22"/>
                <w:szCs w:val="22"/>
                <w:u w:val="none"/>
              </w:rPr>
            </w:pPr>
          </w:p>
        </w:tc>
      </w:tr>
      <w:tr w14:paraId="5C524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C61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891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60*10*3cm蒙古黑花岗岩边缘石</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C05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60*10*3cm蒙古黑花岗岩边缘石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6C6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444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2950</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D5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07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7699.5</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1D2D27B9">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B068">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24D35">
            <w:pPr>
              <w:ind w:left="0" w:leftChars="0" w:right="0" w:rightChars="0" w:firstLine="0" w:firstLineChars="0"/>
              <w:rPr>
                <w:rFonts w:hint="eastAsia" w:ascii="宋体" w:hAnsi="宋体" w:eastAsia="宋体" w:cs="宋体"/>
                <w:i w:val="0"/>
                <w:iCs w:val="0"/>
                <w:color w:val="000000"/>
                <w:sz w:val="22"/>
                <w:szCs w:val="22"/>
                <w:u w:val="none"/>
              </w:rPr>
            </w:pPr>
          </w:p>
        </w:tc>
      </w:tr>
      <w:tr w14:paraId="08395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17F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621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土工格栅</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C3E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宽6m,聚乙烯单向、双向拉伸、聚丙烯双向、玻璃纤维(80KN/m)</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A0E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6EF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7479</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09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3B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62000.91</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15001327">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6E050">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6F1C5">
            <w:pPr>
              <w:ind w:left="0" w:leftChars="0" w:right="0" w:rightChars="0" w:firstLine="0" w:firstLineChars="0"/>
              <w:rPr>
                <w:rFonts w:hint="eastAsia" w:ascii="宋体" w:hAnsi="宋体" w:eastAsia="宋体" w:cs="宋体"/>
                <w:i w:val="0"/>
                <w:iCs w:val="0"/>
                <w:color w:val="000000"/>
                <w:sz w:val="22"/>
                <w:szCs w:val="22"/>
                <w:u w:val="none"/>
              </w:rPr>
            </w:pPr>
          </w:p>
        </w:tc>
      </w:tr>
      <w:tr w14:paraId="2BA3A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4543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1F0B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波形钢板护栏Gr-B-4E</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84F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Gr-B-4E(详见设计图纸S2-15-10)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6AB4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0E2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515</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09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990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121025</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4554E7FD">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DC66">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1DD6">
            <w:pPr>
              <w:ind w:left="0" w:leftChars="0" w:right="0" w:rightChars="0" w:firstLine="0" w:firstLineChars="0"/>
              <w:rPr>
                <w:rFonts w:hint="eastAsia" w:ascii="宋体" w:hAnsi="宋体" w:eastAsia="宋体" w:cs="宋体"/>
                <w:i w:val="0"/>
                <w:iCs w:val="0"/>
                <w:color w:val="000000"/>
                <w:sz w:val="22"/>
                <w:szCs w:val="22"/>
                <w:u w:val="none"/>
              </w:rPr>
            </w:pPr>
          </w:p>
        </w:tc>
      </w:tr>
      <w:tr w14:paraId="670EC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4E6E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1FA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波形钢板护栏Gr-B-4C</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C48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Gr-B-4C(详见设计图纸S2-15-10)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BD2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D70A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145</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487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AEF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36250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05CD0CEB">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4ED5">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ED5C">
            <w:pPr>
              <w:ind w:left="0" w:leftChars="0" w:right="0" w:rightChars="0" w:firstLine="0" w:firstLineChars="0"/>
              <w:rPr>
                <w:rFonts w:hint="eastAsia" w:ascii="宋体" w:hAnsi="宋体" w:eastAsia="宋体" w:cs="宋体"/>
                <w:i w:val="0"/>
                <w:iCs w:val="0"/>
                <w:color w:val="000000"/>
                <w:sz w:val="22"/>
                <w:szCs w:val="22"/>
                <w:u w:val="none"/>
              </w:rPr>
            </w:pPr>
          </w:p>
        </w:tc>
      </w:tr>
      <w:tr w14:paraId="2CD08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0DF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B6A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配电箱JX-XDM</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4BA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详图纸要求（照明配电箱）</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D1A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679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EA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56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7500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3BA6CAB8">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8A6F">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C767">
            <w:pPr>
              <w:ind w:left="0" w:leftChars="0" w:right="0" w:rightChars="0" w:firstLine="0" w:firstLineChars="0"/>
              <w:rPr>
                <w:rFonts w:hint="eastAsia" w:ascii="宋体" w:hAnsi="宋体" w:eastAsia="宋体" w:cs="宋体"/>
                <w:i w:val="0"/>
                <w:iCs w:val="0"/>
                <w:color w:val="000000"/>
                <w:sz w:val="22"/>
                <w:szCs w:val="22"/>
                <w:u w:val="none"/>
              </w:rPr>
            </w:pPr>
          </w:p>
        </w:tc>
      </w:tr>
      <w:tr w14:paraId="19D34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41A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629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箱式变压器</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0BB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S14-M10/0.4-100kVA</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16C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845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1F5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115462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F6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346386</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1FC71B2E">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DC30">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AD4A">
            <w:pPr>
              <w:ind w:left="0" w:leftChars="0" w:right="0" w:rightChars="0" w:firstLine="0" w:firstLineChars="0"/>
              <w:rPr>
                <w:rFonts w:hint="eastAsia" w:ascii="宋体" w:hAnsi="宋体" w:eastAsia="宋体" w:cs="宋体"/>
                <w:i w:val="0"/>
                <w:iCs w:val="0"/>
                <w:color w:val="000000"/>
                <w:sz w:val="22"/>
                <w:szCs w:val="22"/>
                <w:u w:val="none"/>
              </w:rPr>
            </w:pPr>
          </w:p>
        </w:tc>
      </w:tr>
      <w:tr w14:paraId="2CB66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BBB3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2A2A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磁性防盗锁</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431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磁性防盗锁</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B50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FC4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249</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D3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155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23655</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603097C2">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5E45">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685D">
            <w:pPr>
              <w:ind w:left="0" w:leftChars="0" w:right="0" w:rightChars="0" w:firstLine="0" w:firstLineChars="0"/>
              <w:rPr>
                <w:rFonts w:hint="eastAsia" w:ascii="宋体" w:hAnsi="宋体" w:eastAsia="宋体" w:cs="宋体"/>
                <w:i w:val="0"/>
                <w:iCs w:val="0"/>
                <w:color w:val="000000"/>
                <w:sz w:val="22"/>
                <w:szCs w:val="22"/>
                <w:u w:val="none"/>
              </w:rPr>
            </w:pPr>
          </w:p>
        </w:tc>
      </w:tr>
      <w:tr w14:paraId="0001A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1701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667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H=9m,50W(1*50W)截光型路灯</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E9A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H=9m,100W(1*50W)截光型路灯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DF0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D70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102</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D45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1550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FE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158100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1E50A725">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09F1">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29B3">
            <w:pPr>
              <w:ind w:left="0" w:leftChars="0" w:right="0" w:rightChars="0" w:firstLine="0" w:firstLineChars="0"/>
              <w:rPr>
                <w:rFonts w:hint="eastAsia" w:ascii="宋体" w:hAnsi="宋体" w:eastAsia="宋体" w:cs="宋体"/>
                <w:i w:val="0"/>
                <w:iCs w:val="0"/>
                <w:color w:val="000000"/>
                <w:sz w:val="22"/>
                <w:szCs w:val="22"/>
                <w:u w:val="none"/>
              </w:rPr>
            </w:pPr>
          </w:p>
        </w:tc>
      </w:tr>
      <w:tr w14:paraId="431CB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8CB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0C3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H=9m,100W(2*50W)截光型路灯</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308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H=9m,100W(2*50W)截光型路灯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CA8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56C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138</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B0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1724.7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D9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238008.6</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23C1C254">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BDCE">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8437">
            <w:pPr>
              <w:ind w:left="0" w:leftChars="0" w:right="0" w:rightChars="0" w:firstLine="0" w:firstLineChars="0"/>
              <w:rPr>
                <w:rFonts w:hint="eastAsia" w:ascii="宋体" w:hAnsi="宋体" w:eastAsia="宋体" w:cs="宋体"/>
                <w:i w:val="0"/>
                <w:iCs w:val="0"/>
                <w:color w:val="000000"/>
                <w:sz w:val="22"/>
                <w:szCs w:val="22"/>
                <w:u w:val="none"/>
              </w:rPr>
            </w:pPr>
          </w:p>
        </w:tc>
      </w:tr>
      <w:tr w14:paraId="4DEE0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E49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A7E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石油沥青</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B0D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石油沥青</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9A1D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582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C6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79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6100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5D6B498E">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B81C">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BCC3">
            <w:pPr>
              <w:ind w:left="0" w:leftChars="0" w:right="0" w:rightChars="0" w:firstLine="0" w:firstLineChars="0"/>
              <w:rPr>
                <w:rFonts w:hint="eastAsia" w:ascii="宋体" w:hAnsi="宋体" w:eastAsia="宋体" w:cs="宋体"/>
                <w:i w:val="0"/>
                <w:iCs w:val="0"/>
                <w:color w:val="000000"/>
                <w:sz w:val="22"/>
                <w:szCs w:val="22"/>
                <w:u w:val="none"/>
              </w:rPr>
            </w:pPr>
          </w:p>
        </w:tc>
      </w:tr>
      <w:tr w14:paraId="2B4BB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5824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3F37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橡胶沥青</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235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橡胶沥青同步碎石封层</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DD6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49A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2B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C5D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146400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39EE29BC">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61E7">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3F14">
            <w:pPr>
              <w:ind w:left="0" w:leftChars="0" w:right="0" w:rightChars="0" w:firstLine="0" w:firstLineChars="0"/>
              <w:rPr>
                <w:rFonts w:hint="eastAsia" w:ascii="宋体" w:hAnsi="宋体" w:eastAsia="宋体" w:cs="宋体"/>
                <w:i w:val="0"/>
                <w:iCs w:val="0"/>
                <w:color w:val="000000"/>
                <w:sz w:val="22"/>
                <w:szCs w:val="22"/>
                <w:u w:val="none"/>
              </w:rPr>
            </w:pPr>
          </w:p>
        </w:tc>
      </w:tr>
      <w:tr w14:paraId="7D52F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F44A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684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乳化沥青</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746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乳化沥青</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767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F40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118</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F5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48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637200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744B02A1">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6802">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1134">
            <w:pPr>
              <w:ind w:left="0" w:leftChars="0" w:right="0" w:rightChars="0" w:firstLine="0" w:firstLineChars="0"/>
              <w:rPr>
                <w:rFonts w:hint="eastAsia" w:ascii="宋体" w:hAnsi="宋体" w:eastAsia="宋体" w:cs="宋体"/>
                <w:i w:val="0"/>
                <w:iCs w:val="0"/>
                <w:color w:val="000000"/>
                <w:sz w:val="22"/>
                <w:szCs w:val="22"/>
                <w:u w:val="none"/>
              </w:rPr>
            </w:pPr>
          </w:p>
        </w:tc>
      </w:tr>
      <w:tr w14:paraId="418D9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2D6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08A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AC-13细粒式沥青混凝土</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6A3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40mm厚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732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5DC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1482</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0E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1066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C13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1579812</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31715A02">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6293">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E61E">
            <w:pPr>
              <w:ind w:left="0" w:leftChars="0" w:right="0" w:rightChars="0" w:firstLine="0" w:firstLineChars="0"/>
              <w:rPr>
                <w:rFonts w:hint="eastAsia" w:ascii="宋体" w:hAnsi="宋体" w:eastAsia="宋体" w:cs="宋体"/>
                <w:i w:val="0"/>
                <w:iCs w:val="0"/>
                <w:color w:val="000000"/>
                <w:sz w:val="22"/>
                <w:szCs w:val="22"/>
                <w:u w:val="none"/>
              </w:rPr>
            </w:pPr>
          </w:p>
        </w:tc>
      </w:tr>
      <w:tr w14:paraId="51C73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5B6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253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AC-20粗粒式沥青混凝土</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D8C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50mm厚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E54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8FB0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977</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DAA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957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61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934989</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1FFCAF50">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D2CC4">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2676">
            <w:pPr>
              <w:ind w:left="0" w:leftChars="0" w:right="0" w:rightChars="0" w:firstLine="0" w:firstLineChars="0"/>
              <w:rPr>
                <w:rFonts w:hint="eastAsia" w:ascii="宋体" w:hAnsi="宋体" w:eastAsia="宋体" w:cs="宋体"/>
                <w:i w:val="0"/>
                <w:iCs w:val="0"/>
                <w:color w:val="000000"/>
                <w:sz w:val="22"/>
                <w:szCs w:val="22"/>
                <w:u w:val="none"/>
              </w:rPr>
            </w:pPr>
          </w:p>
        </w:tc>
      </w:tr>
      <w:tr w14:paraId="2879B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9B6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CCAB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AC-16中粒式沥青混凝土</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118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50mm厚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96B3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C9E3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1309</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B2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04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1309000</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43D41E5A">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0D9E">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966A9">
            <w:pPr>
              <w:ind w:left="0" w:leftChars="0" w:right="0" w:rightChars="0" w:firstLine="0" w:firstLineChars="0"/>
              <w:rPr>
                <w:rFonts w:hint="eastAsia" w:ascii="宋体" w:hAnsi="宋体" w:eastAsia="宋体" w:cs="宋体"/>
                <w:i w:val="0"/>
                <w:iCs w:val="0"/>
                <w:color w:val="000000"/>
                <w:sz w:val="22"/>
                <w:szCs w:val="22"/>
                <w:u w:val="none"/>
              </w:rPr>
            </w:pPr>
          </w:p>
        </w:tc>
      </w:tr>
      <w:tr w14:paraId="57600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8D9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F6A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AC-13细粒式沥青混凝土</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C82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50mm厚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7C5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EF1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367</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E87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1066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8A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391222</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719AA6E0">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BD68">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5206">
            <w:pPr>
              <w:ind w:left="0" w:leftChars="0" w:right="0" w:rightChars="0" w:firstLine="0" w:firstLineChars="0"/>
              <w:rPr>
                <w:rFonts w:hint="eastAsia" w:ascii="宋体" w:hAnsi="宋体" w:eastAsia="宋体" w:cs="宋体"/>
                <w:i w:val="0"/>
                <w:iCs w:val="0"/>
                <w:color w:val="000000"/>
                <w:sz w:val="22"/>
                <w:szCs w:val="22"/>
                <w:u w:val="none"/>
              </w:rPr>
            </w:pPr>
          </w:p>
        </w:tc>
      </w:tr>
      <w:tr w14:paraId="5B125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0AE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37</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5434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4%水泥稳定碎石底基层厚150mm</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205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水泥稳定碎石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65E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5C8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1083.41</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9C2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213.22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EC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231004.68</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550BC20E">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F802">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231B">
            <w:pPr>
              <w:ind w:left="0" w:leftChars="0" w:right="0" w:rightChars="0" w:firstLine="0" w:firstLineChars="0"/>
              <w:rPr>
                <w:rFonts w:hint="eastAsia" w:ascii="宋体" w:hAnsi="宋体" w:eastAsia="宋体" w:cs="宋体"/>
                <w:i w:val="0"/>
                <w:iCs w:val="0"/>
                <w:color w:val="000000"/>
                <w:sz w:val="22"/>
                <w:szCs w:val="22"/>
                <w:u w:val="none"/>
              </w:rPr>
            </w:pPr>
          </w:p>
        </w:tc>
      </w:tr>
      <w:tr w14:paraId="78865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1CB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1B0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4%水泥稳定碎石底基层厚180mm</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99B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水泥稳定碎石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669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D03F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4976.14</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5B0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213.22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440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1061012.57</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1AF2F38E">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C425E">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7E6B">
            <w:pPr>
              <w:ind w:left="0" w:leftChars="0" w:right="0" w:rightChars="0" w:firstLine="0" w:firstLineChars="0"/>
              <w:rPr>
                <w:rFonts w:hint="eastAsia" w:ascii="宋体" w:hAnsi="宋体" w:eastAsia="宋体" w:cs="宋体"/>
                <w:i w:val="0"/>
                <w:iCs w:val="0"/>
                <w:color w:val="000000"/>
                <w:sz w:val="22"/>
                <w:szCs w:val="22"/>
                <w:u w:val="none"/>
              </w:rPr>
            </w:pPr>
          </w:p>
        </w:tc>
      </w:tr>
      <w:tr w14:paraId="48A91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7E5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F8D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5%水泥稳定碎石基层厚180mm</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44F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水泥稳定碎石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303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ED6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4723.42</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17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223.06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2C2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1053606.07</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56CA81A9">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3B762">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F077">
            <w:pPr>
              <w:ind w:left="0" w:leftChars="0" w:right="0" w:rightChars="0" w:firstLine="0" w:firstLineChars="0"/>
              <w:rPr>
                <w:rFonts w:hint="eastAsia" w:ascii="宋体" w:hAnsi="宋体" w:eastAsia="宋体" w:cs="宋体"/>
                <w:i w:val="0"/>
                <w:iCs w:val="0"/>
                <w:color w:val="000000"/>
                <w:sz w:val="22"/>
                <w:szCs w:val="22"/>
                <w:u w:val="none"/>
              </w:rPr>
            </w:pPr>
          </w:p>
        </w:tc>
      </w:tr>
      <w:tr w14:paraId="374DC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2FC0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40</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02A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5%水泥稳定碎石基层厚150mm</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46E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水泥稳定碎石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1C1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C6E3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1083.41</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B0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223.06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24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241665.43</w:t>
            </w:r>
          </w:p>
        </w:tc>
        <w:tc>
          <w:tcPr>
            <w:tcW w:w="900" w:type="dxa"/>
            <w:tcBorders>
              <w:top w:val="single" w:color="000000" w:sz="4" w:space="0"/>
              <w:left w:val="nil"/>
              <w:bottom w:val="single" w:color="000000" w:sz="4" w:space="0"/>
              <w:right w:val="single" w:color="000000" w:sz="4" w:space="0"/>
            </w:tcBorders>
            <w:shd w:val="clear" w:color="auto" w:fill="auto"/>
            <w:vAlign w:val="center"/>
          </w:tcPr>
          <w:p w14:paraId="40E12A7B">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CAD1">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F7EDF">
            <w:pPr>
              <w:ind w:left="0" w:leftChars="0" w:right="0" w:rightChars="0" w:firstLine="0" w:firstLineChars="0"/>
              <w:rPr>
                <w:rFonts w:hint="eastAsia" w:ascii="宋体" w:hAnsi="宋体" w:eastAsia="宋体" w:cs="宋体"/>
                <w:i w:val="0"/>
                <w:iCs w:val="0"/>
                <w:color w:val="000000"/>
                <w:sz w:val="22"/>
                <w:szCs w:val="22"/>
                <w:u w:val="none"/>
              </w:rPr>
            </w:pPr>
          </w:p>
        </w:tc>
      </w:tr>
      <w:tr w14:paraId="366AE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6135" w:type="dxa"/>
            <w:gridSpan w:val="5"/>
            <w:tcBorders>
              <w:top w:val="single" w:color="000000" w:sz="4" w:space="0"/>
              <w:left w:val="single" w:color="000000" w:sz="4" w:space="0"/>
              <w:bottom w:val="single" w:color="000000" w:sz="4" w:space="0"/>
              <w:right w:val="nil"/>
            </w:tcBorders>
            <w:shd w:val="clear" w:color="auto" w:fill="auto"/>
            <w:noWrap/>
            <w:vAlign w:val="center"/>
          </w:tcPr>
          <w:p w14:paraId="3556410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25DCA">
            <w:pPr>
              <w:jc w:val="center"/>
              <w:rPr>
                <w:rFonts w:hint="eastAsia" w:ascii="宋体" w:hAnsi="宋体" w:eastAsia="宋体" w:cs="宋体"/>
                <w:i w:val="0"/>
                <w:iCs w:val="0"/>
                <w:color w:val="000000"/>
                <w:sz w:val="20"/>
                <w:szCs w:val="20"/>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ADBE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9569109.65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256D">
            <w:pPr>
              <w:ind w:left="0" w:leftChars="0" w:right="0" w:rightChars="0" w:firstLine="0" w:firstLineChars="0"/>
              <w:rPr>
                <w:rFonts w:hint="eastAsia" w:ascii="宋体" w:hAnsi="宋体" w:eastAsia="宋体" w:cs="宋体"/>
                <w:i w:val="0"/>
                <w:iCs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3E9B">
            <w:pPr>
              <w:ind w:left="0" w:leftChars="0" w:right="0" w:rightChars="0" w:firstLine="0" w:firstLineChars="0"/>
              <w:jc w:val="center"/>
              <w:rPr>
                <w:rFonts w:hint="eastAsia" w:ascii="宋体" w:hAnsi="宋体" w:eastAsia="宋体" w:cs="宋体"/>
                <w:i w:val="0"/>
                <w:iCs w:val="0"/>
                <w:color w:val="000000"/>
                <w:sz w:val="20"/>
                <w:szCs w:val="20"/>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47BD">
            <w:pPr>
              <w:ind w:left="0" w:leftChars="0" w:right="0" w:rightChars="0" w:firstLine="0" w:firstLineChars="0"/>
              <w:rPr>
                <w:rFonts w:hint="eastAsia" w:ascii="宋体" w:hAnsi="宋体" w:eastAsia="宋体" w:cs="宋体"/>
                <w:i w:val="0"/>
                <w:iCs w:val="0"/>
                <w:color w:val="000000"/>
                <w:sz w:val="22"/>
                <w:szCs w:val="22"/>
                <w:u w:val="none"/>
              </w:rPr>
            </w:pPr>
          </w:p>
        </w:tc>
      </w:tr>
      <w:tr w14:paraId="3F735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25D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说明</w:t>
            </w:r>
          </w:p>
        </w:tc>
        <w:tc>
          <w:tcPr>
            <w:tcW w:w="88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921279">
            <w:pPr>
              <w:keepNext w:val="0"/>
              <w:keepLines w:val="0"/>
              <w:widowControl/>
              <w:numPr>
                <w:ilvl w:val="0"/>
                <w:numId w:val="3"/>
              </w:numPr>
              <w:suppressLineNumbers w:val="0"/>
              <w:ind w:left="0" w:leftChars="0" w:right="0" w:righ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本合同为固定单价合同，含运输等</w:t>
            </w:r>
            <w:r>
              <w:rPr>
                <w:rFonts w:hint="eastAsia" w:ascii="宋体" w:hAnsi="宋体" w:cs="宋体"/>
                <w:i w:val="0"/>
                <w:iCs w:val="0"/>
                <w:color w:val="000000"/>
                <w:kern w:val="0"/>
                <w:sz w:val="22"/>
                <w:szCs w:val="22"/>
                <w:u w:val="none"/>
                <w:lang w:val="en-US" w:eastAsia="zh-CN" w:bidi="ar"/>
              </w:rPr>
              <w:t>一切相关</w:t>
            </w:r>
            <w:r>
              <w:rPr>
                <w:rFonts w:hint="eastAsia" w:ascii="宋体" w:hAnsi="宋体" w:eastAsia="宋体" w:cs="宋体"/>
                <w:i w:val="0"/>
                <w:iCs w:val="0"/>
                <w:color w:val="000000"/>
                <w:kern w:val="0"/>
                <w:sz w:val="22"/>
                <w:szCs w:val="22"/>
                <w:u w:val="none"/>
                <w:lang w:val="en-US" w:eastAsia="zh-CN" w:bidi="ar"/>
              </w:rPr>
              <w:t>费用，本合同履行期间，合同单价不变，甲方无需向乙方支付其他任何费用。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2、本合同最终结算工程量以实际供货结算为准。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3、分包税率：</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w:t>
            </w:r>
          </w:p>
          <w:p w14:paraId="306F1574">
            <w:pPr>
              <w:keepNext w:val="0"/>
              <w:keepLines w:val="0"/>
              <w:widowControl/>
              <w:numPr>
                <w:ilvl w:val="0"/>
                <w:numId w:val="0"/>
              </w:numPr>
              <w:suppressLineNumbers w:val="0"/>
              <w:ind w:left="0" w:leftChars="0" w:right="0" w:righ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4、所有材料规格型号均满足设计图纸及国标要求。</w:t>
            </w:r>
          </w:p>
        </w:tc>
      </w:tr>
      <w:tr w14:paraId="07315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585" w:type="dxa"/>
            <w:tcBorders>
              <w:top w:val="nil"/>
              <w:left w:val="nil"/>
              <w:bottom w:val="nil"/>
              <w:right w:val="nil"/>
            </w:tcBorders>
            <w:shd w:val="clear" w:color="auto" w:fill="auto"/>
            <w:noWrap/>
            <w:vAlign w:val="center"/>
          </w:tcPr>
          <w:p w14:paraId="6FD1B1A1">
            <w:pPr>
              <w:ind w:left="0" w:leftChars="0" w:right="0" w:rightChars="0" w:firstLine="0" w:firstLineChars="0"/>
              <w:rPr>
                <w:rFonts w:hint="eastAsia" w:ascii="宋体" w:hAnsi="宋体" w:eastAsia="宋体" w:cs="宋体"/>
                <w:i w:val="0"/>
                <w:iCs w:val="0"/>
                <w:color w:val="000000"/>
                <w:sz w:val="22"/>
                <w:szCs w:val="22"/>
                <w:u w:val="none"/>
              </w:rPr>
            </w:pPr>
          </w:p>
        </w:tc>
        <w:tc>
          <w:tcPr>
            <w:tcW w:w="1500" w:type="dxa"/>
            <w:tcBorders>
              <w:top w:val="nil"/>
              <w:left w:val="nil"/>
              <w:bottom w:val="nil"/>
              <w:right w:val="nil"/>
            </w:tcBorders>
            <w:shd w:val="clear" w:color="auto" w:fill="auto"/>
            <w:noWrap/>
            <w:vAlign w:val="center"/>
          </w:tcPr>
          <w:p w14:paraId="5147A0C8">
            <w:pPr>
              <w:ind w:left="0" w:leftChars="0" w:right="0" w:rightChars="0" w:firstLine="0" w:firstLineChars="0"/>
              <w:rPr>
                <w:rFonts w:hint="eastAsia" w:ascii="宋体" w:hAnsi="宋体" w:eastAsia="宋体" w:cs="宋体"/>
                <w:i w:val="0"/>
                <w:iCs w:val="0"/>
                <w:color w:val="000000"/>
                <w:sz w:val="22"/>
                <w:szCs w:val="22"/>
                <w:u w:val="none"/>
              </w:rPr>
            </w:pPr>
          </w:p>
        </w:tc>
        <w:tc>
          <w:tcPr>
            <w:tcW w:w="2205" w:type="dxa"/>
            <w:tcBorders>
              <w:top w:val="nil"/>
              <w:left w:val="nil"/>
              <w:bottom w:val="nil"/>
              <w:right w:val="nil"/>
            </w:tcBorders>
            <w:shd w:val="clear" w:color="auto" w:fill="auto"/>
            <w:vAlign w:val="center"/>
          </w:tcPr>
          <w:p w14:paraId="22612E7D">
            <w:pPr>
              <w:ind w:left="0" w:leftChars="0" w:right="0" w:rightChars="0" w:firstLine="0" w:firstLineChars="0"/>
              <w:rPr>
                <w:rFonts w:hint="eastAsia" w:ascii="宋体" w:hAnsi="宋体" w:eastAsia="宋体" w:cs="宋体"/>
                <w:i w:val="0"/>
                <w:iCs w:val="0"/>
                <w:color w:val="000000"/>
                <w:sz w:val="22"/>
                <w:szCs w:val="22"/>
                <w:u w:val="none"/>
              </w:rPr>
            </w:pPr>
          </w:p>
        </w:tc>
        <w:tc>
          <w:tcPr>
            <w:tcW w:w="810" w:type="dxa"/>
            <w:tcBorders>
              <w:top w:val="nil"/>
              <w:left w:val="nil"/>
              <w:bottom w:val="nil"/>
              <w:right w:val="nil"/>
            </w:tcBorders>
            <w:shd w:val="clear" w:color="auto" w:fill="auto"/>
            <w:noWrap/>
            <w:vAlign w:val="center"/>
          </w:tcPr>
          <w:p w14:paraId="1A861697">
            <w:pPr>
              <w:ind w:left="0" w:leftChars="0" w:right="0" w:rightChars="0" w:firstLine="0" w:firstLineChars="0"/>
              <w:rPr>
                <w:rFonts w:hint="eastAsia" w:ascii="宋体" w:hAnsi="宋体" w:eastAsia="宋体" w:cs="宋体"/>
                <w:i w:val="0"/>
                <w:iCs w:val="0"/>
                <w:color w:val="000000"/>
                <w:sz w:val="22"/>
                <w:szCs w:val="22"/>
                <w:u w:val="none"/>
              </w:rPr>
            </w:pPr>
          </w:p>
        </w:tc>
        <w:tc>
          <w:tcPr>
            <w:tcW w:w="1035" w:type="dxa"/>
            <w:tcBorders>
              <w:top w:val="nil"/>
              <w:left w:val="nil"/>
              <w:bottom w:val="nil"/>
              <w:right w:val="nil"/>
            </w:tcBorders>
            <w:shd w:val="clear" w:color="auto" w:fill="auto"/>
            <w:noWrap/>
            <w:vAlign w:val="center"/>
          </w:tcPr>
          <w:p w14:paraId="4FFE2F25">
            <w:pPr>
              <w:ind w:left="0" w:leftChars="0" w:right="0" w:rightChars="0" w:firstLine="0" w:firstLineChars="0"/>
              <w:rPr>
                <w:rFonts w:hint="eastAsia" w:ascii="宋体" w:hAnsi="宋体" w:eastAsia="宋体" w:cs="宋体"/>
                <w:i w:val="0"/>
                <w:iCs w:val="0"/>
                <w:color w:val="000000"/>
                <w:sz w:val="22"/>
                <w:szCs w:val="22"/>
                <w:u w:val="none"/>
              </w:rPr>
            </w:pPr>
          </w:p>
        </w:tc>
        <w:tc>
          <w:tcPr>
            <w:tcW w:w="4830" w:type="dxa"/>
            <w:gridSpan w:val="5"/>
            <w:tcBorders>
              <w:top w:val="nil"/>
              <w:left w:val="nil"/>
              <w:bottom w:val="nil"/>
              <w:right w:val="nil"/>
            </w:tcBorders>
            <w:shd w:val="clear" w:color="auto" w:fill="auto"/>
            <w:noWrap/>
            <w:vAlign w:val="center"/>
          </w:tcPr>
          <w:p w14:paraId="36C9D44A">
            <w:pPr>
              <w:ind w:left="0" w:leftChars="0" w:right="0" w:rightChars="0" w:firstLine="0" w:firstLineChars="0"/>
              <w:jc w:val="left"/>
              <w:rPr>
                <w:rFonts w:hint="eastAsia" w:ascii="宋体" w:hAnsi="宋体" w:eastAsia="宋体" w:cs="宋体"/>
                <w:i w:val="0"/>
                <w:iCs w:val="0"/>
                <w:color w:val="000000"/>
                <w:sz w:val="22"/>
                <w:szCs w:val="22"/>
                <w:u w:val="none"/>
              </w:rPr>
            </w:pPr>
            <w:r>
              <w:rPr>
                <w:rFonts w:hint="default" w:ascii="仿宋_GB2312" w:hAnsi="宋体" w:eastAsia="仿宋_GB2312" w:cs="仿宋_GB2312"/>
                <w:i w:val="0"/>
                <w:iCs w:val="0"/>
                <w:color w:val="000000"/>
                <w:kern w:val="0"/>
                <w:sz w:val="30"/>
                <w:szCs w:val="30"/>
                <w:u w:val="none"/>
                <w:lang w:val="en-US" w:eastAsia="zh-CN" w:bidi="ar"/>
              </w:rPr>
              <w:t>联系人及电话：</w:t>
            </w:r>
          </w:p>
        </w:tc>
      </w:tr>
      <w:tr w14:paraId="15831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85" w:type="dxa"/>
            <w:tcBorders>
              <w:top w:val="nil"/>
              <w:left w:val="nil"/>
              <w:bottom w:val="nil"/>
              <w:right w:val="nil"/>
            </w:tcBorders>
            <w:shd w:val="clear" w:color="auto" w:fill="auto"/>
            <w:noWrap/>
            <w:vAlign w:val="center"/>
          </w:tcPr>
          <w:p w14:paraId="3047A640">
            <w:pPr>
              <w:ind w:left="0" w:leftChars="0" w:right="0" w:rightChars="0" w:firstLine="0" w:firstLineChars="0"/>
              <w:rPr>
                <w:rFonts w:hint="eastAsia" w:ascii="宋体" w:hAnsi="宋体" w:eastAsia="宋体" w:cs="宋体"/>
                <w:i w:val="0"/>
                <w:iCs w:val="0"/>
                <w:color w:val="000000"/>
                <w:sz w:val="22"/>
                <w:szCs w:val="22"/>
                <w:u w:val="none"/>
              </w:rPr>
            </w:pPr>
          </w:p>
        </w:tc>
        <w:tc>
          <w:tcPr>
            <w:tcW w:w="1500" w:type="dxa"/>
            <w:tcBorders>
              <w:top w:val="nil"/>
              <w:left w:val="nil"/>
              <w:bottom w:val="nil"/>
              <w:right w:val="nil"/>
            </w:tcBorders>
            <w:shd w:val="clear" w:color="auto" w:fill="auto"/>
            <w:noWrap/>
            <w:vAlign w:val="center"/>
          </w:tcPr>
          <w:p w14:paraId="06972125">
            <w:pPr>
              <w:ind w:left="0" w:leftChars="0" w:right="0" w:rightChars="0" w:firstLine="0" w:firstLineChars="0"/>
              <w:rPr>
                <w:rFonts w:hint="eastAsia" w:ascii="宋体" w:hAnsi="宋体" w:eastAsia="宋体" w:cs="宋体"/>
                <w:i w:val="0"/>
                <w:iCs w:val="0"/>
                <w:color w:val="000000"/>
                <w:sz w:val="22"/>
                <w:szCs w:val="22"/>
                <w:u w:val="none"/>
              </w:rPr>
            </w:pPr>
          </w:p>
        </w:tc>
        <w:tc>
          <w:tcPr>
            <w:tcW w:w="2205" w:type="dxa"/>
            <w:tcBorders>
              <w:top w:val="nil"/>
              <w:left w:val="nil"/>
              <w:bottom w:val="nil"/>
              <w:right w:val="nil"/>
            </w:tcBorders>
            <w:shd w:val="clear" w:color="auto" w:fill="auto"/>
            <w:vAlign w:val="center"/>
          </w:tcPr>
          <w:p w14:paraId="0129750C">
            <w:pPr>
              <w:ind w:left="0" w:leftChars="0" w:right="0" w:rightChars="0" w:firstLine="0" w:firstLineChars="0"/>
              <w:rPr>
                <w:rFonts w:hint="eastAsia" w:ascii="宋体" w:hAnsi="宋体" w:eastAsia="宋体" w:cs="宋体"/>
                <w:i w:val="0"/>
                <w:iCs w:val="0"/>
                <w:color w:val="000000"/>
                <w:sz w:val="22"/>
                <w:szCs w:val="22"/>
                <w:u w:val="none"/>
              </w:rPr>
            </w:pPr>
          </w:p>
        </w:tc>
        <w:tc>
          <w:tcPr>
            <w:tcW w:w="810" w:type="dxa"/>
            <w:tcBorders>
              <w:top w:val="nil"/>
              <w:left w:val="nil"/>
              <w:bottom w:val="nil"/>
              <w:right w:val="nil"/>
            </w:tcBorders>
            <w:shd w:val="clear" w:color="auto" w:fill="auto"/>
            <w:noWrap/>
            <w:vAlign w:val="center"/>
          </w:tcPr>
          <w:p w14:paraId="3A46BD33">
            <w:pPr>
              <w:ind w:left="0" w:leftChars="0" w:right="0" w:rightChars="0" w:firstLine="0" w:firstLineChars="0"/>
              <w:rPr>
                <w:rFonts w:hint="eastAsia" w:ascii="宋体" w:hAnsi="宋体" w:eastAsia="宋体" w:cs="宋体"/>
                <w:i w:val="0"/>
                <w:iCs w:val="0"/>
                <w:color w:val="000000"/>
                <w:sz w:val="22"/>
                <w:szCs w:val="22"/>
                <w:u w:val="none"/>
              </w:rPr>
            </w:pPr>
          </w:p>
        </w:tc>
        <w:tc>
          <w:tcPr>
            <w:tcW w:w="1035" w:type="dxa"/>
            <w:tcBorders>
              <w:top w:val="nil"/>
              <w:left w:val="nil"/>
              <w:bottom w:val="nil"/>
              <w:right w:val="nil"/>
            </w:tcBorders>
            <w:shd w:val="clear" w:color="auto" w:fill="auto"/>
            <w:noWrap/>
            <w:vAlign w:val="center"/>
          </w:tcPr>
          <w:p w14:paraId="7E2C5F40">
            <w:pPr>
              <w:ind w:left="0" w:leftChars="0" w:right="0" w:rightChars="0" w:firstLine="0" w:firstLineChars="0"/>
              <w:rPr>
                <w:rFonts w:hint="eastAsia" w:ascii="宋体" w:hAnsi="宋体" w:eastAsia="宋体" w:cs="宋体"/>
                <w:i w:val="0"/>
                <w:iCs w:val="0"/>
                <w:color w:val="000000"/>
                <w:sz w:val="22"/>
                <w:szCs w:val="22"/>
                <w:u w:val="none"/>
              </w:rPr>
            </w:pPr>
          </w:p>
        </w:tc>
        <w:tc>
          <w:tcPr>
            <w:tcW w:w="1110" w:type="dxa"/>
            <w:tcBorders>
              <w:top w:val="nil"/>
              <w:left w:val="nil"/>
              <w:bottom w:val="nil"/>
              <w:right w:val="nil"/>
            </w:tcBorders>
            <w:shd w:val="clear" w:color="auto" w:fill="auto"/>
            <w:noWrap/>
            <w:vAlign w:val="center"/>
          </w:tcPr>
          <w:p w14:paraId="747A0315">
            <w:pPr>
              <w:ind w:left="0" w:leftChars="0" w:right="0" w:rightChars="0" w:firstLine="0" w:firstLineChars="0"/>
              <w:rPr>
                <w:rFonts w:hint="eastAsia" w:ascii="宋体" w:hAnsi="宋体" w:eastAsia="宋体" w:cs="宋体"/>
                <w:i w:val="0"/>
                <w:iCs w:val="0"/>
                <w:color w:val="000000"/>
                <w:sz w:val="22"/>
                <w:szCs w:val="22"/>
                <w:u w:val="none"/>
              </w:rPr>
            </w:pPr>
          </w:p>
        </w:tc>
        <w:tc>
          <w:tcPr>
            <w:tcW w:w="1350" w:type="dxa"/>
            <w:tcBorders>
              <w:top w:val="nil"/>
              <w:left w:val="nil"/>
              <w:bottom w:val="nil"/>
              <w:right w:val="nil"/>
            </w:tcBorders>
            <w:shd w:val="clear" w:color="auto" w:fill="auto"/>
            <w:noWrap/>
            <w:vAlign w:val="center"/>
          </w:tcPr>
          <w:p w14:paraId="02106CA7">
            <w:pPr>
              <w:ind w:left="0" w:leftChars="0" w:right="0" w:rightChars="0" w:firstLine="0" w:firstLineChars="0"/>
              <w:rPr>
                <w:rFonts w:hint="eastAsia" w:ascii="宋体" w:hAnsi="宋体" w:eastAsia="宋体" w:cs="宋体"/>
                <w:i w:val="0"/>
                <w:iCs w:val="0"/>
                <w:color w:val="000000"/>
                <w:sz w:val="22"/>
                <w:szCs w:val="22"/>
                <w:u w:val="none"/>
              </w:rPr>
            </w:pPr>
          </w:p>
        </w:tc>
        <w:tc>
          <w:tcPr>
            <w:tcW w:w="900" w:type="dxa"/>
            <w:tcBorders>
              <w:top w:val="nil"/>
              <w:left w:val="nil"/>
              <w:bottom w:val="nil"/>
              <w:right w:val="nil"/>
            </w:tcBorders>
            <w:shd w:val="clear" w:color="auto" w:fill="auto"/>
            <w:noWrap/>
            <w:vAlign w:val="center"/>
          </w:tcPr>
          <w:p w14:paraId="0CEF1CBA">
            <w:pPr>
              <w:ind w:left="0" w:leftChars="0" w:right="0" w:rightChars="0" w:firstLine="0" w:firstLineChars="0"/>
              <w:rPr>
                <w:rFonts w:hint="eastAsia" w:ascii="宋体" w:hAnsi="宋体" w:eastAsia="宋体" w:cs="宋体"/>
                <w:i w:val="0"/>
                <w:iCs w:val="0"/>
                <w:color w:val="000000"/>
                <w:sz w:val="22"/>
                <w:szCs w:val="22"/>
                <w:u w:val="none"/>
              </w:rPr>
            </w:pPr>
          </w:p>
        </w:tc>
        <w:tc>
          <w:tcPr>
            <w:tcW w:w="990" w:type="dxa"/>
            <w:tcBorders>
              <w:top w:val="nil"/>
              <w:left w:val="nil"/>
              <w:bottom w:val="nil"/>
              <w:right w:val="nil"/>
            </w:tcBorders>
            <w:shd w:val="clear" w:color="auto" w:fill="auto"/>
            <w:noWrap/>
            <w:vAlign w:val="center"/>
          </w:tcPr>
          <w:p w14:paraId="65A41638">
            <w:pPr>
              <w:ind w:left="0" w:leftChars="0" w:right="0" w:rightChars="0" w:firstLine="0" w:firstLineChars="0"/>
              <w:rPr>
                <w:rFonts w:hint="eastAsia" w:ascii="宋体" w:hAnsi="宋体" w:eastAsia="宋体" w:cs="宋体"/>
                <w:i w:val="0"/>
                <w:iCs w:val="0"/>
                <w:color w:val="000000"/>
                <w:sz w:val="22"/>
                <w:szCs w:val="22"/>
                <w:u w:val="none"/>
              </w:rPr>
            </w:pPr>
          </w:p>
        </w:tc>
        <w:tc>
          <w:tcPr>
            <w:tcW w:w="480" w:type="dxa"/>
            <w:tcBorders>
              <w:top w:val="nil"/>
              <w:left w:val="nil"/>
              <w:bottom w:val="nil"/>
              <w:right w:val="nil"/>
            </w:tcBorders>
            <w:shd w:val="clear" w:color="auto" w:fill="auto"/>
            <w:noWrap/>
            <w:vAlign w:val="center"/>
          </w:tcPr>
          <w:p w14:paraId="72935E80">
            <w:pPr>
              <w:ind w:left="0" w:leftChars="0" w:right="0" w:rightChars="0" w:firstLine="0" w:firstLineChars="0"/>
              <w:rPr>
                <w:rFonts w:hint="eastAsia" w:ascii="宋体" w:hAnsi="宋体" w:eastAsia="宋体" w:cs="宋体"/>
                <w:i w:val="0"/>
                <w:iCs w:val="0"/>
                <w:color w:val="000000"/>
                <w:sz w:val="22"/>
                <w:szCs w:val="22"/>
                <w:u w:val="none"/>
              </w:rPr>
            </w:pPr>
          </w:p>
        </w:tc>
      </w:tr>
      <w:tr w14:paraId="3ACAB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85" w:type="dxa"/>
            <w:tcBorders>
              <w:top w:val="nil"/>
              <w:left w:val="nil"/>
              <w:bottom w:val="nil"/>
              <w:right w:val="nil"/>
            </w:tcBorders>
            <w:shd w:val="clear" w:color="auto" w:fill="auto"/>
            <w:noWrap/>
            <w:vAlign w:val="center"/>
          </w:tcPr>
          <w:p w14:paraId="681C9D69">
            <w:pPr>
              <w:ind w:left="0" w:leftChars="0" w:right="0" w:rightChars="0" w:firstLine="0" w:firstLineChars="0"/>
              <w:rPr>
                <w:rFonts w:hint="eastAsia" w:ascii="宋体" w:hAnsi="宋体" w:eastAsia="宋体" w:cs="宋体"/>
                <w:i w:val="0"/>
                <w:iCs w:val="0"/>
                <w:color w:val="000000"/>
                <w:sz w:val="22"/>
                <w:szCs w:val="22"/>
                <w:u w:val="none"/>
              </w:rPr>
            </w:pPr>
          </w:p>
        </w:tc>
        <w:tc>
          <w:tcPr>
            <w:tcW w:w="1500" w:type="dxa"/>
            <w:tcBorders>
              <w:top w:val="nil"/>
              <w:left w:val="nil"/>
              <w:bottom w:val="nil"/>
              <w:right w:val="nil"/>
            </w:tcBorders>
            <w:shd w:val="clear" w:color="auto" w:fill="auto"/>
            <w:noWrap/>
            <w:vAlign w:val="center"/>
          </w:tcPr>
          <w:p w14:paraId="5B0E2EDC">
            <w:pPr>
              <w:ind w:left="0" w:leftChars="0" w:right="0" w:rightChars="0" w:firstLine="0" w:firstLineChars="0"/>
              <w:rPr>
                <w:rFonts w:hint="eastAsia" w:ascii="宋体" w:hAnsi="宋体" w:eastAsia="宋体" w:cs="宋体"/>
                <w:i w:val="0"/>
                <w:iCs w:val="0"/>
                <w:color w:val="000000"/>
                <w:sz w:val="22"/>
                <w:szCs w:val="22"/>
                <w:u w:val="none"/>
              </w:rPr>
            </w:pPr>
          </w:p>
        </w:tc>
        <w:tc>
          <w:tcPr>
            <w:tcW w:w="2205" w:type="dxa"/>
            <w:tcBorders>
              <w:top w:val="nil"/>
              <w:left w:val="nil"/>
              <w:bottom w:val="nil"/>
              <w:right w:val="nil"/>
            </w:tcBorders>
            <w:shd w:val="clear" w:color="auto" w:fill="auto"/>
            <w:vAlign w:val="center"/>
          </w:tcPr>
          <w:p w14:paraId="20CB47F3">
            <w:pPr>
              <w:ind w:left="0" w:leftChars="0" w:right="0" w:rightChars="0" w:firstLine="0" w:firstLineChars="0"/>
              <w:rPr>
                <w:rFonts w:hint="eastAsia" w:ascii="宋体" w:hAnsi="宋体" w:eastAsia="宋体" w:cs="宋体"/>
                <w:i w:val="0"/>
                <w:iCs w:val="0"/>
                <w:color w:val="000000"/>
                <w:sz w:val="22"/>
                <w:szCs w:val="22"/>
                <w:u w:val="none"/>
              </w:rPr>
            </w:pPr>
          </w:p>
        </w:tc>
        <w:tc>
          <w:tcPr>
            <w:tcW w:w="810" w:type="dxa"/>
            <w:tcBorders>
              <w:top w:val="nil"/>
              <w:left w:val="nil"/>
              <w:bottom w:val="nil"/>
              <w:right w:val="nil"/>
            </w:tcBorders>
            <w:shd w:val="clear" w:color="auto" w:fill="auto"/>
            <w:noWrap/>
            <w:vAlign w:val="center"/>
          </w:tcPr>
          <w:p w14:paraId="4E496D6C">
            <w:pPr>
              <w:ind w:left="0" w:leftChars="0" w:right="0" w:rightChars="0" w:firstLine="0" w:firstLineChars="0"/>
              <w:rPr>
                <w:rFonts w:hint="eastAsia" w:ascii="宋体" w:hAnsi="宋体" w:eastAsia="宋体" w:cs="宋体"/>
                <w:i w:val="0"/>
                <w:iCs w:val="0"/>
                <w:color w:val="000000"/>
                <w:sz w:val="22"/>
                <w:szCs w:val="22"/>
                <w:u w:val="none"/>
              </w:rPr>
            </w:pPr>
          </w:p>
        </w:tc>
        <w:tc>
          <w:tcPr>
            <w:tcW w:w="1035" w:type="dxa"/>
            <w:tcBorders>
              <w:top w:val="nil"/>
              <w:left w:val="nil"/>
              <w:bottom w:val="nil"/>
              <w:right w:val="nil"/>
            </w:tcBorders>
            <w:shd w:val="clear" w:color="auto" w:fill="auto"/>
            <w:noWrap/>
            <w:vAlign w:val="center"/>
          </w:tcPr>
          <w:p w14:paraId="54E4D973">
            <w:pPr>
              <w:ind w:left="0" w:leftChars="0" w:right="0" w:rightChars="0" w:firstLine="0" w:firstLineChars="0"/>
              <w:rPr>
                <w:rFonts w:hint="eastAsia" w:ascii="宋体" w:hAnsi="宋体" w:eastAsia="宋体" w:cs="宋体"/>
                <w:i w:val="0"/>
                <w:iCs w:val="0"/>
                <w:color w:val="000000"/>
                <w:sz w:val="22"/>
                <w:szCs w:val="22"/>
                <w:u w:val="none"/>
              </w:rPr>
            </w:pPr>
          </w:p>
        </w:tc>
        <w:tc>
          <w:tcPr>
            <w:tcW w:w="4830" w:type="dxa"/>
            <w:gridSpan w:val="5"/>
            <w:tcBorders>
              <w:top w:val="nil"/>
              <w:left w:val="nil"/>
              <w:bottom w:val="nil"/>
              <w:right w:val="nil"/>
            </w:tcBorders>
            <w:shd w:val="clear" w:color="auto" w:fill="auto"/>
            <w:noWrap/>
            <w:vAlign w:val="center"/>
          </w:tcPr>
          <w:p w14:paraId="538CA856">
            <w:pPr>
              <w:ind w:left="0" w:leftChars="0" w:right="0" w:rightChars="0" w:firstLine="0" w:firstLineChars="0"/>
              <w:rPr>
                <w:rFonts w:hint="eastAsia" w:ascii="宋体" w:hAnsi="宋体" w:eastAsia="宋体" w:cs="宋体"/>
                <w:i w:val="0"/>
                <w:iCs w:val="0"/>
                <w:color w:val="000000"/>
                <w:sz w:val="22"/>
                <w:szCs w:val="22"/>
                <w:u w:val="none"/>
              </w:rPr>
            </w:pPr>
            <w:r>
              <w:rPr>
                <w:rFonts w:hint="default" w:ascii="仿宋_GB2312" w:hAnsi="宋体" w:eastAsia="仿宋_GB2312" w:cs="仿宋_GB2312"/>
                <w:i w:val="0"/>
                <w:iCs w:val="0"/>
                <w:color w:val="000000"/>
                <w:kern w:val="0"/>
                <w:sz w:val="30"/>
                <w:szCs w:val="30"/>
                <w:u w:val="none"/>
                <w:lang w:val="en-US" w:eastAsia="zh-CN" w:bidi="ar"/>
              </w:rPr>
              <w:t>报价单位：（盖章）</w:t>
            </w:r>
          </w:p>
        </w:tc>
      </w:tr>
    </w:tbl>
    <w:p w14:paraId="1612CFC2">
      <w:pPr>
        <w:pStyle w:val="13"/>
        <w:numPr>
          <w:ilvl w:val="4"/>
          <w:numId w:val="0"/>
        </w:numP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pPr>
    </w:p>
    <w:p w14:paraId="08AD3A60">
      <w:pPr>
        <w:pStyle w:val="14"/>
        <w:rPr>
          <w:rFonts w:hint="eastAsia"/>
          <w:lang w:val="en-US" w:eastAsia="zh-CN"/>
        </w:rPr>
      </w:pPr>
    </w:p>
    <w:p w14:paraId="33BB87D9">
      <w:pPr>
        <w:pStyle w:val="14"/>
        <w:rPr>
          <w:rFonts w:hint="eastAsia"/>
          <w:lang w:val="en-US" w:eastAsia="zh-CN"/>
        </w:rPr>
      </w:pPr>
    </w:p>
    <w:p w14:paraId="13733933">
      <w:pPr>
        <w:pStyle w:val="14"/>
        <w:rPr>
          <w:rFonts w:hint="eastAsia"/>
          <w:lang w:val="en-US" w:eastAsia="zh-CN"/>
        </w:rPr>
      </w:pPr>
    </w:p>
    <w:p w14:paraId="24A65523">
      <w:pPr>
        <w:pStyle w:val="14"/>
        <w:tabs>
          <w:tab w:val="left" w:pos="2001"/>
        </w:tabs>
        <w:rPr>
          <w:rFonts w:hint="eastAsia"/>
          <w:lang w:val="en-US" w:eastAsia="zh-CN"/>
        </w:rPr>
      </w:pPr>
      <w:r>
        <w:rPr>
          <w:rFonts w:hint="eastAsia"/>
          <w:lang w:val="en-US" w:eastAsia="zh-CN"/>
        </w:rPr>
        <w:tab/>
      </w:r>
    </w:p>
    <w:p w14:paraId="382DA86B">
      <w:pPr>
        <w:pStyle w:val="14"/>
        <w:tabs>
          <w:tab w:val="left" w:pos="2001"/>
        </w:tabs>
        <w:rPr>
          <w:rFonts w:hint="eastAsia"/>
          <w:lang w:val="en-US" w:eastAsia="zh-CN"/>
        </w:rPr>
      </w:pPr>
    </w:p>
    <w:p w14:paraId="3173E8AB">
      <w:pPr>
        <w:pStyle w:val="14"/>
        <w:tabs>
          <w:tab w:val="left" w:pos="2001"/>
        </w:tabs>
        <w:rPr>
          <w:rFonts w:hint="eastAsia"/>
          <w:lang w:val="en-US" w:eastAsia="zh-CN"/>
        </w:rPr>
      </w:pPr>
    </w:p>
    <w:p w14:paraId="659004BE">
      <w:pPr>
        <w:pStyle w:val="14"/>
        <w:tabs>
          <w:tab w:val="left" w:pos="2001"/>
        </w:tabs>
        <w:rPr>
          <w:rFonts w:hint="eastAsia"/>
          <w:lang w:val="en-US" w:eastAsia="zh-CN"/>
        </w:rPr>
      </w:pPr>
    </w:p>
    <w:p w14:paraId="39AE6E2E">
      <w:pPr>
        <w:pStyle w:val="14"/>
        <w:tabs>
          <w:tab w:val="left" w:pos="2001"/>
        </w:tabs>
        <w:rPr>
          <w:rFonts w:hint="eastAsia"/>
          <w:lang w:val="en-US" w:eastAsia="zh-CN"/>
        </w:rPr>
      </w:pPr>
    </w:p>
    <w:p w14:paraId="4D7E6823">
      <w:pPr>
        <w:pStyle w:val="14"/>
        <w:tabs>
          <w:tab w:val="left" w:pos="2001"/>
        </w:tabs>
        <w:rPr>
          <w:rFonts w:hint="eastAsia"/>
          <w:lang w:val="en-US" w:eastAsia="zh-CN"/>
        </w:rPr>
      </w:pPr>
    </w:p>
    <w:p w14:paraId="7555079A">
      <w:pPr>
        <w:pStyle w:val="14"/>
        <w:tabs>
          <w:tab w:val="left" w:pos="2001"/>
        </w:tabs>
        <w:rPr>
          <w:rFonts w:hint="eastAsia"/>
          <w:lang w:val="en-US" w:eastAsia="zh-CN"/>
        </w:rPr>
      </w:pPr>
    </w:p>
    <w:p w14:paraId="2E40A76A">
      <w:pPr>
        <w:pStyle w:val="14"/>
        <w:tabs>
          <w:tab w:val="left" w:pos="2001"/>
        </w:tabs>
        <w:rPr>
          <w:rFonts w:hint="eastAsia"/>
          <w:lang w:val="en-US" w:eastAsia="zh-CN"/>
        </w:rPr>
      </w:pPr>
    </w:p>
    <w:p w14:paraId="16E4E630">
      <w:pPr>
        <w:pStyle w:val="14"/>
        <w:tabs>
          <w:tab w:val="left" w:pos="2001"/>
        </w:tabs>
        <w:rPr>
          <w:rFonts w:hint="eastAsia"/>
          <w:lang w:val="en-US" w:eastAsia="zh-CN"/>
        </w:rPr>
      </w:pPr>
    </w:p>
    <w:p w14:paraId="7874CBA2">
      <w:pPr>
        <w:pStyle w:val="14"/>
        <w:tabs>
          <w:tab w:val="left" w:pos="2001"/>
        </w:tabs>
        <w:rPr>
          <w:rFonts w:hint="eastAsia"/>
          <w:lang w:val="en-US" w:eastAsia="zh-CN"/>
        </w:rPr>
      </w:pPr>
    </w:p>
    <w:p w14:paraId="122466ED">
      <w:pPr>
        <w:pStyle w:val="14"/>
        <w:tabs>
          <w:tab w:val="left" w:pos="2001"/>
        </w:tabs>
        <w:rPr>
          <w:rFonts w:hint="eastAsia"/>
          <w:lang w:val="en-US" w:eastAsia="zh-CN"/>
        </w:rPr>
      </w:pPr>
    </w:p>
    <w:p w14:paraId="33BEBE45">
      <w:pPr>
        <w:pStyle w:val="14"/>
        <w:tabs>
          <w:tab w:val="left" w:pos="2001"/>
        </w:tabs>
        <w:rPr>
          <w:rFonts w:hint="eastAsia"/>
          <w:lang w:val="en-US" w:eastAsia="zh-CN"/>
        </w:rPr>
      </w:pPr>
    </w:p>
    <w:p w14:paraId="4065B949">
      <w:pPr>
        <w:pStyle w:val="14"/>
        <w:tabs>
          <w:tab w:val="left" w:pos="2001"/>
        </w:tabs>
        <w:rPr>
          <w:rFonts w:hint="eastAsia"/>
          <w:lang w:val="en-US" w:eastAsia="zh-CN"/>
        </w:rPr>
      </w:pPr>
    </w:p>
    <w:p w14:paraId="690A3F9E">
      <w:pPr>
        <w:pStyle w:val="14"/>
        <w:tabs>
          <w:tab w:val="left" w:pos="2001"/>
        </w:tabs>
        <w:rPr>
          <w:rFonts w:hint="eastAsia"/>
          <w:lang w:val="en-US" w:eastAsia="zh-CN"/>
        </w:rPr>
      </w:pPr>
    </w:p>
    <w:p w14:paraId="3AAFFD00">
      <w:pPr>
        <w:pStyle w:val="14"/>
        <w:tabs>
          <w:tab w:val="left" w:pos="2001"/>
        </w:tabs>
        <w:rPr>
          <w:rFonts w:hint="eastAsia"/>
          <w:lang w:val="en-US" w:eastAsia="zh-CN"/>
        </w:rPr>
      </w:pPr>
    </w:p>
    <w:p w14:paraId="475EB457">
      <w:pPr>
        <w:pageBreakBefore w:val="0"/>
        <w:kinsoku/>
        <w:wordWrap/>
        <w:overflowPunct/>
        <w:topLinePunct w:val="0"/>
        <w:autoSpaceDE/>
        <w:autoSpaceDN/>
        <w:bidi w:val="0"/>
        <w:adjustRightInd/>
        <w:snapToGrid/>
        <w:spacing w:line="360" w:lineRule="auto"/>
        <w:jc w:val="left"/>
        <w:rPr>
          <w:rFonts w:hint="eastAsia" w:ascii="宋体" w:hAnsi="宋体" w:cs="宋体"/>
          <w:color w:val="auto"/>
          <w:sz w:val="44"/>
          <w:szCs w:val="44"/>
          <w:highlight w:val="none"/>
        </w:rPr>
      </w:pPr>
      <w:r>
        <w:rPr>
          <w:rFonts w:hint="eastAsia" w:ascii="仿宋_GB2312" w:hAnsi="仿宋_GB2312" w:eastAsia="仿宋_GB2312" w:cs="仿宋_GB2312"/>
          <w:color w:val="000000" w:themeColor="text1"/>
          <w:sz w:val="30"/>
          <w:szCs w:val="30"/>
          <w:highlight w:val="none"/>
          <w:shd w:val="clear" w:color="auto" w:fill="auto"/>
          <w:lang w:val="en-US" w:eastAsia="zh-CN"/>
          <w14:textFill>
            <w14:solidFill>
              <w14:schemeClr w14:val="tx1"/>
            </w14:solidFill>
          </w14:textFill>
        </w:rPr>
        <w:t>附件2：合同模板</w:t>
      </w:r>
      <w:r>
        <w:rPr>
          <w:rFonts w:hint="eastAsia" w:ascii="宋体" w:hAnsi="宋体" w:cs="宋体"/>
          <w:color w:val="auto"/>
          <w:sz w:val="28"/>
          <w:szCs w:val="28"/>
          <w:highlight w:val="none"/>
        </w:rPr>
        <w:t xml:space="preserve">                                                                                                </w:t>
      </w:r>
    </w:p>
    <w:p w14:paraId="0179FCD4">
      <w:pPr>
        <w:pageBreakBefore w:val="0"/>
        <w:kinsoku/>
        <w:wordWrap/>
        <w:overflowPunct/>
        <w:topLinePunct w:val="0"/>
        <w:autoSpaceDE/>
        <w:autoSpaceDN/>
        <w:bidi w:val="0"/>
        <w:adjustRightInd/>
        <w:snapToGrid/>
        <w:spacing w:line="360" w:lineRule="auto"/>
        <w:ind w:firstLine="560" w:firstLineChars="200"/>
        <w:jc w:val="center"/>
        <w:rPr>
          <w:rFonts w:hint="eastAsia" w:ascii="宋体" w:hAnsi="宋体" w:cs="宋体"/>
          <w:color w:val="auto"/>
          <w:sz w:val="44"/>
          <w:szCs w:val="44"/>
          <w:highlight w:val="none"/>
        </w:rPr>
      </w:pP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合同编号：</w:t>
      </w:r>
    </w:p>
    <w:p w14:paraId="1C3DA860">
      <w:pPr>
        <w:pageBreakBefore w:val="0"/>
        <w:kinsoku/>
        <w:wordWrap/>
        <w:overflowPunct/>
        <w:topLinePunct w:val="0"/>
        <w:autoSpaceDE/>
        <w:autoSpaceDN/>
        <w:bidi w:val="0"/>
        <w:adjustRightInd/>
        <w:snapToGrid/>
        <w:spacing w:line="360" w:lineRule="auto"/>
        <w:ind w:firstLine="880" w:firstLineChars="200"/>
        <w:jc w:val="center"/>
        <w:rPr>
          <w:rFonts w:hint="eastAsia" w:ascii="宋体" w:hAnsi="宋体" w:cs="宋体"/>
          <w:color w:val="auto"/>
          <w:sz w:val="44"/>
          <w:szCs w:val="44"/>
          <w:highlight w:val="none"/>
        </w:rPr>
      </w:pPr>
    </w:p>
    <w:p w14:paraId="042F7E69">
      <w:pPr>
        <w:pageBreakBefore w:val="0"/>
        <w:kinsoku/>
        <w:wordWrap/>
        <w:overflowPunct/>
        <w:topLinePunct w:val="0"/>
        <w:autoSpaceDE/>
        <w:autoSpaceDN/>
        <w:bidi w:val="0"/>
        <w:adjustRightInd/>
        <w:snapToGrid/>
        <w:spacing w:line="360" w:lineRule="auto"/>
        <w:ind w:firstLine="880" w:firstLineChars="200"/>
        <w:jc w:val="center"/>
        <w:rPr>
          <w:rFonts w:hint="eastAsia" w:ascii="宋体" w:hAnsi="宋体" w:cs="宋体"/>
          <w:color w:val="auto"/>
          <w:sz w:val="52"/>
          <w:szCs w:val="52"/>
          <w:highlight w:val="none"/>
        </w:rPr>
      </w:pPr>
      <w:r>
        <w:rPr>
          <w:rFonts w:hint="eastAsia" w:ascii="宋体" w:hAnsi="宋体" w:cs="宋体"/>
          <w:color w:val="auto"/>
          <w:sz w:val="44"/>
          <w:szCs w:val="44"/>
          <w:highlight w:val="none"/>
        </w:rPr>
        <w:t xml:space="preserve"> </w:t>
      </w:r>
    </w:p>
    <w:p w14:paraId="650B4D64">
      <w:pPr>
        <w:pageBreakBefore w:val="0"/>
        <w:kinsoku/>
        <w:wordWrap/>
        <w:overflowPunct/>
        <w:topLinePunct w:val="0"/>
        <w:autoSpaceDE/>
        <w:autoSpaceDN/>
        <w:bidi w:val="0"/>
        <w:adjustRightInd/>
        <w:snapToGrid/>
        <w:spacing w:line="240" w:lineRule="auto"/>
        <w:ind w:firstLine="0" w:firstLineChars="0"/>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采</w:t>
      </w:r>
    </w:p>
    <w:p w14:paraId="5253CB25">
      <w:pPr>
        <w:pageBreakBefore w:val="0"/>
        <w:kinsoku/>
        <w:wordWrap/>
        <w:overflowPunct/>
        <w:topLinePunct w:val="0"/>
        <w:autoSpaceDE/>
        <w:autoSpaceDN/>
        <w:bidi w:val="0"/>
        <w:adjustRightInd/>
        <w:snapToGrid/>
        <w:spacing w:line="240" w:lineRule="auto"/>
        <w:ind w:firstLine="0" w:firstLineChars="0"/>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购</w:t>
      </w:r>
    </w:p>
    <w:p w14:paraId="7594E54E">
      <w:pPr>
        <w:pageBreakBefore w:val="0"/>
        <w:kinsoku/>
        <w:wordWrap/>
        <w:overflowPunct/>
        <w:topLinePunct w:val="0"/>
        <w:autoSpaceDE/>
        <w:autoSpaceDN/>
        <w:bidi w:val="0"/>
        <w:adjustRightInd/>
        <w:snapToGrid/>
        <w:spacing w:line="240" w:lineRule="auto"/>
        <w:ind w:firstLine="0" w:firstLineChars="0"/>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 xml:space="preserve">合 </w:t>
      </w:r>
    </w:p>
    <w:p w14:paraId="219DD3CA">
      <w:pPr>
        <w:pageBreakBefore w:val="0"/>
        <w:kinsoku/>
        <w:wordWrap/>
        <w:overflowPunct/>
        <w:topLinePunct w:val="0"/>
        <w:autoSpaceDE/>
        <w:autoSpaceDN/>
        <w:bidi w:val="0"/>
        <w:adjustRightInd/>
        <w:snapToGrid/>
        <w:spacing w:line="240" w:lineRule="auto"/>
        <w:ind w:firstLine="0" w:firstLineChars="0"/>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同</w:t>
      </w:r>
    </w:p>
    <w:p w14:paraId="7116277A">
      <w:pPr>
        <w:pageBreakBefore w:val="0"/>
        <w:kinsoku/>
        <w:wordWrap/>
        <w:overflowPunct/>
        <w:topLinePunct w:val="0"/>
        <w:autoSpaceDE/>
        <w:autoSpaceDN/>
        <w:bidi w:val="0"/>
        <w:adjustRightInd/>
        <w:snapToGrid/>
        <w:spacing w:line="360" w:lineRule="auto"/>
        <w:ind w:firstLine="560" w:firstLineChars="200"/>
        <w:rPr>
          <w:rFonts w:hint="eastAsia" w:ascii="宋体" w:hAnsi="宋体" w:cs="宋体"/>
          <w:color w:val="auto"/>
          <w:sz w:val="28"/>
          <w:szCs w:val="28"/>
          <w:highlight w:val="none"/>
        </w:rPr>
      </w:pPr>
    </w:p>
    <w:p w14:paraId="31323770">
      <w:pPr>
        <w:pageBreakBefore w:val="0"/>
        <w:kinsoku/>
        <w:wordWrap/>
        <w:overflowPunct/>
        <w:topLinePunct w:val="0"/>
        <w:autoSpaceDE/>
        <w:autoSpaceDN/>
        <w:bidi w:val="0"/>
        <w:adjustRightInd/>
        <w:snapToGrid/>
        <w:spacing w:line="360" w:lineRule="auto"/>
        <w:rPr>
          <w:rFonts w:hint="eastAsia" w:ascii="宋体" w:hAnsi="宋体" w:cs="宋体"/>
          <w:color w:val="auto"/>
          <w:sz w:val="28"/>
          <w:szCs w:val="28"/>
          <w:highlight w:val="none"/>
        </w:rPr>
      </w:pPr>
    </w:p>
    <w:p w14:paraId="7D2485A0">
      <w:pPr>
        <w:pageBreakBefore w:val="0"/>
        <w:kinsoku/>
        <w:wordWrap/>
        <w:overflowPunct/>
        <w:topLinePunct w:val="0"/>
        <w:autoSpaceDE/>
        <w:autoSpaceDN/>
        <w:bidi w:val="0"/>
        <w:adjustRightInd/>
        <w:snapToGrid/>
        <w:spacing w:line="360" w:lineRule="auto"/>
        <w:ind w:firstLine="562" w:firstLineChars="200"/>
        <w:rPr>
          <w:rFonts w:hint="eastAsia" w:ascii="宋体" w:hAnsi="宋体" w:cs="宋体"/>
          <w:b/>
          <w:bCs/>
          <w:color w:val="auto"/>
          <w:sz w:val="28"/>
          <w:szCs w:val="28"/>
          <w:highlight w:val="none"/>
        </w:rPr>
      </w:pPr>
    </w:p>
    <w:p w14:paraId="037678EF">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    方：</w:t>
      </w:r>
      <w:r>
        <w:rPr>
          <w:rFonts w:hint="eastAsia" w:ascii="宋体" w:hAnsi="宋体" w:cs="宋体"/>
          <w:b/>
          <w:bCs/>
          <w:color w:val="auto"/>
          <w:sz w:val="24"/>
          <w:szCs w:val="24"/>
          <w:highlight w:val="none"/>
          <w:u w:val="single"/>
          <w:lang w:val="en-US" w:eastAsia="zh-CN"/>
        </w:rPr>
        <w:t>遂宁市鹏安投资有限公司</w:t>
      </w:r>
      <w:r>
        <w:rPr>
          <w:rFonts w:hint="eastAsia" w:ascii="宋体" w:hAnsi="宋体" w:eastAsia="宋体" w:cs="宋体"/>
          <w:b/>
          <w:bCs/>
          <w:color w:val="auto"/>
          <w:sz w:val="24"/>
          <w:szCs w:val="24"/>
          <w:highlight w:val="none"/>
          <w:u w:val="single"/>
        </w:rPr>
        <w:t xml:space="preserve"> （采购方） </w:t>
      </w:r>
    </w:p>
    <w:p w14:paraId="25ADB257">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    方：</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（供货方） </w:t>
      </w:r>
    </w:p>
    <w:p w14:paraId="7AAECE5E">
      <w:pPr>
        <w:pageBreakBefore w:val="0"/>
        <w:widowControl/>
        <w:kinsoku/>
        <w:wordWrap/>
        <w:overflowPunct/>
        <w:topLinePunct w:val="0"/>
        <w:autoSpaceDE/>
        <w:autoSpaceDN/>
        <w:bidi w:val="0"/>
        <w:adjustRightInd/>
        <w:snapToGrid/>
        <w:spacing w:line="360" w:lineRule="auto"/>
        <w:ind w:firstLine="480" w:firstLineChars="200"/>
        <w:jc w:val="left"/>
        <w:rPr>
          <w:rFonts w:hint="eastAsia" w:ascii="宋体" w:hAnsi="宋体" w:eastAsia="宋体" w:cs="宋体"/>
          <w:color w:val="auto"/>
          <w:sz w:val="24"/>
          <w:szCs w:val="24"/>
          <w:highlight w:val="yellow"/>
        </w:rPr>
      </w:pPr>
    </w:p>
    <w:p w14:paraId="26F479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项目名称：遂宁市安居区农村产业融合示范园区建设项目（一期）（道路及产业园基础设施建设）第四批  </w:t>
      </w:r>
    </w:p>
    <w:p w14:paraId="17A8E2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日 </w:t>
      </w:r>
    </w:p>
    <w:p w14:paraId="1F8F84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p>
    <w:p w14:paraId="046344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sectPr>
          <w:pgSz w:w="11906" w:h="16838"/>
          <w:pgMar w:top="1134" w:right="1080" w:bottom="1134" w:left="1080" w:header="851" w:footer="992" w:gutter="0"/>
          <w:cols w:space="425" w:num="1"/>
          <w:docGrid w:type="lines" w:linePitch="312" w:charSpace="0"/>
        </w:sectPr>
      </w:pPr>
      <w:r>
        <w:rPr>
          <w:rFonts w:hint="eastAsia" w:ascii="宋体" w:hAnsi="宋体" w:eastAsia="宋体" w:cs="宋体"/>
          <w:color w:val="auto"/>
          <w:sz w:val="24"/>
          <w:szCs w:val="24"/>
          <w:highlight w:val="none"/>
        </w:rPr>
        <w:t>签订地点：</w:t>
      </w:r>
      <w:r>
        <w:rPr>
          <w:rFonts w:hint="eastAsia" w:ascii="宋体" w:hAnsi="宋体" w:eastAsia="宋体" w:cs="宋体"/>
          <w:color w:val="auto"/>
          <w:sz w:val="24"/>
          <w:szCs w:val="24"/>
          <w:highlight w:val="none"/>
          <w:u w:val="single"/>
        </w:rPr>
        <w:t xml:space="preserve">    遂宁市安居区   </w:t>
      </w:r>
    </w:p>
    <w:p w14:paraId="306B0F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甲乙双方就</w:t>
      </w:r>
      <w:r>
        <w:rPr>
          <w:rFonts w:hint="eastAsia" w:ascii="宋体" w:hAnsi="宋体" w:eastAsia="宋体" w:cs="宋体"/>
          <w:color w:val="auto"/>
          <w:sz w:val="24"/>
          <w:szCs w:val="24"/>
          <w:highlight w:val="none"/>
          <w:u w:val="none"/>
        </w:rPr>
        <w:t>“遂宁市安居区农村产业融合示范园区建设项目（一期）（道路及产业园基础设施建设）第四批</w:t>
      </w:r>
      <w:r>
        <w:rPr>
          <w:rFonts w:hint="eastAsia" w:ascii="宋体" w:hAnsi="宋体" w:cs="宋体"/>
          <w:sz w:val="24"/>
          <w:szCs w:val="24"/>
          <w:u w:val="none"/>
          <w:lang w:eastAsia="zh-CN"/>
        </w:rPr>
        <w:t>”</w:t>
      </w:r>
      <w:r>
        <w:rPr>
          <w:rFonts w:hint="eastAsia" w:ascii="宋体" w:hAnsi="宋体" w:cs="宋体"/>
          <w:sz w:val="24"/>
          <w:szCs w:val="24"/>
          <w:u w:val="none"/>
        </w:rPr>
        <w:t>材料</w:t>
      </w:r>
      <w:r>
        <w:rPr>
          <w:rFonts w:hint="eastAsia" w:ascii="宋体" w:hAnsi="宋体" w:cs="宋体"/>
          <w:sz w:val="24"/>
          <w:szCs w:val="24"/>
          <w:u w:val="none"/>
          <w:lang w:val="en-US" w:eastAsia="zh-CN"/>
        </w:rPr>
        <w:t>-标准砖、钢筋等材料</w:t>
      </w:r>
      <w:r>
        <w:rPr>
          <w:rFonts w:hint="eastAsia" w:ascii="宋体" w:hAnsi="宋体" w:cs="宋体"/>
          <w:b w:val="0"/>
          <w:bCs w:val="0"/>
          <w:color w:val="auto"/>
          <w:sz w:val="24"/>
          <w:szCs w:val="24"/>
          <w:highlight w:val="none"/>
          <w:u w:val="none"/>
          <w:lang w:val="en-US" w:eastAsia="zh-CN"/>
        </w:rPr>
        <w:t>采</w:t>
      </w:r>
      <w:r>
        <w:rPr>
          <w:rFonts w:hint="eastAsia" w:ascii="宋体" w:hAnsi="宋体" w:cs="宋体"/>
          <w:b w:val="0"/>
          <w:bCs w:val="0"/>
          <w:color w:val="auto"/>
          <w:sz w:val="24"/>
          <w:szCs w:val="24"/>
          <w:highlight w:val="none"/>
          <w:lang w:val="en-US" w:eastAsia="zh-CN"/>
        </w:rPr>
        <w:t>购合同</w:t>
      </w:r>
      <w:r>
        <w:rPr>
          <w:rFonts w:hint="eastAsia" w:ascii="宋体" w:hAnsi="宋体" w:eastAsia="宋体" w:cs="宋体"/>
          <w:b w:val="0"/>
          <w:bCs w:val="0"/>
          <w:color w:val="auto"/>
          <w:sz w:val="24"/>
          <w:szCs w:val="24"/>
          <w:highlight w:val="none"/>
        </w:rPr>
        <w:t>事宜进行磋商，于202</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年</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月</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日确立合作关系，根据本工程具体情况，按照《中华人民共和国民法典》及相关规定，经双方友好协商，特立此合同，以兹双方共同遵守以下合同条款。</w:t>
      </w:r>
    </w:p>
    <w:p w14:paraId="3A047B5F">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第一条： 产品</w:t>
      </w:r>
      <w:r>
        <w:rPr>
          <w:rFonts w:hint="eastAsia" w:ascii="宋体" w:hAnsi="宋体" w:eastAsia="宋体" w:cs="宋体"/>
          <w:b/>
          <w:color w:val="auto"/>
          <w:sz w:val="24"/>
          <w:szCs w:val="24"/>
          <w:highlight w:val="none"/>
          <w:lang w:val="en-US" w:eastAsia="zh-CN"/>
        </w:rPr>
        <w:t>清单及总价</w:t>
      </w:r>
    </w:p>
    <w:p w14:paraId="6EDFB7D7">
      <w:pPr>
        <w:pStyle w:val="13"/>
        <w:pageBreakBefore w:val="0"/>
        <w:numPr>
          <w:ilvl w:val="4"/>
          <w:numId w:val="0"/>
        </w:numPr>
        <w:kinsoku/>
        <w:wordWrap/>
        <w:overflowPunct/>
        <w:topLinePunct w:val="0"/>
        <w:autoSpaceDE/>
        <w:autoSpaceDN/>
        <w:bidi w:val="0"/>
        <w:adjustRightInd/>
        <w:snapToGrid/>
        <w:spacing w:before="0" w:after="0" w:line="360" w:lineRule="auto"/>
        <w:ind w:firstLine="480" w:firstLineChars="200"/>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1.1产品清单。</w:t>
      </w:r>
    </w:p>
    <w:tbl>
      <w:tblPr>
        <w:tblStyle w:val="8"/>
        <w:tblW w:w="105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2167"/>
        <w:gridCol w:w="3216"/>
        <w:gridCol w:w="466"/>
        <w:gridCol w:w="1096"/>
        <w:gridCol w:w="1096"/>
        <w:gridCol w:w="1426"/>
        <w:gridCol w:w="449"/>
      </w:tblGrid>
      <w:tr w14:paraId="29CA1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B472B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2E59A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材料名称</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8AB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E7499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39C14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暂定数量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956D7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w:t>
            </w:r>
            <w:r>
              <w:rPr>
                <w:rFonts w:hint="eastAsia" w:ascii="宋体" w:hAnsi="宋体" w:eastAsia="宋体" w:cs="宋体"/>
                <w:i w:val="0"/>
                <w:iCs w:val="0"/>
                <w:color w:val="000000"/>
                <w:kern w:val="0"/>
                <w:sz w:val="21"/>
                <w:szCs w:val="21"/>
                <w:u w:val="none"/>
                <w:lang w:val="en-US" w:eastAsia="zh-CN" w:bidi="ar"/>
              </w:rPr>
              <w:t>含税单价</w:t>
            </w:r>
          </w:p>
          <w:p w14:paraId="14412B1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08A58F">
            <w:pPr>
              <w:keepNext w:val="0"/>
              <w:keepLines w:val="0"/>
              <w:widowControl/>
              <w:suppressLineNumbers w:val="0"/>
              <w:ind w:left="0" w:leftChars="0" w:right="0" w:rightChars="0" w:firstLine="0" w:firstLineChars="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不含税合价</w:t>
            </w:r>
          </w:p>
          <w:p w14:paraId="362D503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（元）</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F82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24CA0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24856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41C46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标准砖</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1567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页岩实心标准砖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8C357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千匹</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4E8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27</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E67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5CF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EE1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181D6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E916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CADAC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预制混凝土块</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8CD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预制砼块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D33AB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E79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C3E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5FF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46F8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68A0A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0DA46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B1C9C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钢筋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C59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HPB300钢筋≤10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69F8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11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6BB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FADC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0AD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09B49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55D9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3BA0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钢筋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605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HRB300钢筋 ＞10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36CDE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B63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19.5</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0AB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0F1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2FB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6B1C9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13312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7058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钢筋</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D4D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HRB400钢筋 φ12~16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93708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70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7796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D0B9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487F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582BB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8CE80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CD802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镀锌钢管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133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SC100壁厚4mm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9E814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CE3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1421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1C31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DEC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2C3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501A3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41265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CAFA6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HDPE管道DN110</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B4A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DN110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2D25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1C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4641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29D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01E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5C37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34BE5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97FA4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35253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钢筋混凝土管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A6ED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DN300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7DA28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5E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468</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F91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D7D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5C9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38FD3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580CE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4A97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Φ1500mm混凝土管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DE5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1.5m钢筋混凝土圆管涵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971B7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5B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72</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F47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C63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C1C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1B521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C5406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F5891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装配式雨水口</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066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参见 16S518-42~43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BBFB2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AD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CDE9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E93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20D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63811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C3693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8F72D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铸铁井篦</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26A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单篦750*450mm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（雨水箅子采用三防球磨铸铁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可调式防沉降雨水箅子，参见 16S518-53~57。车行道下荷载等级不应低于D400 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A0491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4E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96</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C93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7AA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D4E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2C842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D3FED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73592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铸铁井篦</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F532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双篦750*450mm*2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（雨水箅子采用三防球磨铸铁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可调式防沉降雨水箅子，参见 16S518-53~57。车行道下荷载等级不应低于D400 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DFEBB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BC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EEE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00F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B07D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40E56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E5143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5BDE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混凝土井盖</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7B3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加金属框混凝土盖板（0.9*0.9*0.1m）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4EB14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6E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86B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0BF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D2A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7F16E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965E9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FEC1E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球磨铸铁井盖井座</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226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φ700球墨铸铁井盖井座(五防球墨铸铁井盖车行道荷载等级不应低于D400级)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68972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FA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C9D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64E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18CF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2EEE0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3A0EC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39433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球磨铸铁井盖井座</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30B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φ800球墨铸铁井盖井座(五防球墨铸铁井盖车行道荷载等级不应低于D400级)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A75DE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94A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A8E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07A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B4D1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66D55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F32A9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5AF62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25*38*38mm不锈钢树池篦子</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988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25*38*38mm不锈钢树池篦子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B0F7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B5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74</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17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91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235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37EF7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7A76B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0BCC0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预制混凝土井筒</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6AE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φ700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48C71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E4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0B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03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36E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47B7D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F0363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A2FF5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芝麻白花岗岩盲道砖</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6A6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30*30*3cm芝麻白花岗岩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AD572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m2</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FD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885</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26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B0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5A7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7163C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1E940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BCA81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花岗岩分隔条</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5F2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600x150x30mm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蒙古黑花岗岩(光面拉槽)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C7231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m2</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53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684.8</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19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80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17BF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05241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A27B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D0486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90*10*35cm芝麻白花岗岩路缘石</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3A9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90*10*35cm芝麻白花岗岩路缘石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680FD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17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2950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B4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EBC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B522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3504E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88F68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49330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60*10*3cm蒙古黑花岗岩边缘石</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689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60*10*3cm蒙古黑花岗岩边缘石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F2E49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F2E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2950</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D4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11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0B3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0641D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5C0D7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311E1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土工格栅</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91D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宽6m,聚乙烯单向、双向拉伸、聚丙烯双向、玻璃纤维(80KN/m)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B99D6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m2</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D5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7479</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A8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10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4F7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75629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C248B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B0098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波形钢板护栏Gr-B-4E</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9B3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Gr-B-4E(详见设计图纸S2-15-10)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E5293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F0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515</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32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D7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DE1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64AC0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7281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FAE21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波形钢板护栏Gr-B-4C</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4BA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Gr-B-4C(详见设计图纸S2-15-10)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4A0EE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A5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145</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63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E1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976A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22938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599FE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55BB8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配电箱JX-XDM</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CFB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详图纸要求（照明配电箱）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C44CA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2C4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D8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F9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19A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14FCD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00430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520C5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箱式变压器</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244C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S14-M10/0.4-100kVA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06F51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2E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82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B4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500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4BC8E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F4F8E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215C3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磁性防盗锁</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708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磁性防盗锁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ED9EA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D8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249</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64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AF5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338C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3C8E5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B81DF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3701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H=9m,50W(1*50W)截光型路灯</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6BB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H=9m,100W(1*50W)截光型路灯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145CB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FA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102</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62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CF7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9DEF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43B9B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3F0EE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A119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H=9m,100W(2*50W)截光型路灯</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AA19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H=9m,100W(2*50W)截光型路灯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AD308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23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138</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C2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10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30C3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5AF16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B877A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15D5F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石油沥青</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EBD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石油沥青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5CD71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79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4F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35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45E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7625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E4322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A7D12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橡胶沥青</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729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橡胶沥青同步碎石封层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4CF3F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32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E4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9C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233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2F6A1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3A5101">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FED45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乳化沥青</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D1D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乳化沥青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3025A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t</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FF6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118</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DB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3F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38E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1C800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6CCF2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07B52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AC-13细粒式沥青混凝土</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0CC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40mm厚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1F27B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952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1482</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77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EA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5AB6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75BA6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C8B0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C346A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AC-20粗粒式沥青混凝土</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BAB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50mm厚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76C75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AF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977</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58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F2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6113D">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494F5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F1710">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F7721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AC-16中粒式沥青混凝土</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B576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50mm厚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C39C1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EC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1309</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F6B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49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37EB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599E3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12DB85">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26B3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AC-13细粒式沥青混凝土</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9B6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50mm厚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18C70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AD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367</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06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E8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95B5">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3D1AB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689AE5">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5EAE8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4%水泥稳定碎石底基层厚150mm</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6EE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水泥稳定碎石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0EA6D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A9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1083.41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465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75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011F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57A46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C06EB2">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712334">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4%水泥稳定碎石底基层厚180mm</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582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水泥稳定碎石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4CE49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C51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4976.14</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EC5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87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9C5E">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192E4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7DDBE">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86997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5%水泥稳定碎石基层厚180mm</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827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水泥稳定碎石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B55DD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22F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4723.42</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99B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C9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3D9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0B9AE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FB825">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A3C8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5%水泥稳定碎石基层厚150mm</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298F">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水泥稳定碎石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F3A17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m3</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28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1083.41</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93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53E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0AD0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r>
      <w:tr w14:paraId="69802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60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40C02">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不含税</w:t>
            </w:r>
            <w:r>
              <w:rPr>
                <w:rFonts w:hint="eastAsia" w:ascii="宋体" w:hAnsi="宋体" w:eastAsia="宋体" w:cs="宋体"/>
                <w:i w:val="0"/>
                <w:iCs w:val="0"/>
                <w:color w:val="000000"/>
                <w:kern w:val="0"/>
                <w:sz w:val="21"/>
                <w:szCs w:val="21"/>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5524B">
            <w:pPr>
              <w:ind w:left="0" w:leftChars="0" w:right="0" w:rightChars="0" w:firstLine="0" w:firstLineChars="0"/>
              <w:jc w:val="left"/>
              <w:rPr>
                <w:rFonts w:hint="eastAsia" w:ascii="宋体" w:hAnsi="宋体" w:eastAsia="宋体" w:cs="宋体"/>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A202">
            <w:pPr>
              <w:jc w:val="center"/>
              <w:rPr>
                <w:rFonts w:hint="eastAsia" w:ascii="宋体" w:hAnsi="宋体" w:eastAsia="宋体" w:cs="宋体"/>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422F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2FD1">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7D24">
            <w:pPr>
              <w:ind w:left="0" w:leftChars="0" w:right="0" w:rightChars="0" w:firstLine="0" w:firstLineChars="0"/>
              <w:jc w:val="both"/>
              <w:rPr>
                <w:rFonts w:hint="eastAsia" w:ascii="宋体" w:hAnsi="宋体" w:eastAsia="宋体" w:cs="宋体"/>
                <w:i w:val="0"/>
                <w:iCs w:val="0"/>
                <w:color w:val="000000"/>
                <w:sz w:val="21"/>
                <w:szCs w:val="21"/>
                <w:u w:val="none"/>
              </w:rPr>
            </w:pPr>
          </w:p>
        </w:tc>
      </w:tr>
      <w:tr w14:paraId="51917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jc w:val="center"/>
        </w:trPr>
        <w:tc>
          <w:tcPr>
            <w:tcW w:w="60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65C4A8">
            <w:pPr>
              <w:keepNext w:val="0"/>
              <w:keepLines w:val="0"/>
              <w:widowControl/>
              <w:suppressLineNumbers w:val="0"/>
              <w:ind w:left="0" w:leftChars="0" w:right="0" w:rightChars="0" w:firstLine="0" w:firstLineChars="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税金（税率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29EF">
            <w:pPr>
              <w:ind w:left="0" w:leftChars="0" w:right="0" w:rightChars="0" w:firstLine="0" w:firstLineChars="0"/>
              <w:jc w:val="left"/>
              <w:rPr>
                <w:rFonts w:hint="eastAsia" w:ascii="宋体" w:hAnsi="宋体" w:eastAsia="宋体" w:cs="宋体"/>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AAFD">
            <w:pPr>
              <w:jc w:val="center"/>
              <w:rPr>
                <w:rFonts w:hint="eastAsia" w:ascii="宋体" w:hAnsi="宋体" w:eastAsia="宋体" w:cs="宋体"/>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7427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8925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E4260">
            <w:pPr>
              <w:ind w:left="0" w:leftChars="0" w:right="0" w:rightChars="0" w:firstLine="0" w:firstLineChars="0"/>
              <w:jc w:val="both"/>
              <w:rPr>
                <w:rFonts w:hint="eastAsia" w:ascii="宋体" w:hAnsi="宋体" w:eastAsia="宋体" w:cs="宋体"/>
                <w:i w:val="0"/>
                <w:iCs w:val="0"/>
                <w:color w:val="000000"/>
                <w:sz w:val="21"/>
                <w:szCs w:val="21"/>
                <w:u w:val="none"/>
              </w:rPr>
            </w:pPr>
          </w:p>
        </w:tc>
      </w:tr>
      <w:tr w14:paraId="317C9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60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5979B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含税合计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9389A">
            <w:pPr>
              <w:ind w:left="0" w:leftChars="0" w:right="0" w:rightChars="0" w:firstLine="0" w:firstLineChars="0"/>
              <w:jc w:val="left"/>
              <w:rPr>
                <w:rFonts w:hint="eastAsia" w:ascii="宋体" w:hAnsi="宋体" w:eastAsia="宋体" w:cs="宋体"/>
                <w:i w:val="0"/>
                <w:iCs w:val="0"/>
                <w:color w:val="000000"/>
                <w:sz w:val="21"/>
                <w:szCs w:val="21"/>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3A504">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C3796">
            <w:pPr>
              <w:ind w:left="0" w:leftChars="0" w:right="0" w:rightChars="0" w:firstLine="0" w:firstLineChars="0"/>
              <w:jc w:val="center"/>
              <w:rPr>
                <w:rFonts w:hint="eastAsia" w:ascii="宋体" w:hAnsi="宋体" w:eastAsia="宋体" w:cs="宋体"/>
                <w:i w:val="0"/>
                <w:iCs w:val="0"/>
                <w:color w:val="000000"/>
                <w:sz w:val="21"/>
                <w:szCs w:val="21"/>
                <w:u w:val="none"/>
              </w:rPr>
            </w:pP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1F9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p>
        </w:tc>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2C20">
            <w:pPr>
              <w:ind w:left="0" w:leftChars="0" w:right="0" w:rightChars="0" w:firstLine="0" w:firstLineChars="0"/>
              <w:jc w:val="both"/>
              <w:rPr>
                <w:rFonts w:hint="eastAsia" w:ascii="宋体" w:hAnsi="宋体" w:eastAsia="宋体" w:cs="宋体"/>
                <w:i w:val="0"/>
                <w:iCs w:val="0"/>
                <w:color w:val="000000"/>
                <w:sz w:val="21"/>
                <w:szCs w:val="21"/>
                <w:u w:val="none"/>
              </w:rPr>
            </w:pPr>
          </w:p>
        </w:tc>
      </w:tr>
      <w:tr w14:paraId="771AF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1" w:hRule="atLeast"/>
          <w:jc w:val="center"/>
        </w:trPr>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0C26">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说明</w:t>
            </w:r>
          </w:p>
        </w:tc>
        <w:tc>
          <w:tcPr>
            <w:tcW w:w="991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D612762">
            <w:pPr>
              <w:keepNext w:val="0"/>
              <w:keepLines w:val="0"/>
              <w:widowControl/>
              <w:numPr>
                <w:ilvl w:val="0"/>
                <w:numId w:val="3"/>
              </w:numPr>
              <w:suppressLineNumbers w:val="0"/>
              <w:ind w:left="0" w:leftChars="0" w:right="0" w:righ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本合同为固定单价合同，含运输</w:t>
            </w:r>
            <w:r>
              <w:rPr>
                <w:rFonts w:hint="eastAsia" w:ascii="宋体" w:hAnsi="宋体" w:cs="宋体"/>
                <w:i w:val="0"/>
                <w:iCs w:val="0"/>
                <w:color w:val="000000"/>
                <w:kern w:val="0"/>
                <w:sz w:val="22"/>
                <w:szCs w:val="22"/>
                <w:u w:val="none"/>
                <w:lang w:val="en-US" w:eastAsia="zh-CN" w:bidi="ar"/>
              </w:rPr>
              <w:t>、上下车</w:t>
            </w:r>
            <w:r>
              <w:rPr>
                <w:rFonts w:hint="eastAsia" w:ascii="宋体" w:hAnsi="宋体" w:eastAsia="宋体" w:cs="宋体"/>
                <w:i w:val="0"/>
                <w:iCs w:val="0"/>
                <w:color w:val="000000"/>
                <w:kern w:val="0"/>
                <w:sz w:val="22"/>
                <w:szCs w:val="22"/>
                <w:u w:val="none"/>
                <w:lang w:val="en-US" w:eastAsia="zh-CN" w:bidi="ar"/>
              </w:rPr>
              <w:t>等</w:t>
            </w:r>
            <w:r>
              <w:rPr>
                <w:rFonts w:hint="eastAsia" w:ascii="宋体" w:hAnsi="宋体" w:cs="宋体"/>
                <w:i w:val="0"/>
                <w:iCs w:val="0"/>
                <w:color w:val="000000"/>
                <w:kern w:val="0"/>
                <w:sz w:val="22"/>
                <w:szCs w:val="22"/>
                <w:u w:val="none"/>
                <w:lang w:val="en-US" w:eastAsia="zh-CN" w:bidi="ar"/>
              </w:rPr>
              <w:t>一切相关</w:t>
            </w:r>
            <w:r>
              <w:rPr>
                <w:rFonts w:hint="eastAsia" w:ascii="宋体" w:hAnsi="宋体" w:eastAsia="宋体" w:cs="宋体"/>
                <w:i w:val="0"/>
                <w:iCs w:val="0"/>
                <w:color w:val="000000"/>
                <w:kern w:val="0"/>
                <w:sz w:val="22"/>
                <w:szCs w:val="22"/>
                <w:u w:val="none"/>
                <w:lang w:val="en-US" w:eastAsia="zh-CN" w:bidi="ar"/>
              </w:rPr>
              <w:t>费用，本合同履行期间，合同单价不变，甲方无需向乙方支付其他任何费用。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2、本合同最终结算工程量以实际供货结算为准。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3、税率： %</w:t>
            </w:r>
          </w:p>
          <w:p w14:paraId="6727B123">
            <w:pPr>
              <w:keepNext w:val="0"/>
              <w:keepLines w:val="0"/>
              <w:widowControl/>
              <w:numPr>
                <w:ilvl w:val="0"/>
                <w:numId w:val="0"/>
              </w:numPr>
              <w:suppressLineNumbers w:val="0"/>
              <w:ind w:left="0" w:leftChars="0" w:right="0" w:rightChars="0" w:firstLine="0" w:firstLineChars="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4、所有材料规格型号均满足设计图纸</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国标</w:t>
            </w:r>
            <w:r>
              <w:rPr>
                <w:rFonts w:hint="eastAsia" w:ascii="宋体" w:hAnsi="宋体" w:cs="宋体"/>
                <w:i w:val="0"/>
                <w:iCs w:val="0"/>
                <w:color w:val="000000"/>
                <w:kern w:val="0"/>
                <w:sz w:val="22"/>
                <w:szCs w:val="22"/>
                <w:u w:val="none"/>
                <w:lang w:val="en-US" w:eastAsia="zh-CN" w:bidi="ar"/>
              </w:rPr>
              <w:t>及规范</w:t>
            </w:r>
            <w:bookmarkStart w:id="0" w:name="_GoBack"/>
            <w:bookmarkEnd w:id="0"/>
            <w:r>
              <w:rPr>
                <w:rFonts w:hint="eastAsia" w:ascii="宋体" w:hAnsi="宋体" w:eastAsia="宋体" w:cs="宋体"/>
                <w:i w:val="0"/>
                <w:iCs w:val="0"/>
                <w:color w:val="000000"/>
                <w:kern w:val="0"/>
                <w:sz w:val="22"/>
                <w:szCs w:val="22"/>
                <w:u w:val="none"/>
                <w:lang w:val="en-US" w:eastAsia="zh-CN" w:bidi="ar"/>
              </w:rPr>
              <w:t>要求。</w:t>
            </w:r>
            <w:r>
              <w:rPr>
                <w:rFonts w:hint="eastAsia" w:ascii="宋体" w:hAnsi="宋体" w:cs="宋体"/>
                <w:i w:val="0"/>
                <w:iCs w:val="0"/>
                <w:color w:val="000000"/>
                <w:kern w:val="0"/>
                <w:sz w:val="21"/>
                <w:szCs w:val="21"/>
                <w:u w:val="none"/>
                <w:lang w:val="en-US" w:eastAsia="zh-CN" w:bidi="ar"/>
              </w:rPr>
              <w:t xml:space="preserve">  </w:t>
            </w:r>
          </w:p>
        </w:tc>
      </w:tr>
    </w:tbl>
    <w:p w14:paraId="40CAE044">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b w:val="0"/>
          <w:bCs w:val="0"/>
          <w:color w:val="auto"/>
          <w:sz w:val="24"/>
          <w:szCs w:val="24"/>
          <w:highlight w:val="none"/>
          <w:lang w:val="en-US" w:eastAsia="zh-CN"/>
        </w:rPr>
        <w:t>暂定合同</w:t>
      </w:r>
      <w:r>
        <w:rPr>
          <w:rFonts w:hint="eastAsia" w:ascii="宋体" w:hAnsi="宋体" w:cs="宋体"/>
          <w:b w:val="0"/>
          <w:bCs w:val="0"/>
          <w:color w:val="auto"/>
          <w:sz w:val="24"/>
          <w:szCs w:val="24"/>
          <w:highlight w:val="none"/>
          <w:lang w:val="en-US" w:eastAsia="zh-CN"/>
        </w:rPr>
        <w:t>含税金</w:t>
      </w:r>
      <w:r>
        <w:rPr>
          <w:rFonts w:hint="eastAsia" w:ascii="宋体" w:hAnsi="宋体" w:eastAsia="宋体" w:cs="宋体"/>
          <w:b w:val="0"/>
          <w:bCs w:val="0"/>
          <w:color w:val="auto"/>
          <w:sz w:val="24"/>
          <w:szCs w:val="24"/>
          <w:highlight w:val="none"/>
          <w:lang w:val="en-US" w:eastAsia="zh-CN"/>
        </w:rPr>
        <w:t>额</w:t>
      </w: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eastAsia="宋体" w:cs="宋体"/>
          <w:b w:val="0"/>
          <w:bCs w:val="0"/>
          <w:color w:val="auto"/>
          <w:sz w:val="24"/>
          <w:szCs w:val="24"/>
          <w:highlight w:val="none"/>
          <w:lang w:val="en-US" w:eastAsia="zh-CN"/>
        </w:rPr>
        <w:t>元，大写</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lang w:val="en-US" w:eastAsia="zh-CN"/>
        </w:rPr>
        <w:t>，其中不含税合同</w:t>
      </w:r>
      <w:r>
        <w:rPr>
          <w:rFonts w:hint="eastAsia" w:ascii="宋体" w:hAnsi="宋体" w:cs="宋体"/>
          <w:b w:val="0"/>
          <w:bCs w:val="0"/>
          <w:color w:val="auto"/>
          <w:sz w:val="24"/>
          <w:szCs w:val="24"/>
          <w:highlight w:val="none"/>
          <w:lang w:val="en-US" w:eastAsia="zh-CN"/>
        </w:rPr>
        <w:t>金</w:t>
      </w:r>
      <w:r>
        <w:rPr>
          <w:rFonts w:hint="eastAsia" w:ascii="宋体" w:hAnsi="宋体" w:eastAsia="宋体" w:cs="宋体"/>
          <w:b w:val="0"/>
          <w:bCs w:val="0"/>
          <w:color w:val="auto"/>
          <w:sz w:val="24"/>
          <w:szCs w:val="24"/>
          <w:highlight w:val="none"/>
          <w:lang w:val="en-US" w:eastAsia="zh-CN"/>
        </w:rPr>
        <w:t>额</w:t>
      </w: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eastAsia="宋体" w:cs="宋体"/>
          <w:b w:val="0"/>
          <w:bCs w:val="0"/>
          <w:color w:val="auto"/>
          <w:sz w:val="24"/>
          <w:szCs w:val="24"/>
          <w:highlight w:val="none"/>
          <w:lang w:val="en-US" w:eastAsia="zh-CN"/>
        </w:rPr>
        <w:t>元（大写：</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lang w:val="en-US" w:eastAsia="zh-CN"/>
        </w:rPr>
        <w:t>），税金：</w:t>
      </w: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eastAsia="宋体" w:cs="宋体"/>
          <w:b w:val="0"/>
          <w:bCs w:val="0"/>
          <w:color w:val="auto"/>
          <w:sz w:val="24"/>
          <w:szCs w:val="24"/>
          <w:highlight w:val="none"/>
          <w:lang w:val="en-US" w:eastAsia="zh-CN"/>
        </w:rPr>
        <w:t>元（大写：</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lang w:val="en-US" w:eastAsia="zh-CN"/>
        </w:rPr>
        <w:t>）</w:t>
      </w:r>
    </w:p>
    <w:p w14:paraId="2613CA2A">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1.3此价格为固定单价，包含</w:t>
      </w:r>
      <w:r>
        <w:rPr>
          <w:rFonts w:hint="eastAsia" w:ascii="宋体" w:hAnsi="宋体" w:cs="宋体"/>
          <w:b w:val="0"/>
          <w:bCs w:val="0"/>
          <w:color w:val="auto"/>
          <w:sz w:val="24"/>
          <w:szCs w:val="24"/>
          <w:highlight w:val="none"/>
          <w:lang w:val="en-US" w:eastAsia="zh-CN"/>
        </w:rPr>
        <w:t>但不限于</w:t>
      </w:r>
      <w:r>
        <w:rPr>
          <w:rFonts w:hint="eastAsia" w:ascii="宋体" w:hAnsi="宋体" w:eastAsia="宋体" w:cs="宋体"/>
          <w:b w:val="0"/>
          <w:bCs w:val="0"/>
          <w:color w:val="auto"/>
          <w:sz w:val="24"/>
          <w:szCs w:val="24"/>
          <w:highlight w:val="none"/>
          <w:lang w:val="en-US" w:eastAsia="zh-CN"/>
        </w:rPr>
        <w:t>增值税专用发票</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税率</w:t>
      </w:r>
      <w:r>
        <w:rPr>
          <w:rFonts w:hint="eastAsia" w:ascii="宋体"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lang w:val="en-US" w:eastAsia="zh-CN"/>
        </w:rPr>
        <w:t>%、含运输</w:t>
      </w:r>
      <w:r>
        <w:rPr>
          <w:rFonts w:hint="eastAsia" w:ascii="宋体" w:hAnsi="宋体" w:cs="宋体"/>
          <w:b w:val="0"/>
          <w:bCs w:val="0"/>
          <w:color w:val="auto"/>
          <w:sz w:val="24"/>
          <w:szCs w:val="24"/>
          <w:highlight w:val="none"/>
          <w:lang w:val="en-US" w:eastAsia="zh-CN"/>
        </w:rPr>
        <w:t>、上下车</w:t>
      </w:r>
      <w:r>
        <w:rPr>
          <w:rFonts w:hint="eastAsia" w:ascii="宋体" w:hAnsi="宋体" w:eastAsia="宋体" w:cs="宋体"/>
          <w:b w:val="0"/>
          <w:bCs w:val="0"/>
          <w:color w:val="auto"/>
          <w:sz w:val="24"/>
          <w:szCs w:val="24"/>
          <w:highlight w:val="none"/>
          <w:lang w:val="en-US" w:eastAsia="zh-CN"/>
        </w:rPr>
        <w:t>等到场的一切费用</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本合同履行期间合同单价不变，甲方无须另向乙方支付本合同约定之外的其他任何费用。所有材料规格型号均满足设计图纸及国标要求。本合同最终结算工程量以实际供货结算为准。</w:t>
      </w:r>
    </w:p>
    <w:p w14:paraId="50B59AF1">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第二条：质量标准</w:t>
      </w:r>
    </w:p>
    <w:p w14:paraId="15EDFD42">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2.1产品质量标准要求按</w:t>
      </w:r>
      <w:r>
        <w:rPr>
          <w:rFonts w:hint="eastAsia" w:ascii="宋体" w:hAnsi="宋体" w:eastAsia="宋体" w:cs="宋体"/>
          <w:color w:val="auto"/>
          <w:sz w:val="24"/>
          <w:szCs w:val="24"/>
          <w:highlight w:val="none"/>
          <w:u w:val="single"/>
        </w:rPr>
        <w:t>国家相关</w:t>
      </w:r>
      <w:r>
        <w:rPr>
          <w:rFonts w:hint="eastAsia" w:ascii="宋体" w:hAnsi="宋体" w:eastAsia="宋体" w:cs="宋体"/>
          <w:color w:val="auto"/>
          <w:sz w:val="24"/>
          <w:szCs w:val="24"/>
          <w:highlight w:val="none"/>
        </w:rPr>
        <w:t>标准、</w:t>
      </w:r>
      <w:r>
        <w:rPr>
          <w:rFonts w:hint="eastAsia" w:ascii="宋体" w:hAnsi="宋体" w:cs="宋体"/>
          <w:color w:val="auto"/>
          <w:sz w:val="24"/>
          <w:szCs w:val="24"/>
          <w:highlight w:val="none"/>
          <w:lang w:val="en-US" w:eastAsia="zh-CN"/>
        </w:rPr>
        <w:t>符合设计图纸要求、</w:t>
      </w:r>
      <w:r>
        <w:rPr>
          <w:rFonts w:hint="eastAsia" w:ascii="宋体" w:hAnsi="宋体" w:eastAsia="宋体" w:cs="宋体"/>
          <w:color w:val="auto"/>
          <w:sz w:val="24"/>
          <w:szCs w:val="24"/>
          <w:highlight w:val="none"/>
        </w:rPr>
        <w:t>同类产品相关标准及合同约定条款执行。</w:t>
      </w:r>
    </w:p>
    <w:p w14:paraId="00B4C454">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2.2</w:t>
      </w:r>
      <w:r>
        <w:rPr>
          <w:rFonts w:hint="eastAsia" w:ascii="宋体" w:hAnsi="宋体" w:eastAsia="宋体" w:cs="宋体"/>
          <w:b w:val="0"/>
          <w:bCs w:val="0"/>
          <w:color w:val="auto"/>
          <w:kern w:val="2"/>
          <w:sz w:val="24"/>
          <w:szCs w:val="24"/>
          <w:highlight w:val="none"/>
          <w:lang w:val="en-US" w:eastAsia="zh-CN" w:bidi="ar-SA"/>
        </w:rPr>
        <w:t>质量保证期：质保</w:t>
      </w:r>
      <w:r>
        <w:rPr>
          <w:rFonts w:hint="eastAsia" w:ascii="宋体" w:hAnsi="宋体" w:eastAsia="宋体" w:cs="宋体"/>
          <w:b w:val="0"/>
          <w:bCs w:val="0"/>
          <w:color w:val="auto"/>
          <w:kern w:val="2"/>
          <w:sz w:val="24"/>
          <w:szCs w:val="24"/>
          <w:highlight w:val="none"/>
          <w:u w:val="single"/>
          <w:lang w:val="en-US" w:eastAsia="zh-CN" w:bidi="ar-SA"/>
        </w:rPr>
        <w:t xml:space="preserve">  1 </w:t>
      </w:r>
      <w:r>
        <w:rPr>
          <w:rFonts w:hint="eastAsia" w:ascii="宋体" w:hAnsi="宋体" w:eastAsia="宋体" w:cs="宋体"/>
          <w:b w:val="0"/>
          <w:bCs w:val="0"/>
          <w:color w:val="auto"/>
          <w:kern w:val="2"/>
          <w:sz w:val="24"/>
          <w:szCs w:val="24"/>
          <w:highlight w:val="none"/>
          <w:lang w:val="en-US" w:eastAsia="zh-CN" w:bidi="ar-SA"/>
        </w:rPr>
        <w:t>年，自供货完毕且验收合格之日起算。</w:t>
      </w:r>
    </w:p>
    <w:p w14:paraId="0B634C05">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rPr>
        <w:t>第三条：交（提）货时间、地点</w:t>
      </w:r>
    </w:p>
    <w:p w14:paraId="4715FE4B">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3.1交货时间：</w:t>
      </w:r>
      <w:r>
        <w:rPr>
          <w:rFonts w:hint="eastAsia" w:ascii="宋体" w:hAnsi="宋体" w:eastAsia="宋体" w:cs="宋体"/>
          <w:bCs/>
          <w:color w:val="auto"/>
          <w:sz w:val="24"/>
          <w:szCs w:val="24"/>
          <w:highlight w:val="none"/>
          <w:u w:val="single"/>
        </w:rPr>
        <w:t>合同签订后</w:t>
      </w:r>
      <w:r>
        <w:rPr>
          <w:rFonts w:hint="eastAsia" w:ascii="宋体" w:hAnsi="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日内开始供货，保证施工进度</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乙方应当在收到甲方供货通知后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3</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日内送货到甲方指定地点。</w:t>
      </w:r>
    </w:p>
    <w:p w14:paraId="4719F126">
      <w:pPr>
        <w:pageBreakBefore w:val="0"/>
        <w:kinsoku/>
        <w:wordWrap/>
        <w:overflowPunct/>
        <w:topLinePunct w:val="0"/>
        <w:autoSpaceDE/>
        <w:autoSpaceDN/>
        <w:bidi w:val="0"/>
        <w:adjustRightInd/>
        <w:snapToGrid/>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3.2交货地点：</w:t>
      </w:r>
      <w:r>
        <w:rPr>
          <w:rFonts w:hint="eastAsia" w:ascii="宋体" w:hAnsi="宋体" w:eastAsia="宋体" w:cs="宋体"/>
          <w:color w:val="auto"/>
          <w:sz w:val="24"/>
          <w:szCs w:val="24"/>
          <w:highlight w:val="none"/>
          <w:u w:val="single"/>
        </w:rPr>
        <w:t xml:space="preserve">  安居区  </w:t>
      </w:r>
      <w:r>
        <w:rPr>
          <w:rFonts w:hint="eastAsia" w:ascii="宋体" w:hAnsi="宋体" w:eastAsia="宋体" w:cs="宋体"/>
          <w:color w:val="auto"/>
          <w:sz w:val="24"/>
          <w:szCs w:val="24"/>
          <w:highlight w:val="none"/>
        </w:rPr>
        <w:t>。</w:t>
      </w:r>
    </w:p>
    <w:p w14:paraId="71CF12AC">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第四条：运输方式及费用承担</w:t>
      </w:r>
    </w:p>
    <w:p w14:paraId="4CF45E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Cs/>
          <w:color w:val="auto"/>
          <w:sz w:val="24"/>
          <w:szCs w:val="24"/>
          <w:highlight w:val="none"/>
          <w:lang w:val="en-US" w:eastAsia="zh-CN"/>
        </w:rPr>
        <w:t>由</w:t>
      </w:r>
      <w:r>
        <w:rPr>
          <w:rFonts w:hint="eastAsia" w:ascii="宋体" w:hAnsi="宋体" w:eastAsia="宋体" w:cs="宋体"/>
          <w:bCs/>
          <w:color w:val="auto"/>
          <w:sz w:val="24"/>
          <w:szCs w:val="24"/>
          <w:highlight w:val="none"/>
        </w:rPr>
        <w:t>乙方自行安排运输工具运至交货地点，费用由乙方负责</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并自行承担甲方</w:t>
      </w:r>
      <w:r>
        <w:rPr>
          <w:rFonts w:hint="eastAsia" w:ascii="宋体" w:hAnsi="宋体" w:cs="宋体"/>
          <w:bCs/>
          <w:color w:val="auto"/>
          <w:sz w:val="24"/>
          <w:szCs w:val="24"/>
          <w:highlight w:val="none"/>
          <w:lang w:val="en-US" w:eastAsia="zh-CN"/>
        </w:rPr>
        <w:t>验收合格</w:t>
      </w:r>
      <w:r>
        <w:rPr>
          <w:rFonts w:hint="eastAsia" w:ascii="宋体" w:hAnsi="宋体" w:eastAsia="宋体" w:cs="宋体"/>
          <w:bCs/>
          <w:color w:val="auto"/>
          <w:sz w:val="24"/>
          <w:szCs w:val="24"/>
          <w:highlight w:val="none"/>
          <w:lang w:val="en-US" w:eastAsia="zh-CN"/>
        </w:rPr>
        <w:t>前的所有安全责任。</w:t>
      </w:r>
    </w:p>
    <w:p w14:paraId="5EA3CF3B">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第五条：验收标准、签收及争议</w:t>
      </w:r>
    </w:p>
    <w:p w14:paraId="2F055211">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5.1验收标准</w:t>
      </w:r>
    </w:p>
    <w:p w14:paraId="2B103F39">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按合同约定条款验收，同时按国家相关标准及同类产品相关标准执行。</w:t>
      </w:r>
    </w:p>
    <w:p w14:paraId="0E5F5FED">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5.2签收</w:t>
      </w:r>
    </w:p>
    <w:p w14:paraId="5B88F9D7">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产品到达交货地点后，甲方对产品数量、规格等进行签收。乙方需同时提供产品配送清单、出厂检测报告、合格证书及相关资料。</w:t>
      </w:r>
      <w:r>
        <w:rPr>
          <w:rFonts w:hint="eastAsia" w:ascii="宋体" w:hAnsi="宋体" w:eastAsia="宋体" w:cs="宋体"/>
          <w:color w:val="auto"/>
          <w:sz w:val="24"/>
          <w:szCs w:val="24"/>
          <w:highlight w:val="none"/>
          <w:lang w:val="en-US" w:eastAsia="zh-CN"/>
        </w:rPr>
        <w:t>甲方验收合格仅代表甲方认可乙方交付货物数量、规格符合本合同约定，不代表甲方认可乙方交付货物质量，乙方应当自行对货物质量负责。</w:t>
      </w:r>
    </w:p>
    <w:p w14:paraId="3934F8F2">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5.3争议</w:t>
      </w:r>
    </w:p>
    <w:p w14:paraId="3A5F01B7">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双方对乙方提供的产品是否符合验收标准发生争议，双方应在争议发生当天将有争议的产品封存，10日内将封存产品提交甲方所在地省级以上具有合法资质的检测、鉴定机构进行检测、鉴定，双方同意以该机构出具的报告为准，检测、鉴定费用由乙方先行支付，如检测、鉴定合格，检测、鉴定费用由甲方承担，如检测、鉴定不合格，检测、鉴定费用由乙方承担。如乙方拖延、拒绝检测、鉴定或拖延、拒绝支付费用的，则视为乙方交付的产品不符合合同约定的质量标准。</w:t>
      </w:r>
    </w:p>
    <w:p w14:paraId="5C33A96D">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第六条：单价调整</w:t>
      </w:r>
    </w:p>
    <w:p w14:paraId="485FD5E1">
      <w:pPr>
        <w:pageBreakBefore w:val="0"/>
        <w:widowControl/>
        <w:kinsoku/>
        <w:wordWrap/>
        <w:overflowPunct/>
        <w:topLinePunct w:val="0"/>
        <w:autoSpaceDE/>
        <w:autoSpaceDN/>
        <w:bidi w:val="0"/>
        <w:adjustRightInd/>
        <w:snapToGrid/>
        <w:spacing w:line="360" w:lineRule="auto"/>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本合同为</w:t>
      </w:r>
      <w:r>
        <w:rPr>
          <w:rFonts w:hint="eastAsia" w:ascii="宋体" w:hAnsi="宋体" w:eastAsia="宋体" w:cs="宋体"/>
          <w:b/>
          <w:bCs/>
          <w:color w:val="auto"/>
          <w:sz w:val="24"/>
          <w:szCs w:val="24"/>
          <w:highlight w:val="none"/>
          <w:lang w:val="en-US" w:eastAsia="zh-CN"/>
        </w:rPr>
        <w:t>固定</w:t>
      </w:r>
      <w:r>
        <w:rPr>
          <w:rFonts w:hint="eastAsia" w:ascii="宋体" w:hAnsi="宋体" w:eastAsia="宋体" w:cs="宋体"/>
          <w:b/>
          <w:bCs/>
          <w:color w:val="auto"/>
          <w:sz w:val="24"/>
          <w:szCs w:val="24"/>
          <w:highlight w:val="none"/>
        </w:rPr>
        <w:t>单价合同</w:t>
      </w:r>
      <w:r>
        <w:rPr>
          <w:rFonts w:hint="eastAsia" w:ascii="宋体" w:hAnsi="宋体" w:eastAsia="宋体" w:cs="宋体"/>
          <w:color w:val="auto"/>
          <w:sz w:val="24"/>
          <w:szCs w:val="24"/>
          <w:highlight w:val="none"/>
        </w:rPr>
        <w:t>，本合同单价仅限于</w:t>
      </w:r>
      <w:r>
        <w:rPr>
          <w:rFonts w:hint="eastAsia" w:ascii="宋体" w:hAnsi="宋体" w:eastAsia="宋体" w:cs="宋体"/>
          <w:b w:val="0"/>
          <w:bCs w:val="0"/>
          <w:color w:val="auto"/>
          <w:sz w:val="24"/>
          <w:szCs w:val="24"/>
          <w:highlight w:val="none"/>
          <w:u w:val="none"/>
        </w:rPr>
        <w:t>“</w:t>
      </w:r>
      <w:r>
        <w:rPr>
          <w:rFonts w:hint="eastAsia" w:ascii="宋体" w:hAnsi="宋体" w:eastAsia="宋体" w:cs="宋体"/>
          <w:color w:val="auto"/>
          <w:sz w:val="24"/>
          <w:szCs w:val="24"/>
          <w:highlight w:val="none"/>
          <w:u w:val="none"/>
        </w:rPr>
        <w:t>遂宁市安居区农村产业融合示范园区建设项目（一期）（道路及产业园基础设施建设）第四批</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sz w:val="24"/>
          <w:szCs w:val="24"/>
          <w:highlight w:val="none"/>
        </w:rPr>
        <w:t>自合同签订之日起一年内有效。</w:t>
      </w:r>
    </w:p>
    <w:p w14:paraId="2ECA7415">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第七条：结算及支付</w:t>
      </w:r>
    </w:p>
    <w:p w14:paraId="6454A992">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7.1结算方式</w:t>
      </w:r>
    </w:p>
    <w:p w14:paraId="425DA145">
      <w:pPr>
        <w:pageBreakBefore w:val="0"/>
        <w:kinsoku/>
        <w:wordWrap/>
        <w:overflowPunct/>
        <w:topLinePunct w:val="0"/>
        <w:autoSpaceDE/>
        <w:autoSpaceDN/>
        <w:bidi w:val="0"/>
        <w:adjustRightInd/>
        <w:snapToGrid/>
        <w:spacing w:line="360" w:lineRule="auto"/>
        <w:ind w:firstLine="480" w:firstLineChars="200"/>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经甲方确认无需供货后，根据甲方签收的盖有乙方公章的发货单，由甲乙双方共同核算确认最终结算价。</w:t>
      </w:r>
    </w:p>
    <w:p w14:paraId="36160B5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7.2支付方式</w:t>
      </w:r>
    </w:p>
    <w:p w14:paraId="52DB3DA2">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7.2.1合同签订</w:t>
      </w:r>
      <w:r>
        <w:rPr>
          <w:rFonts w:hint="eastAsia" w:ascii="宋体" w:hAnsi="宋体" w:cs="宋体"/>
          <w:color w:val="auto"/>
          <w:sz w:val="24"/>
          <w:szCs w:val="24"/>
          <w:lang w:val="en-US" w:eastAsia="zh-CN"/>
        </w:rPr>
        <w:t>生效后</w:t>
      </w:r>
      <w:r>
        <w:rPr>
          <w:rFonts w:hint="eastAsia" w:ascii="宋体" w:hAnsi="宋体" w:eastAsia="宋体" w:cs="宋体"/>
          <w:color w:val="auto"/>
          <w:sz w:val="24"/>
          <w:szCs w:val="24"/>
        </w:rPr>
        <w:t>，甲方预付乙方暂定合同总价的</w:t>
      </w:r>
      <w:r>
        <w:rPr>
          <w:rFonts w:hint="eastAsia" w:ascii="宋体" w:hAnsi="宋体" w:cs="宋体"/>
          <w:color w:val="auto"/>
          <w:sz w:val="24"/>
          <w:szCs w:val="24"/>
          <w:u w:val="single"/>
          <w:lang w:val="en-US" w:eastAsia="zh-CN"/>
        </w:rPr>
        <w:t>2</w:t>
      </w:r>
      <w:r>
        <w:rPr>
          <w:rFonts w:hint="eastAsia" w:ascii="宋体" w:hAnsi="宋体" w:eastAsia="宋体" w:cs="宋体"/>
          <w:color w:val="auto"/>
          <w:sz w:val="24"/>
          <w:szCs w:val="24"/>
          <w:u w:val="single"/>
        </w:rPr>
        <w:t>0 %</w:t>
      </w:r>
      <w:r>
        <w:rPr>
          <w:rFonts w:hint="eastAsia" w:ascii="宋体" w:hAnsi="宋体" w:eastAsia="宋体" w:cs="宋体"/>
          <w:color w:val="auto"/>
          <w:sz w:val="24"/>
          <w:szCs w:val="24"/>
        </w:rPr>
        <w:t xml:space="preserve"> </w:t>
      </w:r>
      <w:r>
        <w:rPr>
          <w:rFonts w:hint="eastAsia" w:ascii="宋体" w:hAnsi="宋体" w:cs="宋体"/>
          <w:color w:val="auto"/>
          <w:sz w:val="24"/>
          <w:szCs w:val="24"/>
          <w:lang w:eastAsia="zh-CN"/>
        </w:rPr>
        <w:t>。</w:t>
      </w:r>
    </w:p>
    <w:p w14:paraId="3D679952">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7.2.2乙方分批</w:t>
      </w:r>
      <w:r>
        <w:rPr>
          <w:rFonts w:hint="eastAsia" w:ascii="宋体" w:hAnsi="宋体" w:eastAsia="宋体" w:cs="宋体"/>
          <w:color w:val="auto"/>
          <w:sz w:val="24"/>
          <w:szCs w:val="24"/>
        </w:rPr>
        <w:t>供货完成，经甲方</w:t>
      </w:r>
      <w:r>
        <w:rPr>
          <w:rFonts w:hint="eastAsia" w:ascii="宋体" w:hAnsi="宋体" w:cs="宋体"/>
          <w:color w:val="auto"/>
          <w:sz w:val="24"/>
          <w:szCs w:val="24"/>
          <w:lang w:val="en-US" w:eastAsia="zh-CN"/>
        </w:rPr>
        <w:t>验收合格</w:t>
      </w:r>
      <w:r>
        <w:rPr>
          <w:rFonts w:hint="eastAsia" w:ascii="宋体" w:hAnsi="宋体" w:eastAsia="宋体" w:cs="宋体"/>
          <w:color w:val="auto"/>
          <w:sz w:val="24"/>
          <w:szCs w:val="24"/>
        </w:rPr>
        <w:t>且完善所有资料后，甲方按月进度支付</w:t>
      </w:r>
      <w:r>
        <w:rPr>
          <w:rFonts w:hint="eastAsia" w:ascii="宋体" w:hAnsi="宋体" w:eastAsia="宋体" w:cs="宋体"/>
          <w:color w:val="auto"/>
          <w:sz w:val="24"/>
          <w:szCs w:val="24"/>
          <w:lang w:val="en-US" w:eastAsia="zh-CN"/>
        </w:rPr>
        <w:t>至</w:t>
      </w:r>
      <w:r>
        <w:rPr>
          <w:rFonts w:hint="eastAsia" w:ascii="宋体" w:hAnsi="宋体" w:eastAsia="宋体" w:cs="宋体"/>
          <w:color w:val="auto"/>
          <w:sz w:val="24"/>
          <w:szCs w:val="24"/>
        </w:rPr>
        <w:t>到货量</w:t>
      </w:r>
      <w:r>
        <w:rPr>
          <w:rFonts w:hint="eastAsia" w:ascii="宋体" w:hAnsi="宋体" w:eastAsia="宋体" w:cs="宋体"/>
          <w:color w:val="auto"/>
          <w:sz w:val="24"/>
          <w:szCs w:val="24"/>
          <w:lang w:val="en-US" w:eastAsia="zh-CN"/>
        </w:rPr>
        <w:t>工程</w:t>
      </w:r>
      <w:r>
        <w:rPr>
          <w:rFonts w:hint="eastAsia" w:ascii="宋体" w:hAnsi="宋体" w:eastAsia="宋体" w:cs="宋体"/>
          <w:color w:val="auto"/>
          <w:sz w:val="24"/>
          <w:szCs w:val="24"/>
          <w:u w:val="none"/>
          <w:lang w:val="en-US" w:eastAsia="zh-CN"/>
        </w:rPr>
        <w:t>款</w:t>
      </w:r>
      <w:r>
        <w:rPr>
          <w:rFonts w:hint="eastAsia" w:ascii="宋体" w:hAnsi="宋体" w:eastAsia="宋体" w:cs="宋体"/>
          <w:color w:val="auto"/>
          <w:sz w:val="24"/>
          <w:szCs w:val="24"/>
          <w:u w:val="none"/>
        </w:rPr>
        <w:t>的</w:t>
      </w:r>
      <w:r>
        <w:rPr>
          <w:rFonts w:hint="eastAsia" w:ascii="宋体" w:hAnsi="宋体" w:cs="宋体"/>
          <w:color w:val="auto"/>
          <w:sz w:val="24"/>
          <w:szCs w:val="24"/>
          <w:u w:val="none"/>
          <w:lang w:val="en-US" w:eastAsia="zh-CN"/>
        </w:rPr>
        <w:t>8</w:t>
      </w:r>
      <w:r>
        <w:rPr>
          <w:rFonts w:hint="eastAsia" w:ascii="宋体" w:hAnsi="宋体" w:eastAsia="宋体" w:cs="宋体"/>
          <w:color w:val="auto"/>
          <w:sz w:val="24"/>
          <w:szCs w:val="24"/>
          <w:u w:val="none"/>
        </w:rPr>
        <w:t>0%（预付款</w:t>
      </w:r>
      <w:r>
        <w:rPr>
          <w:rFonts w:hint="eastAsia" w:ascii="宋体" w:hAnsi="宋体" w:cs="宋体"/>
          <w:color w:val="auto"/>
          <w:sz w:val="24"/>
          <w:szCs w:val="24"/>
          <w:u w:val="none"/>
          <w:lang w:val="en-US" w:eastAsia="zh-CN"/>
        </w:rPr>
        <w:t>前三次等额</w:t>
      </w:r>
      <w:r>
        <w:rPr>
          <w:rFonts w:hint="eastAsia" w:ascii="宋体" w:hAnsi="宋体" w:eastAsia="宋体" w:cs="宋体"/>
          <w:color w:val="auto"/>
          <w:sz w:val="24"/>
          <w:szCs w:val="24"/>
          <w:u w:val="none"/>
        </w:rPr>
        <w:t>抵扣相应进度款）</w:t>
      </w:r>
      <w:r>
        <w:rPr>
          <w:rFonts w:hint="eastAsia" w:ascii="宋体" w:hAnsi="宋体" w:eastAsia="宋体" w:cs="宋体"/>
          <w:color w:val="auto"/>
          <w:sz w:val="24"/>
          <w:szCs w:val="24"/>
          <w:u w:val="none"/>
          <w:lang w:eastAsia="zh-CN"/>
        </w:rPr>
        <w:t>，</w:t>
      </w:r>
      <w:r>
        <w:rPr>
          <w:rFonts w:hint="eastAsia" w:ascii="宋体" w:hAnsi="宋体" w:cs="宋体"/>
          <w:color w:val="auto"/>
          <w:sz w:val="24"/>
          <w:szCs w:val="24"/>
          <w:u w:val="none"/>
        </w:rPr>
        <w:t>乙方需完善相关资料并交付相应合法有效完整的税务发票并作为甲</w:t>
      </w:r>
      <w:r>
        <w:rPr>
          <w:rFonts w:hint="eastAsia" w:ascii="宋体" w:hAnsi="宋体" w:cs="宋体"/>
          <w:color w:val="auto"/>
          <w:sz w:val="24"/>
          <w:szCs w:val="24"/>
        </w:rPr>
        <w:t>方付款的附件，否则甲方有权暂缓款项支付并不视为甲方违约。（税率</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%的增值税专用发票）</w:t>
      </w:r>
    </w:p>
    <w:p w14:paraId="47D59343">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7.2.3项目完成竣工结算审计之</w:t>
      </w:r>
      <w:r>
        <w:rPr>
          <w:rFonts w:hint="eastAsia" w:ascii="宋体" w:hAnsi="宋体" w:eastAsia="宋体" w:cs="宋体"/>
          <w:b w:val="0"/>
          <w:bCs w:val="0"/>
          <w:color w:val="auto"/>
          <w:sz w:val="24"/>
          <w:szCs w:val="24"/>
          <w:highlight w:val="none"/>
        </w:rPr>
        <w:t>后，</w:t>
      </w:r>
      <w:r>
        <w:rPr>
          <w:rFonts w:hint="eastAsia" w:ascii="宋体" w:hAnsi="宋体" w:eastAsia="宋体" w:cs="宋体"/>
          <w:b w:val="0"/>
          <w:bCs w:val="0"/>
          <w:color w:val="auto"/>
          <w:sz w:val="24"/>
          <w:szCs w:val="24"/>
          <w:highlight w:val="none"/>
          <w:lang w:val="en-US" w:eastAsia="zh-CN"/>
        </w:rPr>
        <w:t>且</w:t>
      </w:r>
      <w:r>
        <w:rPr>
          <w:rFonts w:hint="eastAsia" w:ascii="宋体" w:hAnsi="宋体" w:cs="宋体"/>
          <w:b w:val="0"/>
          <w:bCs w:val="0"/>
          <w:color w:val="auto"/>
          <w:sz w:val="24"/>
          <w:szCs w:val="24"/>
          <w:highlight w:val="none"/>
          <w:lang w:val="en-US" w:eastAsia="zh-CN"/>
        </w:rPr>
        <w:t>乙方履行完毕全部合同义务后（包括但不限于提交完整的结算资料），甲方根据最终结算金额扣除累计已支付金额后，一次性无息支付剩余尾款（3%的质保金除外）</w:t>
      </w:r>
      <w:r>
        <w:rPr>
          <w:rFonts w:hint="eastAsia" w:ascii="宋体" w:hAnsi="宋体" w:eastAsia="宋体" w:cs="宋体"/>
          <w:b w:val="0"/>
          <w:bCs w:val="0"/>
          <w:color w:val="auto"/>
          <w:sz w:val="24"/>
          <w:szCs w:val="24"/>
          <w:highlight w:val="none"/>
        </w:rPr>
        <w:t>。</w:t>
      </w:r>
      <w:r>
        <w:rPr>
          <w:rFonts w:hint="eastAsia" w:ascii="宋体" w:hAnsi="宋体" w:cs="宋体"/>
          <w:color w:val="auto"/>
          <w:sz w:val="24"/>
          <w:szCs w:val="24"/>
        </w:rPr>
        <w:t>（税率</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%的增值税专用发票）</w:t>
      </w:r>
    </w:p>
    <w:p w14:paraId="5485F83F">
      <w:pPr>
        <w:pageBreakBefore w:val="0"/>
        <w:kinsoku/>
        <w:wordWrap/>
        <w:overflowPunct/>
        <w:topLinePunct w:val="0"/>
        <w:autoSpaceDE/>
        <w:autoSpaceDN/>
        <w:bidi w:val="0"/>
        <w:adjustRightInd/>
        <w:snapToGrid/>
        <w:spacing w:line="360" w:lineRule="auto"/>
        <w:ind w:firstLine="480" w:firstLineChars="200"/>
        <w:rPr>
          <w:rFonts w:hint="eastAsia" w:ascii="宋体" w:hAnsi="宋体" w:cs="宋体"/>
          <w:b w:val="0"/>
          <w:bCs w:val="0"/>
          <w:color w:val="auto"/>
          <w:sz w:val="24"/>
          <w:szCs w:val="24"/>
          <w:u w:val="none"/>
        </w:rPr>
      </w:pPr>
      <w:r>
        <w:rPr>
          <w:rFonts w:hint="eastAsia" w:ascii="宋体" w:hAnsi="宋体" w:eastAsia="宋体" w:cs="宋体"/>
          <w:color w:val="auto"/>
          <w:sz w:val="24"/>
          <w:szCs w:val="24"/>
          <w:highlight w:val="none"/>
          <w:lang w:val="en-US" w:eastAsia="zh-CN"/>
        </w:rPr>
        <w:t>7.2.</w:t>
      </w:r>
      <w:r>
        <w:rPr>
          <w:rFonts w:hint="eastAsia" w:ascii="宋体" w:hAnsi="宋体" w:cs="宋体"/>
          <w:color w:val="auto"/>
          <w:sz w:val="24"/>
          <w:szCs w:val="24"/>
          <w:highlight w:val="none"/>
          <w:lang w:val="en-US" w:eastAsia="zh-CN"/>
        </w:rPr>
        <w:t>4质保金为最终结算总价的3%(质保金不计息)，质量缺陷责任期满后经确认且无任何质量问题后退回。</w:t>
      </w:r>
    </w:p>
    <w:p w14:paraId="7E56DFF9">
      <w:pPr>
        <w:pageBreakBefore w:val="0"/>
        <w:kinsoku/>
        <w:wordWrap/>
        <w:overflowPunct/>
        <w:topLinePunct w:val="0"/>
        <w:autoSpaceDE/>
        <w:autoSpaceDN/>
        <w:bidi w:val="0"/>
        <w:adjustRightInd/>
        <w:snapToGrid/>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合同实际金额达到暂定合同总额时，乙方应以书面形式通知甲方，否则甲方有权不予收货，造成的运输费用等损失由乙方自行承担。同时，因乙方怠于履行通知义务导致合同总金额超过合同暂定总价的，甲方以合同暂定总价为上限向乙方支付货款，超出部分由乙方自行承担。</w:t>
      </w:r>
    </w:p>
    <w:p w14:paraId="2920EDA4">
      <w:pPr>
        <w:pageBreakBefore w:val="0"/>
        <w:kinsoku/>
        <w:wordWrap/>
        <w:overflowPunct/>
        <w:topLinePunct w:val="0"/>
        <w:autoSpaceDE/>
        <w:autoSpaceDN/>
        <w:bidi w:val="0"/>
        <w:adjustRightInd/>
        <w:snapToGrid/>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7.3</w:t>
      </w:r>
      <w:r>
        <w:rPr>
          <w:rFonts w:hint="eastAsia" w:ascii="宋体" w:hAnsi="宋体" w:eastAsia="宋体" w:cs="宋体"/>
          <w:b w:val="0"/>
          <w:bCs w:val="0"/>
          <w:color w:val="auto"/>
          <w:sz w:val="24"/>
          <w:szCs w:val="24"/>
          <w:highlight w:val="none"/>
          <w:lang w:val="en-US" w:eastAsia="zh-Hans"/>
        </w:rPr>
        <w:t>乙方指定收款账户</w:t>
      </w:r>
      <w:r>
        <w:rPr>
          <w:rFonts w:hint="eastAsia" w:ascii="宋体" w:hAnsi="宋体" w:eastAsia="宋体" w:cs="宋体"/>
          <w:b w:val="0"/>
          <w:bCs w:val="0"/>
          <w:color w:val="auto"/>
          <w:sz w:val="24"/>
          <w:szCs w:val="24"/>
          <w:highlight w:val="none"/>
          <w:lang w:val="en-US" w:eastAsia="zh-CN"/>
        </w:rPr>
        <w:t>户名：</w:t>
      </w:r>
      <w:r>
        <w:rPr>
          <w:rFonts w:hint="eastAsia" w:ascii="宋体" w:hAnsi="宋体" w:cs="宋体"/>
          <w:b w:val="0"/>
          <w:bCs w:val="0"/>
          <w:color w:val="auto"/>
          <w:sz w:val="24"/>
          <w:szCs w:val="24"/>
          <w:highlight w:val="none"/>
          <w:lang w:val="en-US" w:eastAsia="zh-CN"/>
        </w:rPr>
        <w:t xml:space="preserve"> </w:t>
      </w:r>
    </w:p>
    <w:p w14:paraId="69D36F0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卡号：</w:t>
      </w:r>
      <w:r>
        <w:rPr>
          <w:rFonts w:hint="eastAsia" w:ascii="宋体" w:hAnsi="宋体" w:cs="宋体"/>
          <w:b w:val="0"/>
          <w:bCs w:val="0"/>
          <w:color w:val="auto"/>
          <w:sz w:val="24"/>
          <w:szCs w:val="24"/>
          <w:highlight w:val="none"/>
          <w:lang w:val="en-US" w:eastAsia="zh-CN"/>
        </w:rPr>
        <w:t xml:space="preserve">  </w:t>
      </w:r>
    </w:p>
    <w:p w14:paraId="5F529DD0">
      <w:pPr>
        <w:keepNext w:val="0"/>
        <w:keepLines w:val="0"/>
        <w:pageBreakBefore w:val="0"/>
        <w:kinsoku/>
        <w:wordWrap/>
        <w:overflowPunct/>
        <w:topLinePunct w:val="0"/>
        <w:autoSpaceDE/>
        <w:autoSpaceDN/>
        <w:bidi w:val="0"/>
        <w:adjustRightInd/>
        <w:snapToGrid/>
        <w:spacing w:line="360" w:lineRule="auto"/>
        <w:ind w:firstLine="480" w:firstLineChars="200"/>
        <w:rPr>
          <w:rFonts w:hint="default" w:ascii="宋体" w:hAnsi="宋体" w:eastAsia="宋体" w:cs="宋体"/>
          <w:b/>
          <w:bCs/>
          <w:color w:val="auto"/>
          <w:sz w:val="24"/>
          <w:szCs w:val="24"/>
          <w:highlight w:val="yellow"/>
          <w:lang w:val="en-US" w:eastAsia="zh-CN"/>
        </w:rPr>
      </w:pPr>
      <w:r>
        <w:rPr>
          <w:rFonts w:hint="eastAsia" w:ascii="宋体" w:hAnsi="宋体" w:eastAsia="宋体" w:cs="宋体"/>
          <w:b w:val="0"/>
          <w:bCs w:val="0"/>
          <w:color w:val="auto"/>
          <w:sz w:val="24"/>
          <w:szCs w:val="24"/>
          <w:highlight w:val="none"/>
          <w:lang w:val="en-US" w:eastAsia="zh-CN"/>
        </w:rPr>
        <w:t>开户行：</w:t>
      </w:r>
      <w:r>
        <w:rPr>
          <w:rFonts w:hint="eastAsia" w:ascii="宋体" w:hAnsi="宋体" w:cs="宋体"/>
          <w:b w:val="0"/>
          <w:bCs w:val="0"/>
          <w:color w:val="auto"/>
          <w:sz w:val="24"/>
          <w:szCs w:val="24"/>
          <w:highlight w:val="none"/>
          <w:lang w:val="en-US" w:eastAsia="zh-CN"/>
        </w:rPr>
        <w:t xml:space="preserve">  </w:t>
      </w:r>
    </w:p>
    <w:p w14:paraId="100E7395">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第八条：甲乙双方的权利义务</w:t>
      </w:r>
    </w:p>
    <w:p w14:paraId="08341726">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8.1甲方的权利义务</w:t>
      </w:r>
    </w:p>
    <w:p w14:paraId="6509328B">
      <w:pPr>
        <w:pStyle w:val="11"/>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8.1.1乙方供货产品到现场后，甲方接到乙方通知后，需及时安排人员现场接收材料。</w:t>
      </w:r>
    </w:p>
    <w:p w14:paraId="28810818">
      <w:pPr>
        <w:pStyle w:val="11"/>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8.1.2甲方如向乙方发出错误通知，造成乙方有损失的，甲方有义务承担乙方因此所受的损失。</w:t>
      </w:r>
    </w:p>
    <w:p w14:paraId="6BD4FF5D">
      <w:pPr>
        <w:pStyle w:val="11"/>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8.1.3甲方有义务按合同约定结算相应货款。</w:t>
      </w:r>
    </w:p>
    <w:p w14:paraId="5971BA30">
      <w:pPr>
        <w:pStyle w:val="11"/>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8.2乙方的权利义务</w:t>
      </w:r>
    </w:p>
    <w:p w14:paraId="5B3D32AF">
      <w:pPr>
        <w:pStyle w:val="11"/>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8.2.1乙方按甲方进度要求供货，并及时通知甲方验收人员到场验收。</w:t>
      </w:r>
    </w:p>
    <w:p w14:paraId="64427C51">
      <w:pPr>
        <w:pStyle w:val="11"/>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8.2.2乙方所交产品的型号、规格、质量等必须符合合同</w:t>
      </w:r>
      <w:r>
        <w:rPr>
          <w:rFonts w:hint="eastAsia" w:ascii="宋体" w:hAnsi="宋体" w:cs="宋体"/>
          <w:color w:val="auto"/>
          <w:sz w:val="24"/>
          <w:szCs w:val="24"/>
          <w:highlight w:val="none"/>
          <w:lang w:val="en-US" w:eastAsia="zh-CN"/>
        </w:rPr>
        <w:t>约</w:t>
      </w:r>
      <w:r>
        <w:rPr>
          <w:rFonts w:hint="eastAsia" w:ascii="宋体" w:hAnsi="宋体" w:eastAsia="宋体" w:cs="宋体"/>
          <w:color w:val="auto"/>
          <w:sz w:val="24"/>
          <w:szCs w:val="24"/>
          <w:highlight w:val="none"/>
          <w:lang w:val="en-US" w:eastAsia="zh-CN"/>
        </w:rPr>
        <w:t>定，不得提供劣质产品。</w:t>
      </w:r>
    </w:p>
    <w:p w14:paraId="6E27DAFA">
      <w:pPr>
        <w:pStyle w:val="11"/>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8.2.3乙方必须严格遵守安全操作规范，确保安全，并自行承担由此引起的</w:t>
      </w:r>
      <w:r>
        <w:rPr>
          <w:rFonts w:hint="eastAsia" w:ascii="宋体" w:hAnsi="宋体" w:cs="宋体"/>
          <w:color w:val="auto"/>
          <w:sz w:val="24"/>
          <w:szCs w:val="24"/>
          <w:highlight w:val="none"/>
          <w:lang w:val="en-US" w:eastAsia="zh-CN"/>
        </w:rPr>
        <w:t>一切</w:t>
      </w:r>
      <w:r>
        <w:rPr>
          <w:rFonts w:hint="eastAsia" w:ascii="宋体" w:hAnsi="宋体" w:eastAsia="宋体" w:cs="宋体"/>
          <w:color w:val="auto"/>
          <w:sz w:val="24"/>
          <w:szCs w:val="24"/>
          <w:highlight w:val="none"/>
          <w:lang w:val="en-US" w:eastAsia="zh-CN"/>
        </w:rPr>
        <w:t>经济及法律责任；如甲方因此承担法律责任的，甲方有权向乙方全额追偿。</w:t>
      </w:r>
    </w:p>
    <w:p w14:paraId="3794F7D7">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w:t>
      </w: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条：违约责任</w:t>
      </w:r>
    </w:p>
    <w:p w14:paraId="70739A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9.1甲方违约责任</w:t>
      </w:r>
    </w:p>
    <w:p w14:paraId="2F5526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9.1.1</w:t>
      </w:r>
      <w:r>
        <w:rPr>
          <w:rFonts w:hint="eastAsia" w:ascii="宋体" w:hAnsi="宋体" w:cs="宋体"/>
          <w:b w:val="0"/>
          <w:bCs/>
          <w:color w:val="auto"/>
          <w:sz w:val="24"/>
          <w:szCs w:val="24"/>
          <w:highlight w:val="none"/>
          <w:lang w:val="en-US" w:eastAsia="zh-CN"/>
        </w:rPr>
        <w:t>如因甲方逾期支付货款</w:t>
      </w:r>
      <w:r>
        <w:rPr>
          <w:rFonts w:hint="eastAsia" w:ascii="宋体" w:hAnsi="宋体" w:eastAsia="宋体" w:cs="宋体"/>
          <w:b w:val="0"/>
          <w:bCs/>
          <w:color w:val="auto"/>
          <w:sz w:val="24"/>
          <w:szCs w:val="24"/>
          <w:highlight w:val="none"/>
          <w:lang w:eastAsia="zh-CN"/>
        </w:rPr>
        <w:t>乙方提起诉讼</w:t>
      </w:r>
      <w:r>
        <w:rPr>
          <w:rFonts w:hint="eastAsia" w:ascii="宋体" w:hAnsi="宋体" w:cs="宋体"/>
          <w:b w:val="0"/>
          <w:bCs/>
          <w:color w:val="auto"/>
          <w:sz w:val="24"/>
          <w:szCs w:val="24"/>
          <w:highlight w:val="none"/>
          <w:lang w:val="en-US" w:eastAsia="zh-CN"/>
        </w:rPr>
        <w:t>的</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逾期利息以欠付款项为基数，按照全国银行间同业拆借中心公布的同期一年期贷款市场报价利率（</w:t>
      </w:r>
      <w:r>
        <w:rPr>
          <w:rFonts w:hint="eastAsia" w:ascii="宋体" w:hAnsi="宋体" w:cs="宋体"/>
          <w:b w:val="0"/>
          <w:bCs/>
          <w:color w:val="auto"/>
          <w:sz w:val="24"/>
          <w:szCs w:val="24"/>
          <w:highlight w:val="none"/>
          <w:lang w:val="en-US" w:eastAsia="zh-CN"/>
        </w:rPr>
        <w:t>LPR</w:t>
      </w:r>
      <w:r>
        <w:rPr>
          <w:rFonts w:hint="eastAsia" w:ascii="宋体" w:hAnsi="宋体" w:eastAsia="宋体" w:cs="宋体"/>
          <w:b w:val="0"/>
          <w:bCs/>
          <w:color w:val="auto"/>
          <w:sz w:val="24"/>
          <w:szCs w:val="24"/>
          <w:highlight w:val="none"/>
          <w:lang w:val="en-US" w:eastAsia="zh-CN"/>
        </w:rPr>
        <w:t>）</w:t>
      </w:r>
      <w:r>
        <w:rPr>
          <w:rFonts w:hint="eastAsia" w:ascii="宋体" w:hAnsi="宋体" w:cs="宋体"/>
          <w:b w:val="0"/>
          <w:bCs/>
          <w:color w:val="auto"/>
          <w:sz w:val="24"/>
          <w:szCs w:val="24"/>
          <w:highlight w:val="none"/>
          <w:lang w:val="en-US" w:eastAsia="zh-CN"/>
        </w:rPr>
        <w:t>1倍</w:t>
      </w:r>
      <w:r>
        <w:rPr>
          <w:rFonts w:hint="eastAsia" w:ascii="宋体" w:hAnsi="宋体" w:eastAsia="宋体" w:cs="宋体"/>
          <w:b w:val="0"/>
          <w:bCs/>
          <w:color w:val="auto"/>
          <w:sz w:val="24"/>
          <w:szCs w:val="24"/>
          <w:highlight w:val="none"/>
          <w:lang w:val="en-US" w:eastAsia="zh-CN"/>
        </w:rPr>
        <w:t>计算。</w:t>
      </w:r>
    </w:p>
    <w:p w14:paraId="4C03BF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9.2</w:t>
      </w:r>
      <w:r>
        <w:rPr>
          <w:rFonts w:hint="eastAsia" w:ascii="宋体" w:hAnsi="宋体" w:eastAsia="宋体" w:cs="宋体"/>
          <w:b w:val="0"/>
          <w:bCs/>
          <w:color w:val="auto"/>
          <w:sz w:val="24"/>
          <w:szCs w:val="24"/>
          <w:highlight w:val="none"/>
        </w:rPr>
        <w:t>乙方违约责任</w:t>
      </w:r>
    </w:p>
    <w:p w14:paraId="25DE75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9.2.1</w:t>
      </w:r>
      <w:r>
        <w:rPr>
          <w:rFonts w:hint="eastAsia" w:ascii="宋体" w:hAnsi="宋体" w:eastAsia="宋体" w:cs="宋体"/>
          <w:b w:val="0"/>
          <w:bCs/>
          <w:color w:val="auto"/>
          <w:sz w:val="24"/>
          <w:szCs w:val="24"/>
          <w:highlight w:val="none"/>
        </w:rPr>
        <w:t>乙方交付的货物质量不符合合同</w:t>
      </w:r>
      <w:r>
        <w:rPr>
          <w:rFonts w:hint="eastAsia" w:ascii="宋体" w:hAnsi="宋体" w:eastAsia="宋体" w:cs="宋体"/>
          <w:b w:val="0"/>
          <w:bCs/>
          <w:color w:val="auto"/>
          <w:sz w:val="24"/>
          <w:szCs w:val="24"/>
          <w:highlight w:val="none"/>
          <w:lang w:val="en-US" w:eastAsia="zh-CN"/>
        </w:rPr>
        <w:t>约定</w:t>
      </w:r>
      <w:r>
        <w:rPr>
          <w:rFonts w:hint="eastAsia" w:ascii="宋体" w:hAnsi="宋体" w:eastAsia="宋体" w:cs="宋体"/>
          <w:b w:val="0"/>
          <w:bCs/>
          <w:color w:val="auto"/>
          <w:sz w:val="24"/>
          <w:szCs w:val="24"/>
          <w:highlight w:val="none"/>
        </w:rPr>
        <w:t>的，乙方应</w:t>
      </w:r>
      <w:r>
        <w:rPr>
          <w:rFonts w:hint="eastAsia" w:ascii="宋体" w:hAnsi="宋体" w:eastAsia="宋体" w:cs="宋体"/>
          <w:b w:val="0"/>
          <w:bCs/>
          <w:color w:val="auto"/>
          <w:sz w:val="24"/>
          <w:szCs w:val="24"/>
          <w:highlight w:val="none"/>
          <w:lang w:val="en-US" w:eastAsia="zh-CN"/>
        </w:rPr>
        <w:t>当</w:t>
      </w:r>
      <w:r>
        <w:rPr>
          <w:rFonts w:hint="eastAsia" w:ascii="宋体" w:hAnsi="宋体" w:cs="宋体"/>
          <w:b w:val="0"/>
          <w:bCs/>
          <w:color w:val="auto"/>
          <w:sz w:val="24"/>
          <w:szCs w:val="24"/>
          <w:highlight w:val="none"/>
          <w:lang w:val="en-US" w:eastAsia="zh-CN"/>
        </w:rPr>
        <w:t>向甲方支付合同暂定总价10%的违约金，并</w:t>
      </w:r>
      <w:r>
        <w:rPr>
          <w:rFonts w:hint="eastAsia" w:ascii="宋体" w:hAnsi="宋体" w:eastAsia="宋体" w:cs="宋体"/>
          <w:b w:val="0"/>
          <w:bCs/>
          <w:color w:val="auto"/>
          <w:sz w:val="24"/>
          <w:szCs w:val="24"/>
          <w:highlight w:val="none"/>
          <w:lang w:val="en-US" w:eastAsia="zh-CN"/>
        </w:rPr>
        <w:t>在1日内</w:t>
      </w:r>
      <w:r>
        <w:rPr>
          <w:rFonts w:hint="eastAsia" w:ascii="宋体" w:hAnsi="宋体" w:eastAsia="宋体" w:cs="宋体"/>
          <w:b w:val="0"/>
          <w:bCs/>
          <w:color w:val="auto"/>
          <w:sz w:val="24"/>
          <w:szCs w:val="24"/>
          <w:highlight w:val="none"/>
        </w:rPr>
        <w:t>更换合格的货物给甲方，</w:t>
      </w:r>
      <w:r>
        <w:rPr>
          <w:rFonts w:hint="eastAsia" w:ascii="宋体" w:hAnsi="宋体" w:eastAsia="宋体" w:cs="宋体"/>
          <w:b w:val="0"/>
          <w:bCs/>
          <w:color w:val="auto"/>
          <w:sz w:val="24"/>
          <w:szCs w:val="24"/>
          <w:highlight w:val="none"/>
          <w:lang w:eastAsia="zh-Hans"/>
        </w:rPr>
        <w:t>乙方拒绝更换、逾期更换或更换后质量仍不合格的</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eastAsia="zh-Hans"/>
        </w:rPr>
        <w:t>甲方有权解除合同，</w:t>
      </w:r>
      <w:r>
        <w:rPr>
          <w:rFonts w:hint="eastAsia" w:ascii="宋体" w:hAnsi="宋体" w:cs="宋体"/>
          <w:b w:val="0"/>
          <w:bCs/>
          <w:color w:val="auto"/>
          <w:sz w:val="24"/>
          <w:szCs w:val="24"/>
          <w:highlight w:val="none"/>
          <w:lang w:val="en-US" w:eastAsia="zh-CN"/>
        </w:rPr>
        <w:t>乙方除应返还甲方已支付的所有费用外，还应</w:t>
      </w:r>
      <w:r>
        <w:rPr>
          <w:rFonts w:hint="eastAsia" w:ascii="宋体" w:hAnsi="宋体" w:eastAsia="宋体" w:cs="宋体"/>
          <w:b w:val="0"/>
          <w:bCs/>
          <w:color w:val="auto"/>
          <w:sz w:val="24"/>
          <w:szCs w:val="24"/>
          <w:highlight w:val="none"/>
          <w:lang w:eastAsia="zh-Hans"/>
        </w:rPr>
        <w:t>向甲方支付合同</w:t>
      </w:r>
      <w:r>
        <w:rPr>
          <w:rFonts w:hint="eastAsia" w:ascii="宋体" w:hAnsi="宋体" w:eastAsia="宋体" w:cs="宋体"/>
          <w:b w:val="0"/>
          <w:bCs/>
          <w:color w:val="auto"/>
          <w:sz w:val="24"/>
          <w:szCs w:val="24"/>
          <w:highlight w:val="none"/>
          <w:lang w:val="en-US" w:eastAsia="zh-CN"/>
        </w:rPr>
        <w:t>暂定</w:t>
      </w:r>
      <w:r>
        <w:rPr>
          <w:rFonts w:hint="eastAsia" w:ascii="宋体" w:hAnsi="宋体" w:eastAsia="宋体" w:cs="宋体"/>
          <w:b w:val="0"/>
          <w:bCs/>
          <w:color w:val="auto"/>
          <w:sz w:val="24"/>
          <w:szCs w:val="24"/>
          <w:highlight w:val="none"/>
          <w:lang w:eastAsia="zh-Hans"/>
        </w:rPr>
        <w:t>总价20%的违约金。</w:t>
      </w:r>
    </w:p>
    <w:p w14:paraId="0D32CF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9.2.2</w:t>
      </w:r>
      <w:r>
        <w:rPr>
          <w:rFonts w:hint="eastAsia" w:ascii="宋体" w:hAnsi="宋体" w:eastAsia="宋体" w:cs="宋体"/>
          <w:b w:val="0"/>
          <w:bCs/>
          <w:color w:val="auto"/>
          <w:sz w:val="24"/>
          <w:szCs w:val="24"/>
          <w:highlight w:val="none"/>
        </w:rPr>
        <w:t>乙方不能交付货物或逾期交付货物而违约的，除应及时交足货物外，应</w:t>
      </w:r>
      <w:r>
        <w:rPr>
          <w:rFonts w:hint="eastAsia" w:ascii="宋体" w:hAnsi="宋体" w:eastAsia="宋体" w:cs="宋体"/>
          <w:b w:val="0"/>
          <w:bCs/>
          <w:color w:val="auto"/>
          <w:sz w:val="24"/>
          <w:szCs w:val="24"/>
          <w:highlight w:val="none"/>
          <w:lang w:val="en-US" w:eastAsia="zh-CN"/>
        </w:rPr>
        <w:t>按日</w:t>
      </w:r>
      <w:r>
        <w:rPr>
          <w:rFonts w:hint="eastAsia" w:ascii="宋体" w:hAnsi="宋体" w:eastAsia="宋体" w:cs="宋体"/>
          <w:b w:val="0"/>
          <w:bCs/>
          <w:color w:val="auto"/>
          <w:sz w:val="24"/>
          <w:szCs w:val="24"/>
          <w:highlight w:val="none"/>
        </w:rPr>
        <w:t>向甲方支付</w:t>
      </w:r>
      <w:r>
        <w:rPr>
          <w:rFonts w:hint="eastAsia" w:ascii="宋体" w:hAnsi="宋体" w:eastAsia="宋体" w:cs="宋体"/>
          <w:b w:val="0"/>
          <w:bCs/>
          <w:color w:val="auto"/>
          <w:sz w:val="24"/>
          <w:szCs w:val="24"/>
          <w:highlight w:val="none"/>
          <w:lang w:val="en-US" w:eastAsia="zh-CN"/>
        </w:rPr>
        <w:t>合同</w:t>
      </w:r>
      <w:r>
        <w:rPr>
          <w:rFonts w:hint="eastAsia" w:ascii="宋体" w:hAnsi="宋体" w:cs="宋体"/>
          <w:b w:val="0"/>
          <w:bCs/>
          <w:color w:val="auto"/>
          <w:sz w:val="24"/>
          <w:szCs w:val="24"/>
          <w:highlight w:val="none"/>
          <w:lang w:val="en-US" w:eastAsia="zh-CN"/>
        </w:rPr>
        <w:t>暂定</w:t>
      </w:r>
      <w:r>
        <w:rPr>
          <w:rFonts w:hint="eastAsia" w:ascii="宋体" w:hAnsi="宋体" w:eastAsia="宋体" w:cs="宋体"/>
          <w:b w:val="0"/>
          <w:bCs/>
          <w:color w:val="auto"/>
          <w:sz w:val="24"/>
          <w:szCs w:val="24"/>
          <w:highlight w:val="none"/>
          <w:lang w:val="en-US" w:eastAsia="zh-CN"/>
        </w:rPr>
        <w:t>总价0.02%</w:t>
      </w:r>
      <w:r>
        <w:rPr>
          <w:rFonts w:hint="eastAsia" w:ascii="宋体" w:hAnsi="宋体" w:eastAsia="宋体" w:cs="宋体"/>
          <w:b w:val="0"/>
          <w:bCs/>
          <w:color w:val="auto"/>
          <w:sz w:val="24"/>
          <w:szCs w:val="24"/>
          <w:highlight w:val="none"/>
        </w:rPr>
        <w:t>的违约金；逾期交货超过10天</w:t>
      </w:r>
      <w:r>
        <w:rPr>
          <w:rFonts w:hint="eastAsia" w:ascii="宋体" w:hAnsi="宋体" w:eastAsia="宋体" w:cs="宋体"/>
          <w:b w:val="0"/>
          <w:bCs/>
          <w:color w:val="auto"/>
          <w:sz w:val="24"/>
          <w:szCs w:val="24"/>
          <w:highlight w:val="none"/>
          <w:lang w:val="en-US" w:eastAsia="zh-CN"/>
        </w:rPr>
        <w:t>或逾期</w:t>
      </w:r>
      <w:r>
        <w:rPr>
          <w:rFonts w:hint="eastAsia" w:ascii="宋体" w:hAnsi="宋体" w:cs="宋体"/>
          <w:b w:val="0"/>
          <w:bCs/>
          <w:color w:val="auto"/>
          <w:sz w:val="24"/>
          <w:szCs w:val="24"/>
          <w:highlight w:val="none"/>
          <w:lang w:val="en-US" w:eastAsia="zh-CN"/>
        </w:rPr>
        <w:t>达到</w:t>
      </w:r>
      <w:r>
        <w:rPr>
          <w:rFonts w:hint="eastAsia" w:ascii="宋体" w:hAnsi="宋体" w:eastAsia="宋体" w:cs="宋体"/>
          <w:b w:val="0"/>
          <w:bCs/>
          <w:color w:val="auto"/>
          <w:sz w:val="24"/>
          <w:szCs w:val="24"/>
          <w:highlight w:val="none"/>
          <w:lang w:val="en-US" w:eastAsia="zh-CN"/>
        </w:rPr>
        <w:t>3次的</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eastAsia="zh-Hans"/>
        </w:rPr>
        <w:t>甲方有权解除合同，</w:t>
      </w:r>
      <w:r>
        <w:rPr>
          <w:rFonts w:hint="eastAsia" w:ascii="宋体" w:hAnsi="宋体" w:cs="宋体"/>
          <w:b w:val="0"/>
          <w:bCs/>
          <w:color w:val="auto"/>
          <w:sz w:val="24"/>
          <w:szCs w:val="24"/>
          <w:highlight w:val="none"/>
          <w:lang w:val="en-US" w:eastAsia="zh-CN"/>
        </w:rPr>
        <w:t>同时乙方并</w:t>
      </w:r>
      <w:r>
        <w:rPr>
          <w:rFonts w:hint="eastAsia" w:ascii="宋体" w:hAnsi="宋体" w:eastAsia="宋体" w:cs="宋体"/>
          <w:b w:val="0"/>
          <w:bCs/>
          <w:color w:val="auto"/>
          <w:sz w:val="24"/>
          <w:szCs w:val="24"/>
          <w:highlight w:val="none"/>
          <w:lang w:eastAsia="zh-Hans"/>
        </w:rPr>
        <w:t>向甲方支付合同</w:t>
      </w:r>
      <w:r>
        <w:rPr>
          <w:rFonts w:hint="eastAsia" w:ascii="宋体" w:hAnsi="宋体" w:eastAsia="宋体" w:cs="宋体"/>
          <w:b w:val="0"/>
          <w:bCs/>
          <w:color w:val="auto"/>
          <w:sz w:val="24"/>
          <w:szCs w:val="24"/>
          <w:highlight w:val="none"/>
          <w:lang w:val="en-US" w:eastAsia="zh-CN"/>
        </w:rPr>
        <w:t>暂定</w:t>
      </w:r>
      <w:r>
        <w:rPr>
          <w:rFonts w:hint="eastAsia" w:ascii="宋体" w:hAnsi="宋体" w:eastAsia="宋体" w:cs="宋体"/>
          <w:b w:val="0"/>
          <w:bCs/>
          <w:color w:val="auto"/>
          <w:sz w:val="24"/>
          <w:szCs w:val="24"/>
          <w:highlight w:val="none"/>
          <w:lang w:eastAsia="zh-Hans"/>
        </w:rPr>
        <w:t>总价20%的违约金。</w:t>
      </w:r>
    </w:p>
    <w:p w14:paraId="359744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9.2.3</w:t>
      </w:r>
      <w:r>
        <w:rPr>
          <w:rFonts w:hint="eastAsia" w:ascii="宋体" w:hAnsi="宋体" w:eastAsia="宋体" w:cs="宋体"/>
          <w:b w:val="0"/>
          <w:bCs/>
          <w:color w:val="auto"/>
          <w:sz w:val="24"/>
          <w:szCs w:val="24"/>
          <w:highlight w:val="none"/>
        </w:rPr>
        <w:t>本合同签订后，乙方明确表示或以行为表明拒绝履行合同约定</w:t>
      </w:r>
      <w:r>
        <w:rPr>
          <w:rFonts w:hint="eastAsia" w:ascii="宋体" w:hAnsi="宋体" w:eastAsia="宋体" w:cs="宋体"/>
          <w:b w:val="0"/>
          <w:bCs/>
          <w:color w:val="auto"/>
          <w:sz w:val="24"/>
          <w:szCs w:val="24"/>
          <w:highlight w:val="none"/>
          <w:lang w:val="en-US" w:eastAsia="zh-CN"/>
        </w:rPr>
        <w:t>供货</w:t>
      </w:r>
      <w:r>
        <w:rPr>
          <w:rFonts w:hint="eastAsia" w:ascii="宋体" w:hAnsi="宋体" w:cs="宋体"/>
          <w:b w:val="0"/>
          <w:bCs/>
          <w:color w:val="auto"/>
          <w:sz w:val="24"/>
          <w:szCs w:val="24"/>
          <w:highlight w:val="none"/>
          <w:lang w:val="en-US" w:eastAsia="zh-CN"/>
        </w:rPr>
        <w:t>义务</w:t>
      </w:r>
      <w:r>
        <w:rPr>
          <w:rFonts w:hint="eastAsia" w:ascii="宋体" w:hAnsi="宋体" w:eastAsia="宋体" w:cs="宋体"/>
          <w:b w:val="0"/>
          <w:bCs/>
          <w:color w:val="auto"/>
          <w:sz w:val="24"/>
          <w:szCs w:val="24"/>
          <w:highlight w:val="none"/>
          <w:lang w:val="en-US" w:eastAsia="zh-CN"/>
        </w:rPr>
        <w:t>的</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eastAsia="zh-Hans"/>
        </w:rPr>
        <w:t>甲方有权解除合同，</w:t>
      </w:r>
      <w:r>
        <w:rPr>
          <w:rFonts w:hint="eastAsia" w:ascii="宋体" w:hAnsi="宋体" w:cs="宋体"/>
          <w:b w:val="0"/>
          <w:bCs/>
          <w:color w:val="auto"/>
          <w:sz w:val="24"/>
          <w:szCs w:val="24"/>
          <w:highlight w:val="none"/>
          <w:lang w:val="en-US" w:eastAsia="zh-CN"/>
        </w:rPr>
        <w:t>乙方除应返还甲方已支付的所有费用外，还应</w:t>
      </w:r>
      <w:r>
        <w:rPr>
          <w:rFonts w:hint="eastAsia" w:ascii="宋体" w:hAnsi="宋体" w:eastAsia="宋体" w:cs="宋体"/>
          <w:b w:val="0"/>
          <w:bCs/>
          <w:color w:val="auto"/>
          <w:sz w:val="24"/>
          <w:szCs w:val="24"/>
          <w:highlight w:val="none"/>
          <w:lang w:eastAsia="zh-Hans"/>
        </w:rPr>
        <w:t>向甲方支付合同</w:t>
      </w:r>
      <w:r>
        <w:rPr>
          <w:rFonts w:hint="eastAsia" w:ascii="宋体" w:hAnsi="宋体" w:eastAsia="宋体" w:cs="宋体"/>
          <w:b w:val="0"/>
          <w:bCs/>
          <w:color w:val="auto"/>
          <w:sz w:val="24"/>
          <w:szCs w:val="24"/>
          <w:highlight w:val="none"/>
          <w:lang w:val="en-US" w:eastAsia="zh-CN"/>
        </w:rPr>
        <w:t>暂定</w:t>
      </w:r>
      <w:r>
        <w:rPr>
          <w:rFonts w:hint="eastAsia" w:ascii="宋体" w:hAnsi="宋体" w:eastAsia="宋体" w:cs="宋体"/>
          <w:b w:val="0"/>
          <w:bCs/>
          <w:color w:val="auto"/>
          <w:sz w:val="24"/>
          <w:szCs w:val="24"/>
          <w:highlight w:val="none"/>
          <w:lang w:eastAsia="zh-Hans"/>
        </w:rPr>
        <w:t>总价20%的违约金。</w:t>
      </w:r>
    </w:p>
    <w:p w14:paraId="548B50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9.2.4</w:t>
      </w:r>
      <w:r>
        <w:rPr>
          <w:rFonts w:hint="eastAsia" w:ascii="宋体" w:hAnsi="宋体" w:eastAsia="宋体" w:cs="宋体"/>
          <w:b w:val="0"/>
          <w:bCs/>
          <w:color w:val="auto"/>
          <w:sz w:val="24"/>
          <w:szCs w:val="24"/>
          <w:highlight w:val="none"/>
        </w:rPr>
        <w:t>乙方保证本合同货物的权利无瑕疵，包括货物所有权及知识产权等权利无瑕疵。如任何第三方经法院（或仲裁机构）裁决有权对上述货物主张权利或国家机关依法对货物进行没收查处的，</w:t>
      </w:r>
      <w:r>
        <w:rPr>
          <w:rFonts w:hint="eastAsia" w:ascii="宋体" w:hAnsi="宋体" w:eastAsia="宋体" w:cs="宋体"/>
          <w:b w:val="0"/>
          <w:bCs/>
          <w:color w:val="auto"/>
          <w:sz w:val="24"/>
          <w:szCs w:val="24"/>
          <w:highlight w:val="none"/>
          <w:lang w:val="en-US" w:eastAsia="zh-Hans"/>
        </w:rPr>
        <w:t>乙方应当承担由此产生的一切经济及法律责任</w:t>
      </w:r>
      <w:r>
        <w:rPr>
          <w:rFonts w:hint="eastAsia" w:ascii="宋体" w:hAnsi="宋体" w:eastAsia="宋体" w:cs="宋体"/>
          <w:b w:val="0"/>
          <w:bCs/>
          <w:color w:val="auto"/>
          <w:sz w:val="24"/>
          <w:szCs w:val="24"/>
          <w:highlight w:val="none"/>
          <w:lang w:eastAsia="zh-Hans"/>
        </w:rPr>
        <w:t>，</w:t>
      </w:r>
      <w:r>
        <w:rPr>
          <w:rFonts w:hint="eastAsia" w:ascii="宋体" w:hAnsi="宋体" w:cs="宋体"/>
          <w:b w:val="0"/>
          <w:bCs/>
          <w:color w:val="auto"/>
          <w:sz w:val="24"/>
          <w:szCs w:val="24"/>
          <w:highlight w:val="none"/>
          <w:lang w:val="en-US" w:eastAsia="zh-CN"/>
        </w:rPr>
        <w:t>甲方有权解除合同，</w:t>
      </w:r>
      <w:r>
        <w:rPr>
          <w:rFonts w:hint="eastAsia" w:ascii="宋体" w:hAnsi="宋体" w:eastAsia="宋体" w:cs="宋体"/>
          <w:b w:val="0"/>
          <w:bCs/>
          <w:color w:val="auto"/>
          <w:sz w:val="24"/>
          <w:szCs w:val="24"/>
          <w:highlight w:val="none"/>
          <w:lang w:val="en-US" w:eastAsia="zh-Hans"/>
        </w:rPr>
        <w:t>同时</w:t>
      </w:r>
      <w:r>
        <w:rPr>
          <w:rFonts w:hint="eastAsia" w:ascii="宋体" w:hAnsi="宋体" w:eastAsia="宋体" w:cs="宋体"/>
          <w:b w:val="0"/>
          <w:bCs/>
          <w:color w:val="auto"/>
          <w:sz w:val="24"/>
          <w:szCs w:val="24"/>
          <w:highlight w:val="none"/>
        </w:rPr>
        <w:t>乙方除应向甲方返还已收款项外，还应另按合同</w:t>
      </w:r>
      <w:r>
        <w:rPr>
          <w:rFonts w:hint="eastAsia" w:ascii="宋体" w:hAnsi="宋体" w:eastAsia="宋体" w:cs="宋体"/>
          <w:b w:val="0"/>
          <w:bCs/>
          <w:color w:val="auto"/>
          <w:sz w:val="24"/>
          <w:szCs w:val="24"/>
          <w:highlight w:val="none"/>
          <w:lang w:val="en-US" w:eastAsia="zh-CN"/>
        </w:rPr>
        <w:t>暂定</w:t>
      </w:r>
      <w:r>
        <w:rPr>
          <w:rFonts w:hint="eastAsia" w:ascii="宋体" w:hAnsi="宋体" w:eastAsia="宋体" w:cs="宋体"/>
          <w:b w:val="0"/>
          <w:bCs/>
          <w:color w:val="auto"/>
          <w:sz w:val="24"/>
          <w:szCs w:val="24"/>
          <w:highlight w:val="none"/>
        </w:rPr>
        <w:t>总价20%向甲方支付违约金并赔偿因此给甲方造成的一切损失。</w:t>
      </w:r>
    </w:p>
    <w:p w14:paraId="63B2D2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9.2.5</w:t>
      </w:r>
      <w:r>
        <w:rPr>
          <w:rFonts w:hint="eastAsia" w:ascii="宋体" w:hAnsi="宋体" w:eastAsia="宋体" w:cs="宋体"/>
          <w:b w:val="0"/>
          <w:bCs/>
          <w:color w:val="auto"/>
          <w:sz w:val="24"/>
          <w:szCs w:val="24"/>
          <w:highlight w:val="none"/>
        </w:rPr>
        <w:t>乙方支付的违约金不足以弥补甲方损失的，还应按甲方损失尚未弥补的部分，支付赔偿金给甲方。</w:t>
      </w:r>
    </w:p>
    <w:p w14:paraId="4B5A6E53">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w:t>
      </w:r>
      <w:r>
        <w:rPr>
          <w:rFonts w:hint="eastAsia" w:ascii="宋体" w:hAnsi="宋体" w:eastAsia="宋体" w:cs="宋体"/>
          <w:b/>
          <w:color w:val="auto"/>
          <w:sz w:val="24"/>
          <w:szCs w:val="24"/>
          <w:highlight w:val="none"/>
          <w:lang w:val="en-US" w:eastAsia="zh-CN"/>
        </w:rPr>
        <w:t>十</w:t>
      </w:r>
      <w:r>
        <w:rPr>
          <w:rFonts w:hint="eastAsia" w:ascii="宋体" w:hAnsi="宋体" w:eastAsia="宋体" w:cs="宋体"/>
          <w:b/>
          <w:color w:val="auto"/>
          <w:sz w:val="24"/>
          <w:szCs w:val="24"/>
          <w:highlight w:val="none"/>
        </w:rPr>
        <w:t>条：免责</w:t>
      </w:r>
    </w:p>
    <w:p w14:paraId="5D940330">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1不可抗力：签约双方中任何一方由于战争及严重的洪水、台风、地震、塌方等不可抗力事件而影响合同的执行时，应及时通知对方，请求延迟相应受影响部分的履行期限或本合同终止，采取适当措施以防止损失扩大，延迟时间应相当于事件影响的时间。不可抗力系指双方在缔结合同时所不能预见的，并且它的发生及后果是无法克服和无法避免的。</w:t>
      </w:r>
    </w:p>
    <w:p w14:paraId="7486B79E">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.2因情势变化（如甲方工程项目取消）导致本合同甲方所购货物失去实际意义时，甲方应及时通知乙方协商办理相应合同结算及终止事宜。对此双方均不属违约。</w:t>
      </w:r>
    </w:p>
    <w:p w14:paraId="252DC03B">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w:t>
      </w: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rPr>
        <w:t>条：争议解决</w:t>
      </w:r>
    </w:p>
    <w:p w14:paraId="57419DFF">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本合同在履行过程中产生争议的，由双方当事人协商解决，协商或调解不成的，由</w:t>
      </w:r>
      <w:r>
        <w:rPr>
          <w:rFonts w:hint="eastAsia" w:ascii="宋体" w:hAnsi="宋体" w:eastAsia="宋体" w:cs="宋体"/>
          <w:color w:val="auto"/>
          <w:sz w:val="24"/>
          <w:szCs w:val="24"/>
          <w:highlight w:val="none"/>
          <w:lang w:val="en-US" w:eastAsia="zh-CN"/>
        </w:rPr>
        <w:t>甲方住所地人民法院管辖，败诉方还应当承担胜诉方因此支付的诉讼费、保全费、律师费、差旅费等实际费用</w:t>
      </w:r>
      <w:r>
        <w:rPr>
          <w:rFonts w:hint="eastAsia" w:ascii="宋体" w:hAnsi="宋体" w:eastAsia="宋体" w:cs="宋体"/>
          <w:color w:val="auto"/>
          <w:sz w:val="24"/>
          <w:szCs w:val="24"/>
          <w:highlight w:val="none"/>
        </w:rPr>
        <w:t>。</w:t>
      </w:r>
    </w:p>
    <w:p w14:paraId="51ED23A9">
      <w:pPr>
        <w:pageBreakBefore w:val="0"/>
        <w:kinsoku/>
        <w:wordWrap/>
        <w:overflowPunct/>
        <w:topLinePunct w:val="0"/>
        <w:autoSpaceDE/>
        <w:autoSpaceDN/>
        <w:bidi w:val="0"/>
        <w:adjustRightInd/>
        <w:snapToGrid/>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第十</w:t>
      </w: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rPr>
        <w:t>条：附   则</w:t>
      </w:r>
    </w:p>
    <w:p w14:paraId="102E9CFB">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.1本合同在执行期间，如有未尽事宜，由甲乙双方协商，另行</w:t>
      </w:r>
      <w:r>
        <w:rPr>
          <w:rFonts w:hint="eastAsia" w:ascii="宋体" w:hAnsi="宋体" w:eastAsia="宋体" w:cs="宋体"/>
          <w:color w:val="auto"/>
          <w:sz w:val="24"/>
          <w:szCs w:val="24"/>
          <w:highlight w:val="none"/>
          <w:lang w:val="en-US" w:eastAsia="zh-CN"/>
        </w:rPr>
        <w:t>按程序</w:t>
      </w:r>
      <w:r>
        <w:rPr>
          <w:rFonts w:hint="eastAsia" w:ascii="宋体" w:hAnsi="宋体" w:eastAsia="宋体" w:cs="宋体"/>
          <w:color w:val="auto"/>
          <w:sz w:val="24"/>
          <w:szCs w:val="24"/>
          <w:highlight w:val="none"/>
        </w:rPr>
        <w:t>签订补充协议，补充协议与本合同具有同等效力。</w:t>
      </w:r>
    </w:p>
    <w:p w14:paraId="042579A8">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.2甲乙双方承诺，在签订及履行本合同时，应本着诚信原则，保守对方的商业秘密，因归责于自身原因，造成对方商业秘密外泄，承担由此而造成的损失。</w:t>
      </w:r>
    </w:p>
    <w:p w14:paraId="38F154EC">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.3本合同一式</w:t>
      </w:r>
      <w:r>
        <w:rPr>
          <w:rFonts w:hint="eastAsia" w:ascii="宋体" w:hAnsi="宋体" w:eastAsia="宋体" w:cs="宋体"/>
          <w:color w:val="auto"/>
          <w:sz w:val="24"/>
          <w:szCs w:val="24"/>
          <w:highlight w:val="none"/>
          <w:u w:val="single"/>
        </w:rPr>
        <w:t xml:space="preserve"> 肆 </w:t>
      </w:r>
      <w:r>
        <w:rPr>
          <w:rFonts w:hint="eastAsia" w:ascii="宋体" w:hAnsi="宋体" w:eastAsia="宋体" w:cs="宋体"/>
          <w:color w:val="auto"/>
          <w:sz w:val="24"/>
          <w:szCs w:val="24"/>
          <w:highlight w:val="none"/>
        </w:rPr>
        <w:t>份，甲乙双方各</w:t>
      </w:r>
      <w:r>
        <w:rPr>
          <w:rFonts w:hint="eastAsia" w:ascii="宋体" w:hAnsi="宋体" w:eastAsia="宋体" w:cs="宋体"/>
          <w:color w:val="auto"/>
          <w:sz w:val="24"/>
          <w:szCs w:val="24"/>
          <w:highlight w:val="none"/>
          <w:u w:val="single"/>
        </w:rPr>
        <w:t xml:space="preserve"> 贰 </w:t>
      </w:r>
      <w:r>
        <w:rPr>
          <w:rFonts w:hint="eastAsia" w:ascii="宋体" w:hAnsi="宋体" w:eastAsia="宋体" w:cs="宋体"/>
          <w:color w:val="auto"/>
          <w:sz w:val="24"/>
          <w:szCs w:val="24"/>
          <w:highlight w:val="none"/>
        </w:rPr>
        <w:t>份，经</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w:t>
      </w:r>
      <w:r>
        <w:rPr>
          <w:rFonts w:hint="eastAsia" w:ascii="宋体" w:hAnsi="宋体" w:eastAsia="宋体" w:cs="宋体"/>
          <w:color w:val="auto"/>
          <w:sz w:val="24"/>
          <w:szCs w:val="24"/>
          <w:highlight w:val="none"/>
          <w:lang w:val="en-US" w:eastAsia="zh-CN"/>
        </w:rPr>
        <w:t>法定代表人或授权委托人</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val="en-US" w:eastAsia="zh-CN"/>
        </w:rPr>
        <w:t>并加盖单位公章</w:t>
      </w:r>
      <w:r>
        <w:rPr>
          <w:rFonts w:hint="eastAsia" w:ascii="宋体" w:hAnsi="宋体" w:eastAsia="宋体" w:cs="宋体"/>
          <w:color w:val="auto"/>
          <w:sz w:val="24"/>
          <w:szCs w:val="24"/>
          <w:highlight w:val="none"/>
        </w:rPr>
        <w:t>后生效，甲乙双方应本着公平、合理原则全面履行本合同条款。</w:t>
      </w:r>
    </w:p>
    <w:p w14:paraId="451A4FDF">
      <w:pPr>
        <w:pStyle w:val="4"/>
        <w:pageBreakBefore w:val="0"/>
        <w:kinsoku/>
        <w:wordWrap/>
        <w:overflowPunct/>
        <w:topLinePunct w:val="0"/>
        <w:autoSpaceDE/>
        <w:autoSpaceDN/>
        <w:bidi w:val="0"/>
        <w:adjustRightInd/>
        <w:snapToGrid/>
        <w:spacing w:after="0" w:line="360" w:lineRule="auto"/>
        <w:ind w:firstLine="480" w:firstLineChars="200"/>
        <w:rPr>
          <w:rFonts w:hint="eastAsia" w:ascii="宋体" w:hAnsi="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12.4甲方联系人及联系方式</w:t>
      </w:r>
      <w:r>
        <w:rPr>
          <w:rFonts w:hint="eastAsia" w:ascii="宋体" w:hAnsi="宋体" w:cs="宋体"/>
          <w:color w:val="auto"/>
          <w:kern w:val="2"/>
          <w:sz w:val="24"/>
          <w:szCs w:val="24"/>
          <w:highlight w:val="none"/>
          <w:u w:val="none"/>
          <w:lang w:val="en-US" w:eastAsia="zh-CN" w:bidi="ar-SA"/>
        </w:rPr>
        <w:t>：曾罗</w:t>
      </w:r>
      <w:r>
        <w:rPr>
          <w:rFonts w:hint="eastAsia" w:ascii="宋体" w:hAnsi="宋体" w:eastAsia="宋体" w:cs="宋体"/>
          <w:color w:val="auto"/>
          <w:kern w:val="2"/>
          <w:sz w:val="24"/>
          <w:szCs w:val="24"/>
          <w:highlight w:val="none"/>
          <w:u w:val="none"/>
          <w:lang w:val="en-US" w:eastAsia="zh-CN" w:bidi="ar-SA"/>
        </w:rPr>
        <w:t>18512809207</w:t>
      </w:r>
      <w:r>
        <w:rPr>
          <w:rFonts w:hint="eastAsia" w:ascii="宋体" w:hAnsi="宋体" w:cs="宋体"/>
          <w:color w:val="auto"/>
          <w:kern w:val="2"/>
          <w:sz w:val="24"/>
          <w:szCs w:val="24"/>
          <w:highlight w:val="none"/>
          <w:u w:val="none"/>
          <w:lang w:val="en-US" w:eastAsia="zh-CN" w:bidi="ar-SA"/>
        </w:rPr>
        <w:t xml:space="preserve">                           </w:t>
      </w:r>
    </w:p>
    <w:p w14:paraId="6D6AF65B">
      <w:pPr>
        <w:pStyle w:val="4"/>
        <w:pageBreakBefore w:val="0"/>
        <w:kinsoku/>
        <w:wordWrap/>
        <w:overflowPunct/>
        <w:topLinePunct w:val="0"/>
        <w:autoSpaceDE/>
        <w:autoSpaceDN/>
        <w:bidi w:val="0"/>
        <w:adjustRightInd/>
        <w:snapToGrid/>
        <w:spacing w:after="0" w:line="360" w:lineRule="auto"/>
        <w:ind w:firstLine="480" w:firstLineChars="200"/>
        <w:rPr>
          <w:rFonts w:hint="default"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乙方联系人及联系方式：</w:t>
      </w:r>
      <w:r>
        <w:rPr>
          <w:rFonts w:hint="eastAsia" w:ascii="宋体" w:hAnsi="宋体" w:cs="宋体"/>
          <w:color w:val="auto"/>
          <w:kern w:val="2"/>
          <w:sz w:val="24"/>
          <w:szCs w:val="24"/>
          <w:highlight w:val="none"/>
          <w:u w:val="none"/>
          <w:lang w:val="en-US" w:eastAsia="zh-CN" w:bidi="ar-SA"/>
        </w:rPr>
        <w:t xml:space="preserve"> </w:t>
      </w:r>
    </w:p>
    <w:p w14:paraId="20CB0CA2">
      <w:pPr>
        <w:rPr>
          <w:rFonts w:hint="default" w:ascii="宋体" w:hAnsi="宋体" w:eastAsia="宋体" w:cs="宋体"/>
          <w:color w:val="auto"/>
          <w:kern w:val="2"/>
          <w:sz w:val="24"/>
          <w:szCs w:val="24"/>
          <w:highlight w:val="none"/>
          <w:u w:val="none"/>
          <w:lang w:val="en-US" w:eastAsia="zh-CN" w:bidi="ar-SA"/>
        </w:rPr>
      </w:pPr>
    </w:p>
    <w:p w14:paraId="57A18BFE">
      <w:pPr>
        <w:rPr>
          <w:rFonts w:hint="default" w:ascii="宋体" w:hAnsi="宋体" w:eastAsia="宋体" w:cs="宋体"/>
          <w:color w:val="auto"/>
          <w:kern w:val="2"/>
          <w:sz w:val="24"/>
          <w:szCs w:val="24"/>
          <w:highlight w:val="none"/>
          <w:u w:val="none"/>
          <w:lang w:val="en-US" w:eastAsia="zh-CN" w:bidi="ar-SA"/>
        </w:rPr>
      </w:pPr>
    </w:p>
    <w:tbl>
      <w:tblPr>
        <w:tblStyle w:val="8"/>
        <w:tblpPr w:leftFromText="180" w:rightFromText="180" w:vertAnchor="text" w:horzAnchor="margin" w:tblpX="-176" w:tblpY="263"/>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5"/>
        <w:gridCol w:w="4835"/>
      </w:tblGrid>
      <w:tr w14:paraId="1D1AE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4805" w:type="dxa"/>
            <w:noWrap/>
            <w:vAlign w:val="center"/>
          </w:tcPr>
          <w:p w14:paraId="438C69F2">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甲            方</w:t>
            </w:r>
          </w:p>
        </w:tc>
        <w:tc>
          <w:tcPr>
            <w:tcW w:w="4835" w:type="dxa"/>
            <w:noWrap/>
            <w:vAlign w:val="center"/>
          </w:tcPr>
          <w:p w14:paraId="2886FBB6">
            <w:pPr>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乙             方</w:t>
            </w:r>
          </w:p>
        </w:tc>
      </w:tr>
      <w:tr w14:paraId="6421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4805" w:type="dxa"/>
            <w:noWrap/>
            <w:vAlign w:val="center"/>
          </w:tcPr>
          <w:p w14:paraId="771303BA">
            <w:pPr>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单位名称（章）：</w:t>
            </w:r>
            <w:r>
              <w:rPr>
                <w:rFonts w:hint="eastAsia" w:ascii="宋体" w:hAnsi="宋体" w:eastAsia="宋体" w:cs="宋体"/>
                <w:color w:val="auto"/>
                <w:sz w:val="24"/>
                <w:szCs w:val="24"/>
                <w:highlight w:val="none"/>
                <w:lang w:val="en-US" w:eastAsia="zh-CN"/>
              </w:rPr>
              <w:t>遂宁市鹏安投资有限公司</w:t>
            </w:r>
          </w:p>
          <w:p w14:paraId="714DF1DE">
            <w:pPr>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地址：四川省遂宁市安居区黄林路190号（凤凰半岛三期）一层商铺</w:t>
            </w:r>
          </w:p>
          <w:p w14:paraId="61FF3DC1">
            <w:pPr>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法定代表人：</w:t>
            </w:r>
          </w:p>
          <w:p w14:paraId="65038C58">
            <w:pPr>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开户银行： </w:t>
            </w:r>
            <w:r>
              <w:rPr>
                <w:rFonts w:hint="eastAsia" w:ascii="宋体" w:hAnsi="宋体" w:eastAsia="宋体" w:cs="宋体"/>
                <w:color w:val="auto"/>
                <w:sz w:val="24"/>
                <w:szCs w:val="24"/>
                <w:highlight w:val="none"/>
                <w:lang w:val="en-US" w:eastAsia="zh-CN"/>
              </w:rPr>
              <w:t>遂宁安居融兴村镇银行有限责任公司琼江支行</w:t>
            </w:r>
          </w:p>
          <w:p w14:paraId="4F61A399">
            <w:pPr>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帐号：</w:t>
            </w:r>
            <w:r>
              <w:rPr>
                <w:rFonts w:hint="eastAsia" w:ascii="宋体" w:hAnsi="宋体" w:eastAsia="宋体" w:cs="宋体"/>
                <w:color w:val="auto"/>
                <w:sz w:val="24"/>
                <w:szCs w:val="24"/>
                <w:highlight w:val="none"/>
                <w:lang w:val="en-US" w:eastAsia="zh-CN"/>
              </w:rPr>
              <w:t>1234517040649308</w:t>
            </w:r>
            <w:r>
              <w:rPr>
                <w:rFonts w:hint="eastAsia" w:ascii="宋体" w:hAnsi="宋体" w:eastAsia="宋体" w:cs="宋体"/>
                <w:color w:val="auto"/>
                <w:sz w:val="24"/>
                <w:szCs w:val="24"/>
                <w:highlight w:val="none"/>
              </w:rPr>
              <w:t xml:space="preserve"> </w:t>
            </w:r>
          </w:p>
        </w:tc>
        <w:tc>
          <w:tcPr>
            <w:tcW w:w="4835" w:type="dxa"/>
            <w:noWrap/>
          </w:tcPr>
          <w:p w14:paraId="7A27D7B7">
            <w:pPr>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单位名称(章)：</w:t>
            </w:r>
            <w:r>
              <w:rPr>
                <w:rFonts w:hint="eastAsia" w:ascii="宋体" w:hAnsi="宋体" w:cs="宋体"/>
                <w:b w:val="0"/>
                <w:bCs w:val="0"/>
                <w:color w:val="auto"/>
                <w:sz w:val="24"/>
                <w:szCs w:val="24"/>
                <w:highlight w:val="none"/>
                <w:lang w:val="en-US" w:eastAsia="zh-CN"/>
              </w:rPr>
              <w:t xml:space="preserve"> </w:t>
            </w:r>
          </w:p>
          <w:p w14:paraId="3987B75F">
            <w:pPr>
              <w:pageBreakBefore w:val="0"/>
              <w:kinsoku/>
              <w:wordWrap/>
              <w:overflowPunct/>
              <w:topLinePunct w:val="0"/>
              <w:autoSpaceDE/>
              <w:autoSpaceDN/>
              <w:bidi w:val="0"/>
              <w:adjustRightInd/>
              <w:snapToGrid/>
              <w:spacing w:line="360" w:lineRule="auto"/>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地址：</w:t>
            </w:r>
          </w:p>
          <w:p w14:paraId="416C9136">
            <w:pPr>
              <w:pageBreakBefore w:val="0"/>
              <w:kinsoku/>
              <w:wordWrap/>
              <w:overflowPunct/>
              <w:topLinePunct w:val="0"/>
              <w:autoSpaceDE/>
              <w:autoSpaceDN/>
              <w:bidi w:val="0"/>
              <w:adjustRightInd/>
              <w:snapToGrid/>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法定代表人：</w:t>
            </w:r>
          </w:p>
          <w:p w14:paraId="18AF64F5">
            <w:pPr>
              <w:pStyle w:val="12"/>
              <w:rPr>
                <w:rFonts w:hint="default" w:eastAsia="宋体"/>
                <w:color w:val="auto"/>
                <w:highlight w:val="none"/>
                <w:lang w:val="en-US" w:eastAsia="zh-CN"/>
              </w:rPr>
            </w:pPr>
            <w:r>
              <w:rPr>
                <w:rFonts w:hint="eastAsia" w:ascii="宋体" w:hAnsi="宋体" w:cs="宋体"/>
                <w:color w:val="auto"/>
                <w:sz w:val="24"/>
                <w:szCs w:val="24"/>
                <w:highlight w:val="none"/>
                <w:lang w:val="en-US" w:eastAsia="zh-CN"/>
              </w:rPr>
              <w:t>委托代理人：/</w:t>
            </w:r>
          </w:p>
          <w:p w14:paraId="1646A670">
            <w:pPr>
              <w:pageBreakBefore w:val="0"/>
              <w:kinsoku/>
              <w:wordWrap/>
              <w:overflowPunct/>
              <w:topLinePunct w:val="0"/>
              <w:autoSpaceDE/>
              <w:autoSpaceDN/>
              <w:bidi w:val="0"/>
              <w:adjustRightInd/>
              <w:snapToGrid/>
              <w:spacing w:line="360" w:lineRule="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rPr>
              <w:t>开户银行</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val="en-US" w:eastAsia="zh-CN"/>
              </w:rPr>
              <w:t xml:space="preserve"> </w:t>
            </w:r>
          </w:p>
          <w:p w14:paraId="57A3D2C4">
            <w:pPr>
              <w:pageBreakBefore w:val="0"/>
              <w:kinsoku/>
              <w:wordWrap/>
              <w:overflowPunct/>
              <w:topLinePunct w:val="0"/>
              <w:autoSpaceDE/>
              <w:autoSpaceDN/>
              <w:bidi w:val="0"/>
              <w:adjustRightInd/>
              <w:snapToGrid/>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rPr>
              <w:t>帐号</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 xml:space="preserve"> </w:t>
            </w:r>
          </w:p>
        </w:tc>
      </w:tr>
    </w:tbl>
    <w:p w14:paraId="4C4F8D68">
      <w:pPr>
        <w:rPr>
          <w:rFonts w:hint="default"/>
          <w:lang w:val="en-US" w:eastAsia="zh-CN"/>
        </w:rPr>
      </w:pPr>
    </w:p>
    <w:sectPr>
      <w:pgSz w:w="11906" w:h="16838"/>
      <w:pgMar w:top="1134" w:right="1080" w:bottom="1134"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ì.">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Microsoft PhagsPa">
    <w:panose1 w:val="020B0502040204020203"/>
    <w:charset w:val="00"/>
    <w:family w:val="auto"/>
    <w:pitch w:val="default"/>
    <w:sig w:usb0="00000003" w:usb1="00200000" w:usb2="08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05C07D"/>
    <w:multiLevelType w:val="multilevel"/>
    <w:tmpl w:val="8605C07D"/>
    <w:lvl w:ilvl="0" w:tentative="0">
      <w:start w:val="1"/>
      <w:numFmt w:val="chineseCounting"/>
      <w:suff w:val="nothing"/>
      <w:lvlText w:val="%1、"/>
      <w:lvlJc w:val="left"/>
      <w:rPr>
        <w:rFonts w:hint="eastAsia"/>
      </w:rPr>
    </w:lvl>
    <w:lvl w:ilvl="1" w:tentative="0">
      <w:start w:val="1"/>
      <w:numFmt w:val="decimal"/>
      <w:suff w:val="nothing"/>
      <w:lvlText w:val="%2．"/>
      <w:lvlJc w:val="left"/>
      <w:rPr>
        <w:rFonts w:hint="eastAsia"/>
      </w:rPr>
    </w:lvl>
    <w:lvl w:ilvl="2" w:tentative="0">
      <w:start w:val="1"/>
      <w:numFmt w:val="decimal"/>
      <w:suff w:val="nothing"/>
      <w:lvlText w:val="（%3）"/>
      <w:lvlJc w:val="left"/>
      <w:rPr>
        <w:rFonts w:hint="eastAsia"/>
      </w:rPr>
    </w:lvl>
    <w:lvl w:ilvl="3" w:tentative="0">
      <w:start w:val="1"/>
      <w:numFmt w:val="decimalEnclosedCircleChinese"/>
      <w:suff w:val="nothing"/>
      <w:lvlText w:val="%4"/>
      <w:lvlJc w:val="left"/>
      <w:rPr>
        <w:rFonts w:hint="eastAsia"/>
      </w:rPr>
    </w:lvl>
    <w:lvl w:ilvl="4" w:tentative="0">
      <w:start w:val="1"/>
      <w:numFmt w:val="decimal"/>
      <w:pStyle w:val="13"/>
      <w:suff w:val="nothing"/>
      <w:lvlText w:val="%5）"/>
      <w:lvlJc w:val="left"/>
      <w:rPr>
        <w:rFonts w:hint="eastAsia"/>
      </w:rPr>
    </w:lvl>
    <w:lvl w:ilvl="5" w:tentative="0">
      <w:start w:val="1"/>
      <w:numFmt w:val="lowerLetter"/>
      <w:suff w:val="nothing"/>
      <w:lvlText w:val="%6．"/>
      <w:lvlJc w:val="left"/>
      <w:rPr>
        <w:rFonts w:hint="eastAsia"/>
      </w:rPr>
    </w:lvl>
    <w:lvl w:ilvl="6" w:tentative="0">
      <w:start w:val="1"/>
      <w:numFmt w:val="lowerLetter"/>
      <w:suff w:val="nothing"/>
      <w:lvlText w:val="%7）"/>
      <w:lvlJc w:val="left"/>
      <w:rPr>
        <w:rFonts w:hint="eastAsia"/>
      </w:rPr>
    </w:lvl>
    <w:lvl w:ilvl="7" w:tentative="0">
      <w:start w:val="1"/>
      <w:numFmt w:val="lowerRoman"/>
      <w:suff w:val="nothing"/>
      <w:lvlText w:val="%8．"/>
      <w:lvlJc w:val="left"/>
      <w:rPr>
        <w:rFonts w:hint="eastAsia"/>
      </w:rPr>
    </w:lvl>
    <w:lvl w:ilvl="8" w:tentative="0">
      <w:start w:val="1"/>
      <w:numFmt w:val="lowerRoman"/>
      <w:suff w:val="nothing"/>
      <w:lvlText w:val="%9）"/>
      <w:lvlJc w:val="left"/>
      <w:rPr>
        <w:rFonts w:hint="eastAsia"/>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lang w:val="en-US"/>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66A61426"/>
    <w:multiLevelType w:val="singleLevel"/>
    <w:tmpl w:val="66A61426"/>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1F3AB4"/>
    <w:rsid w:val="000F72D8"/>
    <w:rsid w:val="00293FD6"/>
    <w:rsid w:val="00473031"/>
    <w:rsid w:val="004874D5"/>
    <w:rsid w:val="00867FFD"/>
    <w:rsid w:val="00A42231"/>
    <w:rsid w:val="00A95A9A"/>
    <w:rsid w:val="00C50B26"/>
    <w:rsid w:val="00FE4037"/>
    <w:rsid w:val="011B0745"/>
    <w:rsid w:val="01390BCC"/>
    <w:rsid w:val="01877B89"/>
    <w:rsid w:val="01B446F6"/>
    <w:rsid w:val="020C4532"/>
    <w:rsid w:val="02111490"/>
    <w:rsid w:val="021D04ED"/>
    <w:rsid w:val="0248052C"/>
    <w:rsid w:val="0288005D"/>
    <w:rsid w:val="02E80AFB"/>
    <w:rsid w:val="02E92054"/>
    <w:rsid w:val="02F05C02"/>
    <w:rsid w:val="02F96864"/>
    <w:rsid w:val="02FA438B"/>
    <w:rsid w:val="034D095E"/>
    <w:rsid w:val="036B5288"/>
    <w:rsid w:val="037405E1"/>
    <w:rsid w:val="038F541B"/>
    <w:rsid w:val="03B31109"/>
    <w:rsid w:val="03F4702C"/>
    <w:rsid w:val="041C0ADC"/>
    <w:rsid w:val="04293179"/>
    <w:rsid w:val="048E56D2"/>
    <w:rsid w:val="04D550AF"/>
    <w:rsid w:val="04F30983"/>
    <w:rsid w:val="05545FD4"/>
    <w:rsid w:val="055C757F"/>
    <w:rsid w:val="059A3C03"/>
    <w:rsid w:val="05B9677F"/>
    <w:rsid w:val="05C20583"/>
    <w:rsid w:val="05C649F8"/>
    <w:rsid w:val="05D215EF"/>
    <w:rsid w:val="06023C82"/>
    <w:rsid w:val="060A6344"/>
    <w:rsid w:val="060E0879"/>
    <w:rsid w:val="06222576"/>
    <w:rsid w:val="06426774"/>
    <w:rsid w:val="06622973"/>
    <w:rsid w:val="0667442D"/>
    <w:rsid w:val="06915006"/>
    <w:rsid w:val="06A20151"/>
    <w:rsid w:val="06BD229F"/>
    <w:rsid w:val="075229E7"/>
    <w:rsid w:val="07596D87"/>
    <w:rsid w:val="07C82CA9"/>
    <w:rsid w:val="07F615C4"/>
    <w:rsid w:val="08144141"/>
    <w:rsid w:val="082D6FB0"/>
    <w:rsid w:val="08730E67"/>
    <w:rsid w:val="089E150F"/>
    <w:rsid w:val="092E2FE0"/>
    <w:rsid w:val="097430E9"/>
    <w:rsid w:val="09840E52"/>
    <w:rsid w:val="09B037E0"/>
    <w:rsid w:val="09C13E54"/>
    <w:rsid w:val="0A116B8A"/>
    <w:rsid w:val="0A4A3E4A"/>
    <w:rsid w:val="0A572476"/>
    <w:rsid w:val="0A876E4C"/>
    <w:rsid w:val="0AC92FC0"/>
    <w:rsid w:val="0AE55920"/>
    <w:rsid w:val="0AFB5144"/>
    <w:rsid w:val="0B0B11A6"/>
    <w:rsid w:val="0B0B5FD3"/>
    <w:rsid w:val="0B14571B"/>
    <w:rsid w:val="0B4E7969"/>
    <w:rsid w:val="0B5C5BE2"/>
    <w:rsid w:val="0BA03D07"/>
    <w:rsid w:val="0BF33D8A"/>
    <w:rsid w:val="0C5D60B6"/>
    <w:rsid w:val="0C7043B9"/>
    <w:rsid w:val="0C7D0506"/>
    <w:rsid w:val="0CA47CE3"/>
    <w:rsid w:val="0CD8398F"/>
    <w:rsid w:val="0D31309F"/>
    <w:rsid w:val="0D4A7B86"/>
    <w:rsid w:val="0D776B39"/>
    <w:rsid w:val="0DB8731C"/>
    <w:rsid w:val="0DD34156"/>
    <w:rsid w:val="0DDA0DE1"/>
    <w:rsid w:val="0E213113"/>
    <w:rsid w:val="0E4C1E01"/>
    <w:rsid w:val="0E527771"/>
    <w:rsid w:val="0E6059EA"/>
    <w:rsid w:val="0E691088"/>
    <w:rsid w:val="0E80608C"/>
    <w:rsid w:val="0E8A515C"/>
    <w:rsid w:val="0E941B37"/>
    <w:rsid w:val="0E9E6512"/>
    <w:rsid w:val="0EA224A6"/>
    <w:rsid w:val="0EA53D44"/>
    <w:rsid w:val="0EDF2674"/>
    <w:rsid w:val="0EE859DF"/>
    <w:rsid w:val="0EED1247"/>
    <w:rsid w:val="0F0A004B"/>
    <w:rsid w:val="0F186FF6"/>
    <w:rsid w:val="0F87344A"/>
    <w:rsid w:val="0FBA55CD"/>
    <w:rsid w:val="0FBD0C1A"/>
    <w:rsid w:val="0FBF4992"/>
    <w:rsid w:val="0FC95811"/>
    <w:rsid w:val="0FEB30D8"/>
    <w:rsid w:val="101E1E6D"/>
    <w:rsid w:val="10377407"/>
    <w:rsid w:val="1041184B"/>
    <w:rsid w:val="106B4B1A"/>
    <w:rsid w:val="106F0166"/>
    <w:rsid w:val="10FA2647"/>
    <w:rsid w:val="1125116C"/>
    <w:rsid w:val="1191235E"/>
    <w:rsid w:val="119C141C"/>
    <w:rsid w:val="11BA18B5"/>
    <w:rsid w:val="11C12C43"/>
    <w:rsid w:val="11C24C0D"/>
    <w:rsid w:val="11D230A2"/>
    <w:rsid w:val="1211524D"/>
    <w:rsid w:val="12837EF9"/>
    <w:rsid w:val="12BC340B"/>
    <w:rsid w:val="12D15108"/>
    <w:rsid w:val="12DE75DF"/>
    <w:rsid w:val="133631BD"/>
    <w:rsid w:val="13554000"/>
    <w:rsid w:val="13741F37"/>
    <w:rsid w:val="1376180B"/>
    <w:rsid w:val="137B1518"/>
    <w:rsid w:val="13836D3C"/>
    <w:rsid w:val="139545C9"/>
    <w:rsid w:val="13BA2DDD"/>
    <w:rsid w:val="14331E76"/>
    <w:rsid w:val="143A4F2F"/>
    <w:rsid w:val="1444190A"/>
    <w:rsid w:val="144D4C62"/>
    <w:rsid w:val="148A26A1"/>
    <w:rsid w:val="149F2FE4"/>
    <w:rsid w:val="14A66120"/>
    <w:rsid w:val="14E16FAC"/>
    <w:rsid w:val="14F90946"/>
    <w:rsid w:val="15211C4B"/>
    <w:rsid w:val="152359C3"/>
    <w:rsid w:val="152A0AFF"/>
    <w:rsid w:val="15671D54"/>
    <w:rsid w:val="15C5027F"/>
    <w:rsid w:val="15D22A8F"/>
    <w:rsid w:val="15DA0777"/>
    <w:rsid w:val="15FA2BC8"/>
    <w:rsid w:val="16005D04"/>
    <w:rsid w:val="16164737"/>
    <w:rsid w:val="16331C36"/>
    <w:rsid w:val="167504A0"/>
    <w:rsid w:val="16897AA8"/>
    <w:rsid w:val="16A14DF1"/>
    <w:rsid w:val="1732397D"/>
    <w:rsid w:val="17363247"/>
    <w:rsid w:val="17367C2F"/>
    <w:rsid w:val="17602EFE"/>
    <w:rsid w:val="17644D33"/>
    <w:rsid w:val="17915CCC"/>
    <w:rsid w:val="17C47127"/>
    <w:rsid w:val="17DB2585"/>
    <w:rsid w:val="17E4768B"/>
    <w:rsid w:val="183323C1"/>
    <w:rsid w:val="18463EA2"/>
    <w:rsid w:val="18491BE4"/>
    <w:rsid w:val="186802BC"/>
    <w:rsid w:val="186E164B"/>
    <w:rsid w:val="18BF1EA7"/>
    <w:rsid w:val="18CD0833"/>
    <w:rsid w:val="18CD45C3"/>
    <w:rsid w:val="190F698A"/>
    <w:rsid w:val="198253AE"/>
    <w:rsid w:val="19BE0C34"/>
    <w:rsid w:val="19F31E08"/>
    <w:rsid w:val="1A09162B"/>
    <w:rsid w:val="1A1F5E07"/>
    <w:rsid w:val="1A2A60AB"/>
    <w:rsid w:val="1A400DC5"/>
    <w:rsid w:val="1A4F2DB6"/>
    <w:rsid w:val="1AA66E7A"/>
    <w:rsid w:val="1ABD41C4"/>
    <w:rsid w:val="1AEB2ADF"/>
    <w:rsid w:val="1AEC6857"/>
    <w:rsid w:val="1B0B13D3"/>
    <w:rsid w:val="1B1D4C62"/>
    <w:rsid w:val="1B577F57"/>
    <w:rsid w:val="1B776A68"/>
    <w:rsid w:val="1BCB4BAB"/>
    <w:rsid w:val="1BFD51C0"/>
    <w:rsid w:val="1C0025BA"/>
    <w:rsid w:val="1C0876C1"/>
    <w:rsid w:val="1C252021"/>
    <w:rsid w:val="1C500EBC"/>
    <w:rsid w:val="1C5D17BA"/>
    <w:rsid w:val="1C5D6587"/>
    <w:rsid w:val="1CA13D9D"/>
    <w:rsid w:val="1CD31A7D"/>
    <w:rsid w:val="1D04432C"/>
    <w:rsid w:val="1D0D1432"/>
    <w:rsid w:val="1D126A49"/>
    <w:rsid w:val="1D13456F"/>
    <w:rsid w:val="1D3249F5"/>
    <w:rsid w:val="1D4110DC"/>
    <w:rsid w:val="1DB21FDA"/>
    <w:rsid w:val="1DF0665E"/>
    <w:rsid w:val="1E42753A"/>
    <w:rsid w:val="1E5D6F6E"/>
    <w:rsid w:val="1E6C3F37"/>
    <w:rsid w:val="1E7D0757"/>
    <w:rsid w:val="1EA10478"/>
    <w:rsid w:val="1EB55657"/>
    <w:rsid w:val="1EE25969"/>
    <w:rsid w:val="1F0E43BC"/>
    <w:rsid w:val="1F5C21FD"/>
    <w:rsid w:val="1F824685"/>
    <w:rsid w:val="1FDB5818"/>
    <w:rsid w:val="1FE22078"/>
    <w:rsid w:val="1FE752A1"/>
    <w:rsid w:val="205904EB"/>
    <w:rsid w:val="20A51982"/>
    <w:rsid w:val="20DA5ACF"/>
    <w:rsid w:val="21117017"/>
    <w:rsid w:val="212B00D9"/>
    <w:rsid w:val="216C24A0"/>
    <w:rsid w:val="217F6677"/>
    <w:rsid w:val="21964095"/>
    <w:rsid w:val="2197576F"/>
    <w:rsid w:val="224551CB"/>
    <w:rsid w:val="22460F43"/>
    <w:rsid w:val="22665141"/>
    <w:rsid w:val="22765384"/>
    <w:rsid w:val="22BF31CF"/>
    <w:rsid w:val="22E449E3"/>
    <w:rsid w:val="231B4EF7"/>
    <w:rsid w:val="233D35A0"/>
    <w:rsid w:val="237C10C0"/>
    <w:rsid w:val="238B4E5F"/>
    <w:rsid w:val="23BA5744"/>
    <w:rsid w:val="23D34681"/>
    <w:rsid w:val="24217571"/>
    <w:rsid w:val="248024EA"/>
    <w:rsid w:val="24945F95"/>
    <w:rsid w:val="24A51F50"/>
    <w:rsid w:val="24C17889"/>
    <w:rsid w:val="24EB5209"/>
    <w:rsid w:val="25270BB7"/>
    <w:rsid w:val="2551032A"/>
    <w:rsid w:val="256B319A"/>
    <w:rsid w:val="25AE3087"/>
    <w:rsid w:val="25E60A73"/>
    <w:rsid w:val="261C4494"/>
    <w:rsid w:val="261E645E"/>
    <w:rsid w:val="26526108"/>
    <w:rsid w:val="265453B2"/>
    <w:rsid w:val="26795443"/>
    <w:rsid w:val="269C55D5"/>
    <w:rsid w:val="26B24DF9"/>
    <w:rsid w:val="26DE174A"/>
    <w:rsid w:val="2729330D"/>
    <w:rsid w:val="27644345"/>
    <w:rsid w:val="276500BD"/>
    <w:rsid w:val="278E0484"/>
    <w:rsid w:val="27EB6814"/>
    <w:rsid w:val="27F31225"/>
    <w:rsid w:val="281E2746"/>
    <w:rsid w:val="28773C04"/>
    <w:rsid w:val="28915727"/>
    <w:rsid w:val="28D472A8"/>
    <w:rsid w:val="28F04F31"/>
    <w:rsid w:val="28F90ABD"/>
    <w:rsid w:val="293E4722"/>
    <w:rsid w:val="2953641F"/>
    <w:rsid w:val="298B4856"/>
    <w:rsid w:val="298F4F7D"/>
    <w:rsid w:val="29F64FFC"/>
    <w:rsid w:val="2A133E00"/>
    <w:rsid w:val="2A17569E"/>
    <w:rsid w:val="2A336250"/>
    <w:rsid w:val="2A7A79DB"/>
    <w:rsid w:val="2ABA427C"/>
    <w:rsid w:val="2AC507C4"/>
    <w:rsid w:val="2ACF41CB"/>
    <w:rsid w:val="2AFC4894"/>
    <w:rsid w:val="2B2168FA"/>
    <w:rsid w:val="2B746F73"/>
    <w:rsid w:val="2B8D6C27"/>
    <w:rsid w:val="2BDA4BD6"/>
    <w:rsid w:val="2BDB094E"/>
    <w:rsid w:val="2C02412C"/>
    <w:rsid w:val="2C057779"/>
    <w:rsid w:val="2C3D6F12"/>
    <w:rsid w:val="2C3E59F0"/>
    <w:rsid w:val="2C5D1AC1"/>
    <w:rsid w:val="2C7E7C57"/>
    <w:rsid w:val="2C803A36"/>
    <w:rsid w:val="2C8B2374"/>
    <w:rsid w:val="2CA705AF"/>
    <w:rsid w:val="2CBC077F"/>
    <w:rsid w:val="2CC15D95"/>
    <w:rsid w:val="2CD05FD9"/>
    <w:rsid w:val="2D2A773F"/>
    <w:rsid w:val="2D497F94"/>
    <w:rsid w:val="2DA90D03"/>
    <w:rsid w:val="2DC378EB"/>
    <w:rsid w:val="2DE33AEA"/>
    <w:rsid w:val="2DFF6B75"/>
    <w:rsid w:val="2E00644A"/>
    <w:rsid w:val="2E0A3A43"/>
    <w:rsid w:val="2E1A575D"/>
    <w:rsid w:val="2E2959A0"/>
    <w:rsid w:val="2E456552"/>
    <w:rsid w:val="2E8452CD"/>
    <w:rsid w:val="2E9848D4"/>
    <w:rsid w:val="2EE22F0D"/>
    <w:rsid w:val="2F1228D8"/>
    <w:rsid w:val="2F155F25"/>
    <w:rsid w:val="2F1E74CF"/>
    <w:rsid w:val="2F286A40"/>
    <w:rsid w:val="2F48454C"/>
    <w:rsid w:val="2F82362D"/>
    <w:rsid w:val="2FA458A1"/>
    <w:rsid w:val="2FA8323D"/>
    <w:rsid w:val="3005243D"/>
    <w:rsid w:val="302E3742"/>
    <w:rsid w:val="30796039"/>
    <w:rsid w:val="30C61BCC"/>
    <w:rsid w:val="30EB33E1"/>
    <w:rsid w:val="310E0E7D"/>
    <w:rsid w:val="311255A5"/>
    <w:rsid w:val="31264419"/>
    <w:rsid w:val="31287F4A"/>
    <w:rsid w:val="31D64091"/>
    <w:rsid w:val="32036508"/>
    <w:rsid w:val="321F34EA"/>
    <w:rsid w:val="3267118D"/>
    <w:rsid w:val="33092244"/>
    <w:rsid w:val="335A484E"/>
    <w:rsid w:val="336D27D3"/>
    <w:rsid w:val="33753436"/>
    <w:rsid w:val="33930C20"/>
    <w:rsid w:val="33B43F5E"/>
    <w:rsid w:val="33BE4DDD"/>
    <w:rsid w:val="33C80FA0"/>
    <w:rsid w:val="33CF0D98"/>
    <w:rsid w:val="33D67B4A"/>
    <w:rsid w:val="344F64F9"/>
    <w:rsid w:val="34833670"/>
    <w:rsid w:val="34CE2DFE"/>
    <w:rsid w:val="34D92E2A"/>
    <w:rsid w:val="35231EEE"/>
    <w:rsid w:val="355A28E3"/>
    <w:rsid w:val="355C2AFF"/>
    <w:rsid w:val="35982392"/>
    <w:rsid w:val="35AE2C2F"/>
    <w:rsid w:val="35D25259"/>
    <w:rsid w:val="35DC779C"/>
    <w:rsid w:val="35F20D6E"/>
    <w:rsid w:val="36200CAA"/>
    <w:rsid w:val="366A793A"/>
    <w:rsid w:val="367D7142"/>
    <w:rsid w:val="369167D9"/>
    <w:rsid w:val="36D82200"/>
    <w:rsid w:val="36EE59D9"/>
    <w:rsid w:val="370130B6"/>
    <w:rsid w:val="3747333B"/>
    <w:rsid w:val="374E46CA"/>
    <w:rsid w:val="376731C9"/>
    <w:rsid w:val="376C4B50"/>
    <w:rsid w:val="377203B8"/>
    <w:rsid w:val="37906A90"/>
    <w:rsid w:val="37977E1F"/>
    <w:rsid w:val="37F50E6D"/>
    <w:rsid w:val="37FA7780"/>
    <w:rsid w:val="380F3E59"/>
    <w:rsid w:val="381C47C8"/>
    <w:rsid w:val="38934A8A"/>
    <w:rsid w:val="38B8629F"/>
    <w:rsid w:val="38B97E0B"/>
    <w:rsid w:val="38DD4693"/>
    <w:rsid w:val="39205BF2"/>
    <w:rsid w:val="392C4597"/>
    <w:rsid w:val="39335925"/>
    <w:rsid w:val="39700B24"/>
    <w:rsid w:val="397A0E3C"/>
    <w:rsid w:val="398268AC"/>
    <w:rsid w:val="39836BEC"/>
    <w:rsid w:val="399F5FD3"/>
    <w:rsid w:val="39E210F9"/>
    <w:rsid w:val="3A211C22"/>
    <w:rsid w:val="3A4678DA"/>
    <w:rsid w:val="3A995C5C"/>
    <w:rsid w:val="3A9B5E78"/>
    <w:rsid w:val="3AB74334"/>
    <w:rsid w:val="3AD06A61"/>
    <w:rsid w:val="3AEA295B"/>
    <w:rsid w:val="3AEC0481"/>
    <w:rsid w:val="3B424545"/>
    <w:rsid w:val="3B9A1C8B"/>
    <w:rsid w:val="3C0803CA"/>
    <w:rsid w:val="3C125CC6"/>
    <w:rsid w:val="3C1A2DCC"/>
    <w:rsid w:val="3C5E715D"/>
    <w:rsid w:val="3C683B38"/>
    <w:rsid w:val="3C756255"/>
    <w:rsid w:val="3C9D56D7"/>
    <w:rsid w:val="3CAA23A2"/>
    <w:rsid w:val="3CF14C03"/>
    <w:rsid w:val="3D453E79"/>
    <w:rsid w:val="3D7824A0"/>
    <w:rsid w:val="3D803103"/>
    <w:rsid w:val="3D8F1598"/>
    <w:rsid w:val="3DA54918"/>
    <w:rsid w:val="3DB17760"/>
    <w:rsid w:val="3DC54FBA"/>
    <w:rsid w:val="3DEA67CE"/>
    <w:rsid w:val="3E895FE7"/>
    <w:rsid w:val="3EEF22EE"/>
    <w:rsid w:val="3EEF6792"/>
    <w:rsid w:val="3F277CDA"/>
    <w:rsid w:val="3F373C95"/>
    <w:rsid w:val="3F7B1DD4"/>
    <w:rsid w:val="3FC86A0C"/>
    <w:rsid w:val="3FD55988"/>
    <w:rsid w:val="3FE77469"/>
    <w:rsid w:val="4012098A"/>
    <w:rsid w:val="402507DC"/>
    <w:rsid w:val="4037219F"/>
    <w:rsid w:val="404B3E9C"/>
    <w:rsid w:val="4055351F"/>
    <w:rsid w:val="4056454A"/>
    <w:rsid w:val="406D5BC1"/>
    <w:rsid w:val="40730CFD"/>
    <w:rsid w:val="407C4056"/>
    <w:rsid w:val="40A21BBC"/>
    <w:rsid w:val="40AA37CC"/>
    <w:rsid w:val="40B732E0"/>
    <w:rsid w:val="40BC6B48"/>
    <w:rsid w:val="40D8646E"/>
    <w:rsid w:val="40D93256"/>
    <w:rsid w:val="40E85247"/>
    <w:rsid w:val="40F633A5"/>
    <w:rsid w:val="410A340F"/>
    <w:rsid w:val="414A4154"/>
    <w:rsid w:val="416924B0"/>
    <w:rsid w:val="417B60BB"/>
    <w:rsid w:val="41A76EB0"/>
    <w:rsid w:val="41B25AE9"/>
    <w:rsid w:val="41E32032"/>
    <w:rsid w:val="41FA16D6"/>
    <w:rsid w:val="42361DD4"/>
    <w:rsid w:val="424D245E"/>
    <w:rsid w:val="425863FC"/>
    <w:rsid w:val="42660B19"/>
    <w:rsid w:val="4278084D"/>
    <w:rsid w:val="42DC702D"/>
    <w:rsid w:val="42DE4B54"/>
    <w:rsid w:val="42E61C5A"/>
    <w:rsid w:val="43340C18"/>
    <w:rsid w:val="43A713E9"/>
    <w:rsid w:val="43AF029E"/>
    <w:rsid w:val="43D16466"/>
    <w:rsid w:val="43DF5027"/>
    <w:rsid w:val="43F108B7"/>
    <w:rsid w:val="44087FDD"/>
    <w:rsid w:val="444434DD"/>
    <w:rsid w:val="44786B45"/>
    <w:rsid w:val="448E25A9"/>
    <w:rsid w:val="44CE660D"/>
    <w:rsid w:val="44D81A76"/>
    <w:rsid w:val="44EE3048"/>
    <w:rsid w:val="450E1DD3"/>
    <w:rsid w:val="454809AA"/>
    <w:rsid w:val="45637592"/>
    <w:rsid w:val="45967968"/>
    <w:rsid w:val="45A55DFD"/>
    <w:rsid w:val="45F95B5C"/>
    <w:rsid w:val="46081EE8"/>
    <w:rsid w:val="46347950"/>
    <w:rsid w:val="463E4ADC"/>
    <w:rsid w:val="4665733A"/>
    <w:rsid w:val="466B2226"/>
    <w:rsid w:val="470A03A4"/>
    <w:rsid w:val="47541888"/>
    <w:rsid w:val="47574ED5"/>
    <w:rsid w:val="475A6773"/>
    <w:rsid w:val="477535AD"/>
    <w:rsid w:val="47A10846"/>
    <w:rsid w:val="47CF53B3"/>
    <w:rsid w:val="47D227AD"/>
    <w:rsid w:val="47D93B3C"/>
    <w:rsid w:val="47F72214"/>
    <w:rsid w:val="482E20D9"/>
    <w:rsid w:val="48621D83"/>
    <w:rsid w:val="48825F81"/>
    <w:rsid w:val="48F55078"/>
    <w:rsid w:val="48F86243"/>
    <w:rsid w:val="490146B7"/>
    <w:rsid w:val="493D634C"/>
    <w:rsid w:val="49441489"/>
    <w:rsid w:val="495104D4"/>
    <w:rsid w:val="49706721"/>
    <w:rsid w:val="49753D38"/>
    <w:rsid w:val="498104A1"/>
    <w:rsid w:val="49836455"/>
    <w:rsid w:val="49B22896"/>
    <w:rsid w:val="4A484FA8"/>
    <w:rsid w:val="4A546BEF"/>
    <w:rsid w:val="4A595408"/>
    <w:rsid w:val="4AA06B93"/>
    <w:rsid w:val="4B013AD5"/>
    <w:rsid w:val="4B117A90"/>
    <w:rsid w:val="4B427C4A"/>
    <w:rsid w:val="4B462DB4"/>
    <w:rsid w:val="4B46773A"/>
    <w:rsid w:val="4B6B53F2"/>
    <w:rsid w:val="4B8169C4"/>
    <w:rsid w:val="4BC30D8B"/>
    <w:rsid w:val="4BE96317"/>
    <w:rsid w:val="4BEC7CE7"/>
    <w:rsid w:val="4C020640"/>
    <w:rsid w:val="4C235CCD"/>
    <w:rsid w:val="4C4719BC"/>
    <w:rsid w:val="4C4F6AC2"/>
    <w:rsid w:val="4C6B4F7E"/>
    <w:rsid w:val="4CD36402"/>
    <w:rsid w:val="4CFC5D7C"/>
    <w:rsid w:val="4D1A2C2C"/>
    <w:rsid w:val="4D5A127B"/>
    <w:rsid w:val="4D873952"/>
    <w:rsid w:val="4D8B1D7C"/>
    <w:rsid w:val="4DC0326F"/>
    <w:rsid w:val="4E1753BE"/>
    <w:rsid w:val="4E3715BC"/>
    <w:rsid w:val="4E44488A"/>
    <w:rsid w:val="4E5B174E"/>
    <w:rsid w:val="4E726A98"/>
    <w:rsid w:val="4E830CA5"/>
    <w:rsid w:val="4E992525"/>
    <w:rsid w:val="4E9C58C3"/>
    <w:rsid w:val="4EF120B3"/>
    <w:rsid w:val="4EF1548F"/>
    <w:rsid w:val="4F0771E0"/>
    <w:rsid w:val="4F3E541F"/>
    <w:rsid w:val="4F530677"/>
    <w:rsid w:val="4F5477B1"/>
    <w:rsid w:val="4F553D3D"/>
    <w:rsid w:val="4F764366"/>
    <w:rsid w:val="4F841B70"/>
    <w:rsid w:val="4F9C3DCC"/>
    <w:rsid w:val="4F9D7B44"/>
    <w:rsid w:val="4FBC446F"/>
    <w:rsid w:val="4FD277EE"/>
    <w:rsid w:val="4FD5235B"/>
    <w:rsid w:val="4FEE03A0"/>
    <w:rsid w:val="500D6A78"/>
    <w:rsid w:val="5019541D"/>
    <w:rsid w:val="501E7571"/>
    <w:rsid w:val="504F0E3F"/>
    <w:rsid w:val="50642943"/>
    <w:rsid w:val="50720FD1"/>
    <w:rsid w:val="508605D9"/>
    <w:rsid w:val="50A70C7B"/>
    <w:rsid w:val="50B27620"/>
    <w:rsid w:val="50CC248F"/>
    <w:rsid w:val="50E84DEF"/>
    <w:rsid w:val="50F6575E"/>
    <w:rsid w:val="50FC089B"/>
    <w:rsid w:val="510A120A"/>
    <w:rsid w:val="511B51C5"/>
    <w:rsid w:val="512F6EC2"/>
    <w:rsid w:val="51587149"/>
    <w:rsid w:val="51C969CF"/>
    <w:rsid w:val="52025526"/>
    <w:rsid w:val="52195BA8"/>
    <w:rsid w:val="52334191"/>
    <w:rsid w:val="524644C3"/>
    <w:rsid w:val="52874867"/>
    <w:rsid w:val="52B96A43"/>
    <w:rsid w:val="52DC2732"/>
    <w:rsid w:val="52F757BE"/>
    <w:rsid w:val="52F932E4"/>
    <w:rsid w:val="535E75EB"/>
    <w:rsid w:val="537E1A3B"/>
    <w:rsid w:val="53990623"/>
    <w:rsid w:val="54041F40"/>
    <w:rsid w:val="54212AF2"/>
    <w:rsid w:val="542B3971"/>
    <w:rsid w:val="54813591"/>
    <w:rsid w:val="54AD6A7C"/>
    <w:rsid w:val="552220D1"/>
    <w:rsid w:val="5527238A"/>
    <w:rsid w:val="554E3DBB"/>
    <w:rsid w:val="55757355"/>
    <w:rsid w:val="55C53951"/>
    <w:rsid w:val="55F74390"/>
    <w:rsid w:val="565369E5"/>
    <w:rsid w:val="567E247E"/>
    <w:rsid w:val="568D0913"/>
    <w:rsid w:val="56BC4D54"/>
    <w:rsid w:val="56CF2CD9"/>
    <w:rsid w:val="56F02C50"/>
    <w:rsid w:val="56F444EE"/>
    <w:rsid w:val="57144B90"/>
    <w:rsid w:val="57864E36"/>
    <w:rsid w:val="578A6C00"/>
    <w:rsid w:val="57C55E8A"/>
    <w:rsid w:val="585F1E3B"/>
    <w:rsid w:val="58FA1B64"/>
    <w:rsid w:val="590D7AE9"/>
    <w:rsid w:val="590E560F"/>
    <w:rsid w:val="59142C25"/>
    <w:rsid w:val="59305585"/>
    <w:rsid w:val="59505C28"/>
    <w:rsid w:val="599975CF"/>
    <w:rsid w:val="599C0E6D"/>
    <w:rsid w:val="59AA17DC"/>
    <w:rsid w:val="59D517FE"/>
    <w:rsid w:val="5A165757"/>
    <w:rsid w:val="5A3B2434"/>
    <w:rsid w:val="5A820063"/>
    <w:rsid w:val="5A897643"/>
    <w:rsid w:val="5A93401E"/>
    <w:rsid w:val="5A9D6C4B"/>
    <w:rsid w:val="5AA004E9"/>
    <w:rsid w:val="5B5E287E"/>
    <w:rsid w:val="5B6854AA"/>
    <w:rsid w:val="5BAA2B88"/>
    <w:rsid w:val="5BBB1A7E"/>
    <w:rsid w:val="5BD40D92"/>
    <w:rsid w:val="5BE32D83"/>
    <w:rsid w:val="5C11169E"/>
    <w:rsid w:val="5C1967A5"/>
    <w:rsid w:val="5C4C0928"/>
    <w:rsid w:val="5C563555"/>
    <w:rsid w:val="5C6914DA"/>
    <w:rsid w:val="5C6A5252"/>
    <w:rsid w:val="5C766B8D"/>
    <w:rsid w:val="5CF07506"/>
    <w:rsid w:val="5CF3349A"/>
    <w:rsid w:val="5D2B6790"/>
    <w:rsid w:val="5D3715D8"/>
    <w:rsid w:val="5D4A130C"/>
    <w:rsid w:val="5D5E6B65"/>
    <w:rsid w:val="5DA55197"/>
    <w:rsid w:val="5DD21301"/>
    <w:rsid w:val="5E30030F"/>
    <w:rsid w:val="5E9D546B"/>
    <w:rsid w:val="5EFD23AE"/>
    <w:rsid w:val="5F6D0623"/>
    <w:rsid w:val="5F896013"/>
    <w:rsid w:val="5FA40A7B"/>
    <w:rsid w:val="5FC15189"/>
    <w:rsid w:val="5FCF3D4A"/>
    <w:rsid w:val="5FF27A39"/>
    <w:rsid w:val="5FF94273"/>
    <w:rsid w:val="600532C8"/>
    <w:rsid w:val="603D6F06"/>
    <w:rsid w:val="60433DF0"/>
    <w:rsid w:val="607C7302"/>
    <w:rsid w:val="608F7035"/>
    <w:rsid w:val="61311789"/>
    <w:rsid w:val="61442516"/>
    <w:rsid w:val="61451750"/>
    <w:rsid w:val="616109D2"/>
    <w:rsid w:val="61761FA3"/>
    <w:rsid w:val="61D218D0"/>
    <w:rsid w:val="61E35677"/>
    <w:rsid w:val="61F23D20"/>
    <w:rsid w:val="61FC4B9F"/>
    <w:rsid w:val="625F4A6F"/>
    <w:rsid w:val="62C54F90"/>
    <w:rsid w:val="62D82F16"/>
    <w:rsid w:val="62F968B6"/>
    <w:rsid w:val="632A1297"/>
    <w:rsid w:val="634265E1"/>
    <w:rsid w:val="639808F7"/>
    <w:rsid w:val="64065861"/>
    <w:rsid w:val="64243F39"/>
    <w:rsid w:val="64504D2E"/>
    <w:rsid w:val="64BC0717"/>
    <w:rsid w:val="64BC6618"/>
    <w:rsid w:val="650352D1"/>
    <w:rsid w:val="650E1238"/>
    <w:rsid w:val="6525440C"/>
    <w:rsid w:val="653E102A"/>
    <w:rsid w:val="657D7DA4"/>
    <w:rsid w:val="657F58CB"/>
    <w:rsid w:val="65A90B99"/>
    <w:rsid w:val="65B8702E"/>
    <w:rsid w:val="65D35C16"/>
    <w:rsid w:val="65DD6A95"/>
    <w:rsid w:val="65DE4CE7"/>
    <w:rsid w:val="66344907"/>
    <w:rsid w:val="666920D7"/>
    <w:rsid w:val="6694184A"/>
    <w:rsid w:val="66C5326B"/>
    <w:rsid w:val="66DB2FD4"/>
    <w:rsid w:val="671B5AC7"/>
    <w:rsid w:val="673E3563"/>
    <w:rsid w:val="674A63AC"/>
    <w:rsid w:val="678278F4"/>
    <w:rsid w:val="67B11F87"/>
    <w:rsid w:val="67BD6443"/>
    <w:rsid w:val="67E4410B"/>
    <w:rsid w:val="67E60B94"/>
    <w:rsid w:val="67FB08EB"/>
    <w:rsid w:val="68061D81"/>
    <w:rsid w:val="684B23DC"/>
    <w:rsid w:val="685524C0"/>
    <w:rsid w:val="68A45648"/>
    <w:rsid w:val="68D93544"/>
    <w:rsid w:val="68FB170C"/>
    <w:rsid w:val="68FE2FAA"/>
    <w:rsid w:val="69692B1A"/>
    <w:rsid w:val="697A2F79"/>
    <w:rsid w:val="69C97A5C"/>
    <w:rsid w:val="69CE359D"/>
    <w:rsid w:val="69F10D61"/>
    <w:rsid w:val="6A4315BC"/>
    <w:rsid w:val="6A6A52B6"/>
    <w:rsid w:val="6AAB53B4"/>
    <w:rsid w:val="6AB44268"/>
    <w:rsid w:val="6AF942D9"/>
    <w:rsid w:val="6B113469"/>
    <w:rsid w:val="6B1F3AB4"/>
    <w:rsid w:val="6B923E7E"/>
    <w:rsid w:val="6C060AF4"/>
    <w:rsid w:val="6C103720"/>
    <w:rsid w:val="6C21592D"/>
    <w:rsid w:val="6C77554D"/>
    <w:rsid w:val="6C8E3C33"/>
    <w:rsid w:val="6C9F3034"/>
    <w:rsid w:val="6CA34594"/>
    <w:rsid w:val="6CBE13CE"/>
    <w:rsid w:val="6D967DB4"/>
    <w:rsid w:val="6DAB0185"/>
    <w:rsid w:val="6DAD31F1"/>
    <w:rsid w:val="6DD67B8C"/>
    <w:rsid w:val="6DF417DE"/>
    <w:rsid w:val="6DF70B9F"/>
    <w:rsid w:val="6E625D89"/>
    <w:rsid w:val="6EB26D11"/>
    <w:rsid w:val="6EC86534"/>
    <w:rsid w:val="6F1C23DC"/>
    <w:rsid w:val="6F1F1ECC"/>
    <w:rsid w:val="6F307C36"/>
    <w:rsid w:val="6F806E0F"/>
    <w:rsid w:val="6F977CB5"/>
    <w:rsid w:val="6FB06613"/>
    <w:rsid w:val="6FEC1DAE"/>
    <w:rsid w:val="700370F8"/>
    <w:rsid w:val="702533F2"/>
    <w:rsid w:val="707A1AB0"/>
    <w:rsid w:val="708E10B8"/>
    <w:rsid w:val="70C42D2B"/>
    <w:rsid w:val="70DD3DED"/>
    <w:rsid w:val="70F83AD1"/>
    <w:rsid w:val="71915061"/>
    <w:rsid w:val="71B763EC"/>
    <w:rsid w:val="71C034F3"/>
    <w:rsid w:val="721203D8"/>
    <w:rsid w:val="72141A90"/>
    <w:rsid w:val="721D1E3B"/>
    <w:rsid w:val="72275320"/>
    <w:rsid w:val="724759C2"/>
    <w:rsid w:val="728704B4"/>
    <w:rsid w:val="72BB1F0C"/>
    <w:rsid w:val="72DD00D4"/>
    <w:rsid w:val="737A2701"/>
    <w:rsid w:val="73816CB2"/>
    <w:rsid w:val="74122000"/>
    <w:rsid w:val="745B39A7"/>
    <w:rsid w:val="74D177C5"/>
    <w:rsid w:val="7501454E"/>
    <w:rsid w:val="7545004C"/>
    <w:rsid w:val="759251A6"/>
    <w:rsid w:val="75E72CC8"/>
    <w:rsid w:val="75F55735"/>
    <w:rsid w:val="7627506D"/>
    <w:rsid w:val="764867CD"/>
    <w:rsid w:val="764F753B"/>
    <w:rsid w:val="768371E5"/>
    <w:rsid w:val="769468B9"/>
    <w:rsid w:val="76DE441B"/>
    <w:rsid w:val="77275DC2"/>
    <w:rsid w:val="77304C77"/>
    <w:rsid w:val="77422BFC"/>
    <w:rsid w:val="77A45665"/>
    <w:rsid w:val="77B51620"/>
    <w:rsid w:val="783C589D"/>
    <w:rsid w:val="784E5CD8"/>
    <w:rsid w:val="784F073C"/>
    <w:rsid w:val="79020895"/>
    <w:rsid w:val="790E548B"/>
    <w:rsid w:val="794B56F7"/>
    <w:rsid w:val="795A247F"/>
    <w:rsid w:val="795B7FA5"/>
    <w:rsid w:val="79602F2E"/>
    <w:rsid w:val="796C3F60"/>
    <w:rsid w:val="796D1F71"/>
    <w:rsid w:val="797D7CC0"/>
    <w:rsid w:val="799F60E4"/>
    <w:rsid w:val="79E13ABF"/>
    <w:rsid w:val="7A3424CE"/>
    <w:rsid w:val="7A432F13"/>
    <w:rsid w:val="7A456C8B"/>
    <w:rsid w:val="7AA02113"/>
    <w:rsid w:val="7AB91427"/>
    <w:rsid w:val="7ACA3634"/>
    <w:rsid w:val="7B14665D"/>
    <w:rsid w:val="7B4231CA"/>
    <w:rsid w:val="7B872B63"/>
    <w:rsid w:val="7B9854E0"/>
    <w:rsid w:val="7B9D6653"/>
    <w:rsid w:val="7BA14395"/>
    <w:rsid w:val="7BA21EBB"/>
    <w:rsid w:val="7BAB5142"/>
    <w:rsid w:val="7BBD163A"/>
    <w:rsid w:val="7BE97AEA"/>
    <w:rsid w:val="7C147DAE"/>
    <w:rsid w:val="7C49422B"/>
    <w:rsid w:val="7C6D4277"/>
    <w:rsid w:val="7C8F0691"/>
    <w:rsid w:val="7CD6006E"/>
    <w:rsid w:val="7D717D97"/>
    <w:rsid w:val="7DE30C57"/>
    <w:rsid w:val="7DFB7663"/>
    <w:rsid w:val="7E3A1592"/>
    <w:rsid w:val="7E527BC8"/>
    <w:rsid w:val="7E775881"/>
    <w:rsid w:val="7E7933A7"/>
    <w:rsid w:val="7EDC687C"/>
    <w:rsid w:val="7EF10D53"/>
    <w:rsid w:val="7EFF3357"/>
    <w:rsid w:val="7F010FD9"/>
    <w:rsid w:val="7F0215EE"/>
    <w:rsid w:val="7F73429A"/>
    <w:rsid w:val="7F7B314F"/>
    <w:rsid w:val="7F855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caption"/>
    <w:basedOn w:val="1"/>
    <w:next w:val="1"/>
    <w:qFormat/>
    <w:uiPriority w:val="0"/>
    <w:pPr>
      <w:widowControl/>
      <w:jc w:val="left"/>
    </w:pPr>
    <w:rPr>
      <w:b/>
      <w:bCs/>
      <w:color w:val="5B9BD5"/>
      <w:kern w:val="0"/>
      <w:sz w:val="18"/>
      <w:szCs w:val="18"/>
    </w:rPr>
  </w:style>
  <w:style w:type="paragraph" w:styleId="4">
    <w:name w:val="Body Text"/>
    <w:basedOn w:val="1"/>
    <w:next w:val="1"/>
    <w:unhideWhenUsed/>
    <w:qFormat/>
    <w:uiPriority w:val="99"/>
    <w:pPr>
      <w:spacing w:after="120" w:afterLines="0" w:afterAutospacing="0"/>
    </w:pPr>
  </w:style>
  <w:style w:type="paragraph" w:styleId="5">
    <w:name w:val="footer"/>
    <w:basedOn w:val="1"/>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10">
    <w:name w:val="标题 5（有编号）（绿盟科技）"/>
    <w:basedOn w:val="1"/>
    <w:next w:val="11"/>
    <w:autoRedefine/>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11">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12">
    <w:name w:val="Default"/>
    <w:next w:val="3"/>
    <w:autoRedefine/>
    <w:qFormat/>
    <w:uiPriority w:val="99"/>
    <w:pPr>
      <w:widowControl w:val="0"/>
      <w:autoSpaceDE w:val="0"/>
      <w:autoSpaceDN w:val="0"/>
      <w:adjustRightInd w:val="0"/>
    </w:pPr>
    <w:rPr>
      <w:rFonts w:ascii="..ì." w:hAnsi="..ì." w:eastAsia="宋体" w:cs="..ì."/>
      <w:color w:val="000000"/>
      <w:sz w:val="24"/>
      <w:szCs w:val="24"/>
      <w:lang w:val="en-US" w:eastAsia="zh-CN" w:bidi="ar-SA"/>
    </w:rPr>
  </w:style>
  <w:style w:type="paragraph" w:customStyle="1" w:styleId="13">
    <w:name w:val="UserStyle_0"/>
    <w:basedOn w:val="1"/>
    <w:next w:val="14"/>
    <w:qFormat/>
    <w:uiPriority w:val="0"/>
    <w:pPr>
      <w:keepNext/>
      <w:keepLines/>
      <w:numPr>
        <w:ilvl w:val="4"/>
        <w:numId w:val="2"/>
      </w:numPr>
      <w:spacing w:before="280" w:after="156" w:line="377" w:lineRule="auto"/>
      <w:jc w:val="both"/>
      <w:textAlignment w:val="baseline"/>
    </w:pPr>
    <w:rPr>
      <w:rFonts w:ascii="Arial" w:hAnsi="Arial" w:eastAsia="黑体"/>
      <w:b/>
      <w:kern w:val="2"/>
      <w:sz w:val="24"/>
      <w:szCs w:val="28"/>
      <w:lang w:val="en-US" w:eastAsia="zh-CN" w:bidi="ar-SA"/>
    </w:rPr>
  </w:style>
  <w:style w:type="paragraph" w:customStyle="1" w:styleId="14">
    <w:name w:val="UserStyle_1"/>
    <w:qFormat/>
    <w:uiPriority w:val="0"/>
    <w:pPr>
      <w:spacing w:line="300" w:lineRule="auto"/>
      <w:textAlignment w:val="baseline"/>
    </w:pPr>
    <w:rPr>
      <w:rFonts w:ascii="Arial" w:hAnsi="Arial" w:eastAsia="宋体" w:cs="Times New Roman"/>
      <w:sz w:val="21"/>
      <w:szCs w:val="21"/>
      <w:lang w:val="en-US" w:eastAsia="zh-CN" w:bidi="ar-SA"/>
    </w:rPr>
  </w:style>
  <w:style w:type="character" w:customStyle="1" w:styleId="15">
    <w:name w:val="font11"/>
    <w:basedOn w:val="9"/>
    <w:qFormat/>
    <w:uiPriority w:val="0"/>
    <w:rPr>
      <w:rFonts w:hint="eastAsia" w:ascii="宋体" w:hAnsi="宋体" w:eastAsia="宋体" w:cs="宋体"/>
      <w:b/>
      <w:bCs/>
      <w:color w:val="000000"/>
      <w:sz w:val="22"/>
      <w:szCs w:val="22"/>
      <w:u w:val="none"/>
    </w:rPr>
  </w:style>
  <w:style w:type="character" w:customStyle="1" w:styleId="16">
    <w:name w:val="font01"/>
    <w:basedOn w:val="9"/>
    <w:qFormat/>
    <w:uiPriority w:val="0"/>
    <w:rPr>
      <w:rFonts w:hint="eastAsia" w:ascii="宋体" w:hAnsi="宋体" w:eastAsia="宋体" w:cs="宋体"/>
      <w:color w:val="000000"/>
      <w:sz w:val="22"/>
      <w:szCs w:val="22"/>
      <w:u w:val="none"/>
    </w:rPr>
  </w:style>
  <w:style w:type="character" w:customStyle="1" w:styleId="17">
    <w:name w:val="font51"/>
    <w:basedOn w:val="9"/>
    <w:qFormat/>
    <w:uiPriority w:val="0"/>
    <w:rPr>
      <w:rFonts w:hint="eastAsia" w:ascii="宋体" w:hAnsi="宋体" w:eastAsia="宋体" w:cs="宋体"/>
      <w:color w:val="000000"/>
      <w:sz w:val="24"/>
      <w:szCs w:val="24"/>
      <w:u w:val="single"/>
    </w:rPr>
  </w:style>
  <w:style w:type="character" w:customStyle="1" w:styleId="18">
    <w:name w:val="font41"/>
    <w:basedOn w:val="9"/>
    <w:qFormat/>
    <w:uiPriority w:val="0"/>
    <w:rPr>
      <w:rFonts w:hint="eastAsia" w:ascii="微软雅黑" w:hAnsi="微软雅黑" w:eastAsia="微软雅黑" w:cs="微软雅黑"/>
      <w:color w:val="000000"/>
      <w:sz w:val="20"/>
      <w:szCs w:val="20"/>
      <w:u w:val="single"/>
    </w:rPr>
  </w:style>
  <w:style w:type="character" w:customStyle="1" w:styleId="19">
    <w:name w:val="font21"/>
    <w:basedOn w:val="9"/>
    <w:qFormat/>
    <w:uiPriority w:val="0"/>
    <w:rPr>
      <w:rFonts w:hint="eastAsia" w:ascii="微软雅黑" w:hAnsi="微软雅黑" w:eastAsia="微软雅黑" w:cs="微软雅黑"/>
      <w:color w:val="000000"/>
      <w:sz w:val="20"/>
      <w:szCs w:val="20"/>
      <w:u w:val="none"/>
    </w:rPr>
  </w:style>
  <w:style w:type="character" w:customStyle="1" w:styleId="20">
    <w:name w:val="font31"/>
    <w:basedOn w:val="9"/>
    <w:qFormat/>
    <w:uiPriority w:val="0"/>
    <w:rPr>
      <w:rFonts w:hint="default" w:ascii="Microsoft PhagsPa" w:hAnsi="Microsoft PhagsPa" w:eastAsia="Microsoft PhagsPa" w:cs="Microsoft PhagsPa"/>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3049</Words>
  <Characters>4470</Characters>
  <Lines>0</Lines>
  <Paragraphs>0</Paragraphs>
  <TotalTime>65</TotalTime>
  <ScaleCrop>false</ScaleCrop>
  <LinksUpToDate>false</LinksUpToDate>
  <CharactersWithSpaces>4787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2024-11-29T01:03:00Z</dcterms:created>
  <dc:creator>一位不愿意透露姓名的唐先生</dc:creator>
  <cp:lastModifiedBy>一位不愿意透露姓名的唐先生</cp:lastModifiedBy>
  <cp:lastPrinted>2026-04-10T08:11:00Z</cp:lastPrinted>
  <dcterms:modified xsi:type="dcterms:W3CDTF">2026-07-22T08:52:51Z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528CB46886434A05A2E8833FA7EA2BFA_11</vt:lpwstr>
  </property>
  <property fmtid="{D5CDD505-2E9C-101B-9397-08002B2CF9AE}" pid="4" name="KSOTemplateDocerSaveRecord">
    <vt:lpwstr>eyJoZGlkIjoiYWFiOTY1ZGZjYzlhZWFmMjRiMGFhMDMzYWY1MTNkZTkiLCJ1c2VySWQiOiIzOTA2MDMxNDQifQ==</vt:lpwstr>
  </property>
</Properties>
</file>